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5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21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22"/>
          <w:szCs w:val="22"/>
          <w:color w:val="auto"/>
        </w:rPr>
        <w:t>Proxy Statement Pursuant to Section 14(a) of</w:t>
      </w:r>
    </w:p>
    <w:p>
      <w:pPr>
        <w:spacing w:after="0" w:line="1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the Securities Exchange Act of 1934</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2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2"/>
          <w:szCs w:val="32"/>
          <w:b w:val="1"/>
          <w:bCs w:val="1"/>
          <w:color w:val="auto"/>
        </w:rPr>
        <w:t>Tilray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27940</wp:posOffset>
            </wp:positionV>
            <wp:extent cx="61036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3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1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-127635</wp:posOffset>
            </wp:positionV>
            <wp:extent cx="6103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03620" cy="8890"/>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500" w:hanging="415"/>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6" w:lineRule="exact"/>
        <w:rPr>
          <w:rFonts w:ascii="MS PGothic" w:cs="MS PGothic" w:eastAsia="MS PGothic" w:hAnsi="MS PGothic"/>
          <w:sz w:val="18"/>
          <w:szCs w:val="18"/>
          <w:color w:val="auto"/>
        </w:rPr>
      </w:pPr>
    </w:p>
    <w:p>
      <w:pPr>
        <w:ind w:left="500" w:hanging="411"/>
        <w:spacing w:after="0"/>
        <w:tabs>
          <w:tab w:leader="none" w:pos="5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00" w:hanging="411"/>
        <w:spacing w:after="0"/>
        <w:tabs>
          <w:tab w:leader="none" w:pos="5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197485</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257175</wp:posOffset>
            </wp:positionV>
            <wp:extent cx="61722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394335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51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2265680</wp:posOffset>
            </wp:positionH>
            <wp:positionV relativeFrom="page">
              <wp:posOffset>88900</wp:posOffset>
            </wp:positionV>
            <wp:extent cx="3008630" cy="814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3008630" cy="814705"/>
                    </a:xfrm>
                    <a:prstGeom prst="rect">
                      <a:avLst/>
                    </a:prstGeom>
                    <a:noFill/>
                  </pic:spPr>
                </pic:pic>
              </a:graphicData>
            </a:graphic>
          </wp:anchor>
        </w:drawing>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1879"/>
        <w:spacing w:after="0"/>
        <w:rPr>
          <w:sz w:val="20"/>
          <w:szCs w:val="20"/>
          <w:color w:val="auto"/>
        </w:rPr>
      </w:pPr>
      <w:r>
        <w:rPr>
          <w:rFonts w:ascii="Arial" w:cs="Arial" w:eastAsia="Arial" w:hAnsi="Arial"/>
          <w:sz w:val="43"/>
          <w:szCs w:val="43"/>
          <w:b w:val="1"/>
          <w:bCs w:val="1"/>
          <w:color w:val="00489A"/>
        </w:rPr>
        <w:t>2024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40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2488565</wp:posOffset>
            </wp:positionH>
            <wp:positionV relativeFrom="page">
              <wp:posOffset>88900</wp:posOffset>
            </wp:positionV>
            <wp:extent cx="2580005"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580005" cy="694055"/>
                    </a:xfrm>
                    <a:prstGeom prst="rect">
                      <a:avLst/>
                    </a:prstGeom>
                    <a:noFill/>
                  </pic:spPr>
                </pic:pic>
              </a:graphicData>
            </a:graphic>
          </wp:anchor>
        </w:drawing>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26, 2024</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113" w:lineRule="exact"/>
        <w:rPr>
          <w:sz w:val="20"/>
          <w:szCs w:val="20"/>
          <w:color w:val="auto"/>
        </w:rPr>
      </w:pPr>
    </w:p>
    <w:p>
      <w:pPr>
        <w:jc w:val="both"/>
        <w:ind w:left="300" w:right="439" w:firstLine="36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 be held on Thursday, November 21, 2024, at 11:00 a.m. EST. The Annual Meeting will be held in a virtual format, via live webcast over the internet.</w:t>
      </w:r>
    </w:p>
    <w:p>
      <w:pPr>
        <w:spacing w:after="0" w:line="67"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Attached to this letter are a Notice of Annual Meeting of Stockholders and Proxy Statement, which describe the business to be conducted at the Annual Meeting.</w:t>
      </w:r>
    </w:p>
    <w:p>
      <w:pPr>
        <w:spacing w:after="0" w:line="50" w:lineRule="exact"/>
        <w:rPr>
          <w:sz w:val="20"/>
          <w:szCs w:val="20"/>
          <w:color w:val="auto"/>
        </w:rPr>
      </w:pPr>
    </w:p>
    <w:p>
      <w:pPr>
        <w:ind w:left="300" w:right="499" w:firstLine="360"/>
        <w:spacing w:after="0" w:line="286" w:lineRule="auto"/>
        <w:rPr>
          <w:sz w:val="20"/>
          <w:szCs w:val="20"/>
          <w:color w:val="auto"/>
        </w:rPr>
      </w:pPr>
      <w:r>
        <w:rPr>
          <w:rFonts w:ascii="Times New Roman" w:cs="Times New Roman" w:eastAsia="Times New Roman" w:hAnsi="Times New Roman"/>
          <w:sz w:val="18"/>
          <w:szCs w:val="18"/>
          <w:color w:val="auto"/>
        </w:rPr>
        <w:t>Our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urges you to read the accompanying Proxy Statement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00" w:right="67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each of David Hopkinson and Thomas Looney, as Class III director nominees, each to serve until his term expires or until his successor is duly elected and qualified, as described herein;</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fiscal year ending May 31, 2025;</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to increase the number of shares of common stock the Company is authorized to issue from 1,208,000,000 shares of capital stock to 1,426,000,000 shares of capital stock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governance changes to the Company’s Fourth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cs="Times New Roman" w:eastAsia="Times New Roman" w:hAnsi="Times New Roman"/>
          <w:sz w:val="18"/>
          <w:szCs w:val="18"/>
          <w:b w:val="1"/>
          <w:bCs w:val="1"/>
          <w:i w:val="1"/>
          <w:iCs w:val="1"/>
          <w:color w:val="auto"/>
        </w:rPr>
        <w:t>Governance Proposal</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properly brought before the Annual Meeting.</w:t>
      </w:r>
    </w:p>
    <w:p>
      <w:pPr>
        <w:spacing w:after="0" w:line="117"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Your vote is important to us. Whether or not you plan to attend the Annual Meeting virtually, we encourage you to vote your shares. Accordingly, we request that as soon as possible, you vote via the Internet or, if you have received printed proxy materials, you vote via the Internet, by telephone or by mailing your completed proxy card or voting instruction form.</w:t>
      </w:r>
    </w:p>
    <w:p>
      <w:pPr>
        <w:spacing w:after="0" w:line="68" w:lineRule="exact"/>
        <w:rPr>
          <w:sz w:val="20"/>
          <w:szCs w:val="20"/>
          <w:color w:val="auto"/>
        </w:rPr>
      </w:pPr>
    </w:p>
    <w:p>
      <w:pPr>
        <w:ind w:left="300" w:right="5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have any questions, or need any assistance in voting your shares, please contact Morrow Sodali LLC at (800) 662-5200 toll-free in the U.S. and Canada, or (203) 658-9400 or by email at TLRY@info.morrowsodali.com.</w:t>
      </w:r>
    </w:p>
    <w:p>
      <w:pPr>
        <w:spacing w:after="0" w:line="63" w:lineRule="exact"/>
        <w:rPr>
          <w:sz w:val="20"/>
          <w:szCs w:val="20"/>
          <w:color w:val="auto"/>
        </w:rPr>
      </w:pPr>
    </w:p>
    <w:p>
      <w:pPr>
        <w:ind w:left="300" w:right="6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WE ARE GRATEFUL FOR YOUR CONTINUED SUPPORT AND WILL WORK EVERYDAY TO TAKE FULL ADVANTAGE OF ALL OPPORTUNITIES TO ENHANCE LONG-TERM VALUE.</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interest and investment in Tilray Brands, Inc.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2488565</wp:posOffset>
            </wp:positionH>
            <wp:positionV relativeFrom="page">
              <wp:posOffset>88900</wp:posOffset>
            </wp:positionV>
            <wp:extent cx="2580005" cy="69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580005" cy="694055"/>
                    </a:xfrm>
                    <a:prstGeom prst="rect">
                      <a:avLst/>
                    </a:prstGeom>
                    <a:noFill/>
                  </pic:spPr>
                </pic:pic>
              </a:graphicData>
            </a:graphic>
          </wp:anchor>
        </w:drawing>
        <w:t>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1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September 26, 2024</w:t>
      </w:r>
    </w:p>
    <w:p>
      <w:pPr>
        <w:spacing w:after="0" w:line="125"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The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will be held on Thursday, November 21, 2024, at 11:00 a.m. EST. The Annual Meeting will be held in a virtual format via live webcast over the internet. You will be able to join the Annual Meeting and vote and submit your questions online during the Annual Meeting by visiting </w:t>
      </w:r>
      <w:r>
        <w:rPr>
          <w:rFonts w:ascii="Times New Roman" w:cs="Times New Roman" w:eastAsia="Times New Roman" w:hAnsi="Times New Roman"/>
          <w:sz w:val="18"/>
          <w:szCs w:val="18"/>
          <w:u w:val="single" w:color="auto"/>
          <w:color w:val="auto"/>
        </w:rPr>
        <w:t>www.virtualshareholdermeeting.com/TLRY2024</w:t>
      </w:r>
      <w:r>
        <w:rPr>
          <w:rFonts w:ascii="Times New Roman" w:cs="Times New Roman" w:eastAsia="Times New Roman" w:hAnsi="Times New Roman"/>
          <w:sz w:val="18"/>
          <w:szCs w:val="18"/>
          <w:color w:val="auto"/>
        </w:rPr>
        <w:t>.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will take place for the following purposes:</w:t>
      </w:r>
    </w:p>
    <w:p>
      <w:pPr>
        <w:spacing w:after="0" w:line="117" w:lineRule="exact"/>
        <w:rPr>
          <w:sz w:val="20"/>
          <w:szCs w:val="20"/>
          <w:color w:val="auto"/>
        </w:rPr>
      </w:pPr>
    </w:p>
    <w:p>
      <w:pPr>
        <w:ind w:left="1000" w:right="4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David Hopkinson and Thomas Looney as Class III director nominees, each to serve until his term expires or until his successor is duly elected and qualified, as described herein;</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our independent registered public accounting firm for the fiscal year ending May 31, 2025;</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number of shares of common stock the Company is authorized to issue from 1,208,000,000 shares of capital stock to 1,426,000,000 shares of capital stock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governance changes to the Company’s Fourth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cs="Times New Roman" w:eastAsia="Times New Roman" w:hAnsi="Times New Roman"/>
          <w:sz w:val="18"/>
          <w:szCs w:val="18"/>
          <w:b w:val="1"/>
          <w:bCs w:val="1"/>
          <w:i w:val="1"/>
          <w:iCs w:val="1"/>
          <w:color w:val="auto"/>
        </w:rPr>
        <w:t>Governance Proposal</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upon any other business that may properly come before the Annual Meeting or any adjournment or postponement of the Annual Meeting.</w:t>
      </w:r>
    </w:p>
    <w:p>
      <w:pPr>
        <w:spacing w:after="0" w:line="54"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On or about September 26, 2024, we will mail to our stockholders of record at the close of business on September 26, 2024, the record date for our Annual Meeting, an Important Notice Regarding the Internet Availability of Proxy Materials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containing instructions on how to access our Proxy Statement for the Annual Meeting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our Annual Report on Form 10-K for the year ended May 31,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on the Internet and also how to vote their shares via the Internet. If you received a Notice by mail, you will not receive printed proxy materials unless you specifically request them. Both the Notice and the Proxy Statement contain instructions on how you can request a paper copy of the Proxy Statement and Annual Report.</w:t>
      </w:r>
    </w:p>
    <w:p>
      <w:pPr>
        <w:spacing w:after="0" w:line="84" w:lineRule="exact"/>
        <w:rPr>
          <w:sz w:val="20"/>
          <w:szCs w:val="20"/>
          <w:color w:val="auto"/>
        </w:rPr>
      </w:pPr>
    </w:p>
    <w:p>
      <w:pPr>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September 26, 2024, are entitled to notice of and to vote at the Annual Meeting or any adjournments or postponements. At the Annual Meeting, you will be provided with the opportunity to ask questions.</w:t>
      </w:r>
    </w:p>
    <w:p>
      <w:pPr>
        <w:spacing w:after="0" w:line="68" w:lineRule="exact"/>
        <w:rPr>
          <w:sz w:val="20"/>
          <w:szCs w:val="20"/>
          <w:color w:val="auto"/>
        </w:rPr>
      </w:pPr>
    </w:p>
    <w:p>
      <w:pPr>
        <w:ind w:left="300" w:right="53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auto"/>
        </w:rPr>
        <w:t xml:space="preserve"> of the accompanying Proxy Statement entitled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direction of the Board,</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Mitchell Gendel,</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Global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5" w:right="1440"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2488565</wp:posOffset>
            </wp:positionH>
            <wp:positionV relativeFrom="page">
              <wp:posOffset>88900</wp:posOffset>
            </wp:positionV>
            <wp:extent cx="258000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80005" cy="694055"/>
                    </a:xfrm>
                    <a:prstGeom prst="rect">
                      <a:avLst/>
                    </a:prstGeom>
                    <a:noFill/>
                  </pic:spPr>
                </pic:pic>
              </a:graphicData>
            </a:graphic>
          </wp:anchor>
        </w:drawing>
        <w:t> </w:t>
      </w: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265 Talbot Street West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Leamington, Ontario N8H 4H3, Canada</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26, 2024</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89A"/>
        </w:rPr>
        <w:t>PROXY STATEMENT</w:t>
      </w:r>
    </w:p>
    <w:p>
      <w:pPr>
        <w:spacing w:after="0" w:line="212" w:lineRule="exact"/>
        <w:rPr>
          <w:sz w:val="20"/>
          <w:szCs w:val="20"/>
          <w:color w:val="auto"/>
        </w:rPr>
      </w:pPr>
    </w:p>
    <w:p>
      <w:pPr>
        <w:ind w:left="1300" w:right="3400" w:firstLine="2095"/>
        <w:spacing w:after="0" w:line="436" w:lineRule="auto"/>
        <w:rPr>
          <w:sz w:val="20"/>
          <w:szCs w:val="20"/>
          <w:color w:val="auto"/>
        </w:rPr>
      </w:pPr>
      <w:r>
        <w:rPr>
          <w:rFonts w:ascii="Arial" w:cs="Arial" w:eastAsia="Arial" w:hAnsi="Arial"/>
          <w:sz w:val="18"/>
          <w:szCs w:val="18"/>
          <w:b w:val="1"/>
          <w:bCs w:val="1"/>
          <w:color w:val="00489A"/>
        </w:rPr>
        <w:t>Information About the Annual Meeting and Voting The Annual Meeting – 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-62230</wp:posOffset>
            </wp:positionV>
            <wp:extent cx="5349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ind w:left="1300" w:right="1360" w:firstLine="360"/>
        <w:spacing w:after="0" w:line="255" w:lineRule="auto"/>
        <w:rPr>
          <w:sz w:val="20"/>
          <w:szCs w:val="20"/>
          <w:color w:val="auto"/>
        </w:rPr>
      </w:pPr>
      <w:r>
        <w:rPr>
          <w:rFonts w:ascii="Times New Roman" w:cs="Times New Roman" w:eastAsia="Times New Roman" w:hAnsi="Times New Roman"/>
          <w:sz w:val="18"/>
          <w:szCs w:val="18"/>
          <w:color w:val="auto"/>
        </w:rPr>
        <w:t>The Annual Meeting of Stockholders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of Tilray Brands,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held on Thursday, November 21, 2024, at 11:00 a.m. EST. The Annual Meeting will be held in a virtual format only, via live webcast over the internet. You will be able to join the Annual Meeting and vote and submit your questions online during the Annual Meeting by visiting www.virtualshareholdermeeting.com/TLRY2024.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w:t>
      </w:r>
    </w:p>
    <w:p>
      <w:pPr>
        <w:spacing w:after="0" w:line="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At the Annual Meeting, stockholders will be asked to elect the Class III nominees as directors, ratify the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appointment of PricewaterhouseCoopers LLP as our independent registered public accounting firm for the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fiscal year ending May 31, 2025, approve the Authorized Shares Proposal and approve the Governance Proposal.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Management will also respond to questions from stockholders.</w:t>
      </w:r>
    </w:p>
    <w:p>
      <w:pPr>
        <w:spacing w:after="0" w:line="99" w:lineRule="exact"/>
        <w:rPr>
          <w:sz w:val="20"/>
          <w:szCs w:val="20"/>
          <w:color w:val="auto"/>
        </w:rPr>
      </w:pPr>
    </w:p>
    <w:p>
      <w:pPr>
        <w:ind w:left="1300" w:right="1420" w:firstLine="36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265 Talbot Street West, Leamington, Ontario N8H 4H3, Canada, and our telephone number is (844) 845-7291. When used in this Proxy Statement, the terms “Tilray,” “we,” “us,” “our,” and “the Company” mean Tilray Brands, Inc. and its businesses and subsidiaries.</w:t>
      </w:r>
    </w:p>
    <w:p>
      <w:pPr>
        <w:spacing w:after="0" w:line="1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Board is divided into three classes (I, II, and III) of directors.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1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37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Current Position</w:t>
            </w:r>
          </w:p>
        </w:tc>
        <w:tc>
          <w:tcPr>
            <w:tcW w:w="160" w:type="dxa"/>
            <w:vAlign w:val="bottom"/>
          </w:tcPr>
          <w:p>
            <w:pPr>
              <w:spacing w:after="0"/>
              <w:rPr>
                <w:sz w:val="15"/>
                <w:szCs w:val="15"/>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0" w:type="dxa"/>
            <w:vAlign w:val="bottom"/>
          </w:tcPr>
          <w:p>
            <w:pPr>
              <w:spacing w:after="0"/>
              <w:rPr>
                <w:sz w:val="15"/>
                <w:szCs w:val="15"/>
                <w:color w:val="auto"/>
              </w:rPr>
            </w:pPr>
          </w:p>
        </w:tc>
        <w:tc>
          <w:tcPr>
            <w:tcW w:w="19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1"/>
        </w:trPr>
        <w:tc>
          <w:tcPr>
            <w:tcW w:w="1340" w:type="dxa"/>
            <w:vAlign w:val="bottom"/>
            <w:tcBorders>
              <w:right w:val="single" w:sz="8" w:color="C7CDE8"/>
            </w:tcBorders>
          </w:tcPr>
          <w:p>
            <w:pPr>
              <w:spacing w:after="0"/>
              <w:rPr>
                <w:sz w:val="16"/>
                <w:szCs w:val="16"/>
                <w:color w:val="auto"/>
              </w:rPr>
            </w:pPr>
          </w:p>
        </w:tc>
        <w:tc>
          <w:tcPr>
            <w:tcW w:w="1520" w:type="dxa"/>
            <w:vAlign w:val="bottom"/>
            <w:shd w:val="clear" w:color="auto" w:fill="C7CDE8"/>
          </w:tcPr>
          <w:p>
            <w:pPr>
              <w:ind w:left="40"/>
              <w:spacing w:after="0" w:line="191" w:lineRule="exact"/>
              <w:rPr>
                <w:sz w:val="20"/>
                <w:szCs w:val="20"/>
                <w:color w:val="auto"/>
              </w:rPr>
            </w:pPr>
            <w:r>
              <w:rPr>
                <w:rFonts w:ascii="Times New Roman" w:cs="Times New Roman" w:eastAsia="Times New Roman" w:hAnsi="Times New Roman"/>
                <w:sz w:val="18"/>
                <w:szCs w:val="18"/>
                <w:b w:val="1"/>
                <w:bCs w:val="1"/>
                <w:color w:val="auto"/>
              </w:rPr>
              <w:t>Jodi Butts</w:t>
            </w:r>
          </w:p>
        </w:tc>
        <w:tc>
          <w:tcPr>
            <w:tcW w:w="160" w:type="dxa"/>
            <w:vAlign w:val="bottom"/>
            <w:shd w:val="clear" w:color="auto" w:fill="C7CDE8"/>
          </w:tcPr>
          <w:p>
            <w:pPr>
              <w:spacing w:after="0"/>
              <w:rPr>
                <w:sz w:val="16"/>
                <w:szCs w:val="16"/>
                <w:color w:val="auto"/>
              </w:rPr>
            </w:pPr>
          </w:p>
        </w:tc>
        <w:tc>
          <w:tcPr>
            <w:tcW w:w="3700" w:type="dxa"/>
            <w:vAlign w:val="bottom"/>
            <w:shd w:val="clear" w:color="auto" w:fill="C7CDE8"/>
          </w:tcPr>
          <w:p>
            <w:pPr>
              <w:spacing w:after="0" w:line="191" w:lineRule="exact"/>
              <w:rPr>
                <w:sz w:val="20"/>
                <w:szCs w:val="20"/>
                <w:color w:val="auto"/>
              </w:rPr>
            </w:pPr>
            <w:r>
              <w:rPr>
                <w:rFonts w:ascii="Times New Roman" w:cs="Times New Roman" w:eastAsia="Times New Roman" w:hAnsi="Times New Roman"/>
                <w:sz w:val="18"/>
                <w:szCs w:val="18"/>
                <w:color w:val="auto"/>
              </w:rPr>
              <w:t>Nominating &amp; Governance Committee Member;</w:t>
            </w:r>
          </w:p>
        </w:tc>
        <w:tc>
          <w:tcPr>
            <w:tcW w:w="16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line="191" w:lineRule="exact"/>
              <w:rPr>
                <w:sz w:val="20"/>
                <w:szCs w:val="20"/>
                <w:color w:val="auto"/>
              </w:rPr>
            </w:pPr>
            <w:r>
              <w:rPr>
                <w:rFonts w:ascii="Times New Roman" w:cs="Times New Roman" w:eastAsia="Times New Roman" w:hAnsi="Times New Roman"/>
                <w:sz w:val="18"/>
                <w:szCs w:val="18"/>
                <w:color w:val="auto"/>
              </w:rPr>
              <w:t>Class III</w:t>
            </w:r>
          </w:p>
        </w:tc>
        <w:tc>
          <w:tcPr>
            <w:tcW w:w="180" w:type="dxa"/>
            <w:vAlign w:val="bottom"/>
            <w:shd w:val="clear" w:color="auto" w:fill="C7CDE8"/>
          </w:tcPr>
          <w:p>
            <w:pPr>
              <w:spacing w:after="0"/>
              <w:rPr>
                <w:sz w:val="16"/>
                <w:szCs w:val="16"/>
                <w:color w:val="auto"/>
              </w:rPr>
            </w:pPr>
          </w:p>
        </w:tc>
        <w:tc>
          <w:tcPr>
            <w:tcW w:w="1940" w:type="dxa"/>
            <w:vAlign w:val="bottom"/>
            <w:shd w:val="clear" w:color="auto" w:fill="C7CDE8"/>
          </w:tcPr>
          <w:p>
            <w:pPr>
              <w:spacing w:after="0" w:line="191" w:lineRule="exact"/>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shd w:val="clear" w:color="auto" w:fill="C7CDE8"/>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1340" w:type="dxa"/>
            <w:vAlign w:val="bottom"/>
            <w:tcBorders>
              <w:right w:val="single" w:sz="8" w:color="C7CDE8"/>
            </w:tcBorders>
          </w:tcPr>
          <w:p>
            <w:pPr>
              <w:spacing w:after="0"/>
              <w:rPr>
                <w:sz w:val="20"/>
                <w:szCs w:val="20"/>
                <w:color w:val="auto"/>
              </w:rPr>
            </w:pPr>
          </w:p>
        </w:tc>
        <w:tc>
          <w:tcPr>
            <w:tcW w:w="1520" w:type="dxa"/>
            <w:vAlign w:val="bottom"/>
            <w:shd w:val="clear" w:color="auto" w:fill="C7CDE8"/>
          </w:tcPr>
          <w:p>
            <w:pPr>
              <w:spacing w:after="0"/>
              <w:rPr>
                <w:sz w:val="20"/>
                <w:szCs w:val="20"/>
                <w:color w:val="auto"/>
              </w:rPr>
            </w:pPr>
          </w:p>
        </w:tc>
        <w:tc>
          <w:tcPr>
            <w:tcW w:w="160" w:type="dxa"/>
            <w:vAlign w:val="bottom"/>
            <w:shd w:val="clear" w:color="auto" w:fill="C7CDE8"/>
          </w:tcPr>
          <w:p>
            <w:pPr>
              <w:spacing w:after="0"/>
              <w:rPr>
                <w:sz w:val="20"/>
                <w:szCs w:val="20"/>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shd w:val="clear" w:color="auto" w:fill="C7CDE8"/>
          </w:tcPr>
          <w:p>
            <w:pPr>
              <w:spacing w:after="0"/>
              <w:rPr>
                <w:sz w:val="20"/>
                <w:szCs w:val="20"/>
                <w:color w:val="auto"/>
              </w:rPr>
            </w:pPr>
          </w:p>
        </w:tc>
        <w:tc>
          <w:tcPr>
            <w:tcW w:w="640" w:type="dxa"/>
            <w:vAlign w:val="bottom"/>
            <w:shd w:val="clear" w:color="auto" w:fill="C7CDE8"/>
          </w:tcPr>
          <w:p>
            <w:pPr>
              <w:spacing w:after="0"/>
              <w:rPr>
                <w:sz w:val="20"/>
                <w:szCs w:val="20"/>
                <w:color w:val="auto"/>
              </w:rPr>
            </w:pPr>
          </w:p>
        </w:tc>
        <w:tc>
          <w:tcPr>
            <w:tcW w:w="180" w:type="dxa"/>
            <w:vAlign w:val="bottom"/>
            <w:shd w:val="clear" w:color="auto" w:fill="C7CDE8"/>
          </w:tcPr>
          <w:p>
            <w:pPr>
              <w:spacing w:after="0"/>
              <w:rPr>
                <w:sz w:val="20"/>
                <w:szCs w:val="20"/>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shd w:val="clear" w:color="auto" w:fill="C7CDE8"/>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5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David Clanachan</w:t>
            </w:r>
          </w:p>
        </w:tc>
        <w:tc>
          <w:tcPr>
            <w:tcW w:w="16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Audit Committee Member; Independent Director</w:t>
            </w:r>
          </w:p>
        </w:tc>
        <w:tc>
          <w:tcPr>
            <w:tcW w:w="16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II</w:t>
            </w:r>
          </w:p>
        </w:tc>
        <w:tc>
          <w:tcPr>
            <w:tcW w:w="18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Borders>
              <w:right w:val="single" w:sz="8" w:color="C7CDE8"/>
            </w:tcBorders>
          </w:tcPr>
          <w:p>
            <w:pPr>
              <w:spacing w:after="0"/>
              <w:rPr>
                <w:sz w:val="17"/>
                <w:szCs w:val="17"/>
                <w:color w:val="auto"/>
              </w:rPr>
            </w:pPr>
          </w:p>
        </w:tc>
        <w:tc>
          <w:tcPr>
            <w:tcW w:w="1520" w:type="dxa"/>
            <w:vAlign w:val="bottom"/>
            <w:shd w:val="clear" w:color="auto" w:fill="C7CDE8"/>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John M. Herhalt</w:t>
            </w:r>
          </w:p>
        </w:tc>
        <w:tc>
          <w:tcPr>
            <w:tcW w:w="160" w:type="dxa"/>
            <w:vAlign w:val="bottom"/>
            <w:shd w:val="clear" w:color="auto" w:fill="C7CDE8"/>
          </w:tcPr>
          <w:p>
            <w:pPr>
              <w:spacing w:after="0"/>
              <w:rPr>
                <w:sz w:val="17"/>
                <w:szCs w:val="17"/>
                <w:color w:val="auto"/>
              </w:rPr>
            </w:pPr>
          </w:p>
        </w:tc>
        <w:tc>
          <w:tcPr>
            <w:tcW w:w="370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Chair of the Audit Committee; Independent</w:t>
            </w:r>
          </w:p>
        </w:tc>
        <w:tc>
          <w:tcPr>
            <w:tcW w:w="160" w:type="dxa"/>
            <w:vAlign w:val="bottom"/>
            <w:shd w:val="clear" w:color="auto" w:fill="C7CDE8"/>
          </w:tcPr>
          <w:p>
            <w:pPr>
              <w:spacing w:after="0"/>
              <w:rPr>
                <w:sz w:val="17"/>
                <w:szCs w:val="17"/>
                <w:color w:val="auto"/>
              </w:rPr>
            </w:pPr>
          </w:p>
        </w:tc>
        <w:tc>
          <w:tcPr>
            <w:tcW w:w="6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Class I</w:t>
            </w:r>
          </w:p>
        </w:tc>
        <w:tc>
          <w:tcPr>
            <w:tcW w:w="180" w:type="dxa"/>
            <w:vAlign w:val="bottom"/>
            <w:shd w:val="clear" w:color="auto" w:fill="C7CDE8"/>
          </w:tcPr>
          <w:p>
            <w:pPr>
              <w:spacing w:after="0"/>
              <w:rPr>
                <w:sz w:val="17"/>
                <w:szCs w:val="17"/>
                <w:color w:val="auto"/>
              </w:rPr>
            </w:pPr>
          </w:p>
        </w:tc>
        <w:tc>
          <w:tcPr>
            <w:tcW w:w="19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2025 annual meeting of</w:t>
            </w:r>
          </w:p>
        </w:tc>
        <w:tc>
          <w:tcPr>
            <w:tcW w:w="80" w:type="dxa"/>
            <w:vAlign w:val="bottom"/>
            <w:shd w:val="clear" w:color="auto" w:fill="C7CDE8"/>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1340" w:type="dxa"/>
            <w:vAlign w:val="bottom"/>
            <w:tcBorders>
              <w:right w:val="single" w:sz="8" w:color="C7CDE8"/>
            </w:tcBorders>
          </w:tcPr>
          <w:p>
            <w:pPr>
              <w:spacing w:after="0"/>
              <w:rPr>
                <w:sz w:val="20"/>
                <w:szCs w:val="20"/>
                <w:color w:val="auto"/>
              </w:rPr>
            </w:pPr>
          </w:p>
        </w:tc>
        <w:tc>
          <w:tcPr>
            <w:tcW w:w="1520" w:type="dxa"/>
            <w:vAlign w:val="bottom"/>
            <w:shd w:val="clear" w:color="auto" w:fill="C7CDE8"/>
          </w:tcPr>
          <w:p>
            <w:pPr>
              <w:spacing w:after="0"/>
              <w:rPr>
                <w:sz w:val="20"/>
                <w:szCs w:val="20"/>
                <w:color w:val="auto"/>
              </w:rPr>
            </w:pPr>
          </w:p>
        </w:tc>
        <w:tc>
          <w:tcPr>
            <w:tcW w:w="160" w:type="dxa"/>
            <w:vAlign w:val="bottom"/>
            <w:shd w:val="clear" w:color="auto" w:fill="C7CDE8"/>
          </w:tcPr>
          <w:p>
            <w:pPr>
              <w:spacing w:after="0"/>
              <w:rPr>
                <w:sz w:val="20"/>
                <w:szCs w:val="20"/>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shd w:val="clear" w:color="auto" w:fill="C7CDE8"/>
          </w:tcPr>
          <w:p>
            <w:pPr>
              <w:spacing w:after="0"/>
              <w:rPr>
                <w:sz w:val="20"/>
                <w:szCs w:val="20"/>
                <w:color w:val="auto"/>
              </w:rPr>
            </w:pPr>
          </w:p>
        </w:tc>
        <w:tc>
          <w:tcPr>
            <w:tcW w:w="640" w:type="dxa"/>
            <w:vAlign w:val="bottom"/>
            <w:shd w:val="clear" w:color="auto" w:fill="C7CDE8"/>
          </w:tcPr>
          <w:p>
            <w:pPr>
              <w:spacing w:after="0"/>
              <w:rPr>
                <w:sz w:val="20"/>
                <w:szCs w:val="20"/>
                <w:color w:val="auto"/>
              </w:rPr>
            </w:pPr>
          </w:p>
        </w:tc>
        <w:tc>
          <w:tcPr>
            <w:tcW w:w="180" w:type="dxa"/>
            <w:vAlign w:val="bottom"/>
            <w:shd w:val="clear" w:color="auto" w:fill="C7CDE8"/>
          </w:tcPr>
          <w:p>
            <w:pPr>
              <w:spacing w:after="0"/>
              <w:rPr>
                <w:sz w:val="20"/>
                <w:szCs w:val="20"/>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shd w:val="clear" w:color="auto" w:fill="C7CDE8"/>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5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David Hopkinson</w:t>
            </w:r>
          </w:p>
        </w:tc>
        <w:tc>
          <w:tcPr>
            <w:tcW w:w="16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Nominating and Governance Committee &amp;</w:t>
            </w:r>
          </w:p>
        </w:tc>
        <w:tc>
          <w:tcPr>
            <w:tcW w:w="16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III</w:t>
            </w:r>
          </w:p>
        </w:tc>
        <w:tc>
          <w:tcPr>
            <w:tcW w:w="18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Independent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Borders>
              <w:right w:val="single" w:sz="8" w:color="C7CDE8"/>
            </w:tcBorders>
          </w:tcPr>
          <w:p>
            <w:pPr>
              <w:spacing w:after="0"/>
              <w:rPr>
                <w:sz w:val="17"/>
                <w:szCs w:val="17"/>
                <w:color w:val="auto"/>
              </w:rPr>
            </w:pPr>
          </w:p>
        </w:tc>
        <w:tc>
          <w:tcPr>
            <w:tcW w:w="1520" w:type="dxa"/>
            <w:vAlign w:val="bottom"/>
            <w:shd w:val="clear" w:color="auto" w:fill="C7CDE8"/>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Thomas Looney</w:t>
            </w:r>
          </w:p>
        </w:tc>
        <w:tc>
          <w:tcPr>
            <w:tcW w:w="160" w:type="dxa"/>
            <w:vAlign w:val="bottom"/>
            <w:shd w:val="clear" w:color="auto" w:fill="C7CDE8"/>
          </w:tcPr>
          <w:p>
            <w:pPr>
              <w:spacing w:after="0"/>
              <w:rPr>
                <w:sz w:val="17"/>
                <w:szCs w:val="17"/>
                <w:color w:val="auto"/>
              </w:rPr>
            </w:pPr>
          </w:p>
        </w:tc>
        <w:tc>
          <w:tcPr>
            <w:tcW w:w="370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Chair of the Compensation Committee and</w:t>
            </w:r>
          </w:p>
        </w:tc>
        <w:tc>
          <w:tcPr>
            <w:tcW w:w="160" w:type="dxa"/>
            <w:vAlign w:val="bottom"/>
            <w:shd w:val="clear" w:color="auto" w:fill="C7CDE8"/>
          </w:tcPr>
          <w:p>
            <w:pPr>
              <w:spacing w:after="0"/>
              <w:rPr>
                <w:sz w:val="17"/>
                <w:szCs w:val="17"/>
                <w:color w:val="auto"/>
              </w:rPr>
            </w:pPr>
          </w:p>
        </w:tc>
        <w:tc>
          <w:tcPr>
            <w:tcW w:w="6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Class III</w:t>
            </w:r>
          </w:p>
        </w:tc>
        <w:tc>
          <w:tcPr>
            <w:tcW w:w="180" w:type="dxa"/>
            <w:vAlign w:val="bottom"/>
            <w:shd w:val="clear" w:color="auto" w:fill="C7CDE8"/>
          </w:tcPr>
          <w:p>
            <w:pPr>
              <w:spacing w:after="0"/>
              <w:rPr>
                <w:sz w:val="17"/>
                <w:szCs w:val="17"/>
                <w:color w:val="auto"/>
              </w:rPr>
            </w:pPr>
          </w:p>
        </w:tc>
        <w:tc>
          <w:tcPr>
            <w:tcW w:w="19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shd w:val="clear" w:color="auto" w:fill="C7CDE8"/>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1340" w:type="dxa"/>
            <w:vAlign w:val="bottom"/>
            <w:tcBorders>
              <w:right w:val="single" w:sz="8" w:color="C7CDE8"/>
            </w:tcBorders>
          </w:tcPr>
          <w:p>
            <w:pPr>
              <w:spacing w:after="0"/>
              <w:rPr>
                <w:sz w:val="20"/>
                <w:szCs w:val="20"/>
                <w:color w:val="auto"/>
              </w:rPr>
            </w:pPr>
          </w:p>
        </w:tc>
        <w:tc>
          <w:tcPr>
            <w:tcW w:w="1520" w:type="dxa"/>
            <w:vAlign w:val="bottom"/>
            <w:shd w:val="clear" w:color="auto" w:fill="C7CDE8"/>
          </w:tcPr>
          <w:p>
            <w:pPr>
              <w:spacing w:after="0"/>
              <w:rPr>
                <w:sz w:val="20"/>
                <w:szCs w:val="20"/>
                <w:color w:val="auto"/>
              </w:rPr>
            </w:pPr>
          </w:p>
        </w:tc>
        <w:tc>
          <w:tcPr>
            <w:tcW w:w="160" w:type="dxa"/>
            <w:vAlign w:val="bottom"/>
            <w:shd w:val="clear" w:color="auto" w:fill="C7CDE8"/>
          </w:tcPr>
          <w:p>
            <w:pPr>
              <w:spacing w:after="0"/>
              <w:rPr>
                <w:sz w:val="20"/>
                <w:szCs w:val="20"/>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Audit Committee Member; Independent Director</w:t>
            </w:r>
          </w:p>
        </w:tc>
        <w:tc>
          <w:tcPr>
            <w:tcW w:w="160" w:type="dxa"/>
            <w:vAlign w:val="bottom"/>
            <w:shd w:val="clear" w:color="auto" w:fill="C7CDE8"/>
          </w:tcPr>
          <w:p>
            <w:pPr>
              <w:spacing w:after="0"/>
              <w:rPr>
                <w:sz w:val="20"/>
                <w:szCs w:val="20"/>
                <w:color w:val="auto"/>
              </w:rPr>
            </w:pPr>
          </w:p>
        </w:tc>
        <w:tc>
          <w:tcPr>
            <w:tcW w:w="640" w:type="dxa"/>
            <w:vAlign w:val="bottom"/>
            <w:shd w:val="clear" w:color="auto" w:fill="C7CDE8"/>
          </w:tcPr>
          <w:p>
            <w:pPr>
              <w:spacing w:after="0"/>
              <w:rPr>
                <w:sz w:val="20"/>
                <w:szCs w:val="20"/>
                <w:color w:val="auto"/>
              </w:rPr>
            </w:pPr>
          </w:p>
        </w:tc>
        <w:tc>
          <w:tcPr>
            <w:tcW w:w="180" w:type="dxa"/>
            <w:vAlign w:val="bottom"/>
            <w:shd w:val="clear" w:color="auto" w:fill="C7CDE8"/>
          </w:tcPr>
          <w:p>
            <w:pPr>
              <w:spacing w:after="0"/>
              <w:rPr>
                <w:sz w:val="20"/>
                <w:szCs w:val="20"/>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shd w:val="clear" w:color="auto" w:fill="C7CDE8"/>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5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Renah Persofsky</w:t>
            </w:r>
          </w:p>
        </w:tc>
        <w:tc>
          <w:tcPr>
            <w:tcW w:w="16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Vice-Chair (Lead Director) and Chair of the</w:t>
            </w:r>
          </w:p>
        </w:tc>
        <w:tc>
          <w:tcPr>
            <w:tcW w:w="160" w:type="dxa"/>
            <w:vAlign w:val="bottom"/>
          </w:tcPr>
          <w:p>
            <w:pPr>
              <w:spacing w:after="0"/>
              <w:rPr>
                <w:sz w:val="17"/>
                <w:szCs w:val="17"/>
                <w:color w:val="auto"/>
              </w:rPr>
            </w:pPr>
          </w:p>
        </w:tc>
        <w:tc>
          <w:tcPr>
            <w:tcW w:w="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II</w:t>
            </w:r>
          </w:p>
        </w:tc>
        <w:tc>
          <w:tcPr>
            <w:tcW w:w="180" w:type="dxa"/>
            <w:vAlign w:val="bottom"/>
          </w:tcPr>
          <w:p>
            <w:pPr>
              <w:spacing w:after="0"/>
              <w:rPr>
                <w:sz w:val="17"/>
                <w:szCs w:val="17"/>
                <w:color w:val="auto"/>
              </w:rPr>
            </w:pP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8"/>
        </w:trPr>
        <w:tc>
          <w:tcPr>
            <w:tcW w:w="1340" w:type="dxa"/>
            <w:vAlign w:val="bottom"/>
            <w:tcBorders>
              <w:right w:val="single" w:sz="8" w:color="C7CDE8"/>
            </w:tcBorders>
          </w:tcPr>
          <w:p>
            <w:pPr>
              <w:spacing w:after="0"/>
              <w:rPr>
                <w:sz w:val="17"/>
                <w:szCs w:val="17"/>
                <w:color w:val="auto"/>
              </w:rPr>
            </w:pPr>
          </w:p>
        </w:tc>
        <w:tc>
          <w:tcPr>
            <w:tcW w:w="1520" w:type="dxa"/>
            <w:vAlign w:val="bottom"/>
            <w:shd w:val="clear" w:color="auto" w:fill="C7CDE8"/>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Irwin D. Simon</w:t>
            </w:r>
          </w:p>
        </w:tc>
        <w:tc>
          <w:tcPr>
            <w:tcW w:w="160" w:type="dxa"/>
            <w:vAlign w:val="bottom"/>
            <w:shd w:val="clear" w:color="auto" w:fill="C7CDE8"/>
          </w:tcPr>
          <w:p>
            <w:pPr>
              <w:spacing w:after="0"/>
              <w:rPr>
                <w:sz w:val="17"/>
                <w:szCs w:val="17"/>
                <w:color w:val="auto"/>
              </w:rPr>
            </w:pPr>
          </w:p>
        </w:tc>
        <w:tc>
          <w:tcPr>
            <w:tcW w:w="370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Chairman of the Board of Directors; President and</w:t>
            </w:r>
          </w:p>
        </w:tc>
        <w:tc>
          <w:tcPr>
            <w:tcW w:w="160" w:type="dxa"/>
            <w:vAlign w:val="bottom"/>
            <w:shd w:val="clear" w:color="auto" w:fill="C7CDE8"/>
          </w:tcPr>
          <w:p>
            <w:pPr>
              <w:spacing w:after="0"/>
              <w:rPr>
                <w:sz w:val="17"/>
                <w:szCs w:val="17"/>
                <w:color w:val="auto"/>
              </w:rPr>
            </w:pPr>
          </w:p>
        </w:tc>
        <w:tc>
          <w:tcPr>
            <w:tcW w:w="6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Class II</w:t>
            </w:r>
          </w:p>
        </w:tc>
        <w:tc>
          <w:tcPr>
            <w:tcW w:w="180" w:type="dxa"/>
            <w:vAlign w:val="bottom"/>
            <w:shd w:val="clear" w:color="auto" w:fill="C7CDE8"/>
          </w:tcPr>
          <w:p>
            <w:pPr>
              <w:spacing w:after="0"/>
              <w:rPr>
                <w:sz w:val="17"/>
                <w:szCs w:val="17"/>
                <w:color w:val="auto"/>
              </w:rPr>
            </w:pPr>
          </w:p>
        </w:tc>
        <w:tc>
          <w:tcPr>
            <w:tcW w:w="1940" w:type="dxa"/>
            <w:vAlign w:val="bottom"/>
            <w:shd w:val="clear" w:color="auto" w:fill="C7CDE8"/>
          </w:tcPr>
          <w:p>
            <w:pPr>
              <w:spacing w:after="0" w:line="198" w:lineRule="exact"/>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shd w:val="clear" w:color="auto" w:fill="C7CDE8"/>
          </w:tcPr>
          <w:p>
            <w:pPr>
              <w:spacing w:after="0"/>
              <w:rPr>
                <w:sz w:val="17"/>
                <w:szCs w:val="17"/>
                <w:color w:val="auto"/>
              </w:rPr>
            </w:pPr>
          </w:p>
        </w:tc>
        <w:tc>
          <w:tcPr>
            <w:tcW w:w="1300" w:type="dxa"/>
            <w:vAlign w:val="bottom"/>
          </w:tcPr>
          <w:p>
            <w:pPr>
              <w:spacing w:after="0"/>
              <w:rPr>
                <w:sz w:val="17"/>
                <w:szCs w:val="17"/>
                <w:color w:val="auto"/>
              </w:rPr>
            </w:pPr>
          </w:p>
        </w:tc>
      </w:tr>
      <w:tr>
        <w:trPr>
          <w:trHeight w:val="268"/>
        </w:trPr>
        <w:tc>
          <w:tcPr>
            <w:tcW w:w="1340" w:type="dxa"/>
            <w:vAlign w:val="bottom"/>
            <w:tcBorders>
              <w:right w:val="single" w:sz="8" w:color="C7CDE8"/>
            </w:tcBorders>
          </w:tcPr>
          <w:p>
            <w:pPr>
              <w:spacing w:after="0"/>
              <w:rPr>
                <w:sz w:val="23"/>
                <w:szCs w:val="23"/>
                <w:color w:val="auto"/>
              </w:rPr>
            </w:pPr>
          </w:p>
        </w:tc>
        <w:tc>
          <w:tcPr>
            <w:tcW w:w="1520" w:type="dxa"/>
            <w:vAlign w:val="bottom"/>
            <w:tcBorders>
              <w:bottom w:val="single" w:sz="8" w:color="C7CDE8"/>
            </w:tcBorders>
            <w:shd w:val="clear" w:color="auto" w:fill="C7CDE8"/>
          </w:tcPr>
          <w:p>
            <w:pPr>
              <w:spacing w:after="0"/>
              <w:rPr>
                <w:sz w:val="23"/>
                <w:szCs w:val="23"/>
                <w:color w:val="auto"/>
              </w:rPr>
            </w:pPr>
          </w:p>
        </w:tc>
        <w:tc>
          <w:tcPr>
            <w:tcW w:w="160" w:type="dxa"/>
            <w:vAlign w:val="bottom"/>
            <w:tcBorders>
              <w:bottom w:val="single" w:sz="8" w:color="C7CDE8"/>
            </w:tcBorders>
            <w:shd w:val="clear" w:color="auto" w:fill="C7CDE8"/>
          </w:tcPr>
          <w:p>
            <w:pPr>
              <w:spacing w:after="0"/>
              <w:rPr>
                <w:sz w:val="23"/>
                <w:szCs w:val="23"/>
                <w:color w:val="auto"/>
              </w:rPr>
            </w:pPr>
          </w:p>
        </w:tc>
        <w:tc>
          <w:tcPr>
            <w:tcW w:w="370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Borders>
              <w:bottom w:val="single" w:sz="8" w:color="C7CDE8"/>
            </w:tcBorders>
            <w:shd w:val="clear" w:color="auto" w:fill="C7CDE8"/>
          </w:tcPr>
          <w:p>
            <w:pPr>
              <w:spacing w:after="0"/>
              <w:rPr>
                <w:sz w:val="23"/>
                <w:szCs w:val="23"/>
                <w:color w:val="auto"/>
              </w:rPr>
            </w:pPr>
          </w:p>
        </w:tc>
        <w:tc>
          <w:tcPr>
            <w:tcW w:w="640" w:type="dxa"/>
            <w:vAlign w:val="bottom"/>
            <w:tcBorders>
              <w:bottom w:val="single" w:sz="8" w:color="C7CDE8"/>
            </w:tcBorders>
            <w:shd w:val="clear" w:color="auto" w:fill="C7CDE8"/>
          </w:tcPr>
          <w:p>
            <w:pPr>
              <w:spacing w:after="0"/>
              <w:rPr>
                <w:sz w:val="23"/>
                <w:szCs w:val="23"/>
                <w:color w:val="auto"/>
              </w:rPr>
            </w:pPr>
          </w:p>
        </w:tc>
        <w:tc>
          <w:tcPr>
            <w:tcW w:w="180" w:type="dxa"/>
            <w:vAlign w:val="bottom"/>
            <w:tcBorders>
              <w:bottom w:val="single" w:sz="8" w:color="C7CDE8"/>
            </w:tcBorders>
            <w:shd w:val="clear" w:color="auto" w:fill="C7CDE8"/>
          </w:tcPr>
          <w:p>
            <w:pPr>
              <w:spacing w:after="0"/>
              <w:rPr>
                <w:sz w:val="23"/>
                <w:szCs w:val="23"/>
                <w:color w:val="auto"/>
              </w:rPr>
            </w:pPr>
          </w:p>
        </w:tc>
        <w:tc>
          <w:tcPr>
            <w:tcW w:w="194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Borders>
              <w:bottom w:val="single" w:sz="8" w:color="C7CDE8"/>
            </w:tcBorders>
            <w:shd w:val="clear" w:color="auto" w:fill="C7CDE8"/>
          </w:tcPr>
          <w:p>
            <w:pPr>
              <w:spacing w:after="0"/>
              <w:rPr>
                <w:sz w:val="23"/>
                <w:szCs w:val="23"/>
                <w:color w:val="auto"/>
              </w:rPr>
            </w:pPr>
          </w:p>
        </w:tc>
        <w:tc>
          <w:tcPr>
            <w:tcW w:w="1300" w:type="dxa"/>
            <w:vAlign w:val="bottom"/>
          </w:tcPr>
          <w:p>
            <w:pPr>
              <w:spacing w:after="0"/>
              <w:rPr>
                <w:sz w:val="23"/>
                <w:szCs w:val="23"/>
                <w:color w:val="auto"/>
              </w:rPr>
            </w:pPr>
          </w:p>
        </w:tc>
      </w:tr>
      <w:tr>
        <w:trPr>
          <w:trHeight w:val="540"/>
        </w:trPr>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gridSpan w:val="2"/>
          </w:tcPr>
          <w:p>
            <w:pPr>
              <w:jc w:val="right"/>
              <w:ind w:right="109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215" w:right="439" w:bottom="1440" w:gutter="0" w:footer="0" w:header="0"/>
        </w:sectPr>
      </w:pPr>
    </w:p>
    <w:bookmarkStart w:id="5" w:name="page6"/>
    <w:bookmarkEnd w:id="5"/>
    <w:p>
      <w:pPr>
        <w:ind w:left="300"/>
        <w:spacing w:after="0"/>
        <w:rPr>
          <w:sz w:val="20"/>
          <w:szCs w:val="20"/>
          <w:color w:val="auto"/>
        </w:rPr>
      </w:pPr>
      <w:r>
        <w:rPr>
          <w:rFonts w:ascii="Arial" w:cs="Arial" w:eastAsia="Arial" w:hAnsi="Arial"/>
          <w:sz w:val="17"/>
          <w:szCs w:val="17"/>
          <w:b w:val="1"/>
          <w:bCs w:val="1"/>
          <w:color w:val="00489A"/>
        </w:rPr>
        <w:t>The Annual Meeting – Thursday, November 21, 2024, at 11:00 a.m. 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33020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Why am I receiving these materials?</w:t>
      </w:r>
    </w:p>
    <w:p>
      <w:pPr>
        <w:spacing w:after="0" w:line="10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26, 2024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will be entitled to vote at the Annual Meeting. On this record date, there were 875,444,828 shares of common stock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Why is the meeting being held virtually this year?</w:t>
      </w:r>
    </w:p>
    <w:p>
      <w:pPr>
        <w:spacing w:after="0" w:line="104"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As was the case with our 2023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ww.virtualshareholdermeeting.com/TLRY2024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w:t>
      </w:r>
    </w:p>
    <w:p>
      <w:pPr>
        <w:spacing w:after="0" w:line="148" w:lineRule="exact"/>
        <w:rPr>
          <w:sz w:val="20"/>
          <w:szCs w:val="20"/>
          <w:color w:val="auto"/>
        </w:rPr>
      </w:pPr>
    </w:p>
    <w:p>
      <w:pPr>
        <w:ind w:left="300" w:right="419"/>
        <w:spacing w:after="0" w:line="281" w:lineRule="auto"/>
        <w:rPr>
          <w:sz w:val="20"/>
          <w:szCs w:val="20"/>
          <w:color w:val="auto"/>
        </w:rPr>
      </w:pPr>
      <w:r>
        <w:rPr>
          <w:rFonts w:ascii="Arial" w:cs="Arial" w:eastAsia="Arial" w:hAnsi="Arial"/>
          <w:sz w:val="18"/>
          <w:szCs w:val="18"/>
          <w:b w:val="1"/>
          <w:bCs w:val="1"/>
          <w:color w:val="00489A"/>
        </w:rPr>
        <w:t>Why did I receive a notice in the mail regarding the Internet availability of proxy materials instead of a full set of printed proxy materials?</w:t>
      </w:r>
    </w:p>
    <w:p>
      <w:pPr>
        <w:spacing w:after="0" w:line="25"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we are making this Proxy Statement for the Annual Meeting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and our Annual Report for the fiscal year ended May 31, 2024 (the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xml:space="preserve">,” and, together with this Proxy Statement, the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Proxy Materials</w:t>
      </w:r>
      <w:r>
        <w:rPr>
          <w:rFonts w:ascii="Times New Roman" w:cs="Times New Roman" w:eastAsia="Times New Roman" w:hAnsi="Times New Roman"/>
          <w:sz w:val="18"/>
          <w:szCs w:val="18"/>
          <w:color w:val="auto"/>
        </w:rPr>
        <w:t>”)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w:t>
      </w:r>
    </w:p>
    <w:p>
      <w:pPr>
        <w:spacing w:after="0" w:line="8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On or about September 26, 2024,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27, 2024.</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can I electronically access the Proxy Materials?</w:t>
      </w:r>
    </w:p>
    <w:p>
      <w:pPr>
        <w:spacing w:after="0" w:line="104" w:lineRule="exact"/>
        <w:rPr>
          <w:sz w:val="20"/>
          <w:szCs w:val="20"/>
          <w:color w:val="auto"/>
        </w:rPr>
      </w:pPr>
    </w:p>
    <w:p>
      <w:pPr>
        <w:ind w:left="300" w:right="1239" w:firstLine="360"/>
        <w:spacing w:after="0" w:line="312" w:lineRule="auto"/>
        <w:rPr>
          <w:sz w:val="20"/>
          <w:szCs w:val="20"/>
          <w:color w:val="auto"/>
        </w:rPr>
      </w:pPr>
      <w:r>
        <w:rPr>
          <w:rFonts w:ascii="Times New Roman" w:cs="Times New Roman" w:eastAsia="Times New Roman" w:hAnsi="Times New Roman"/>
          <w:sz w:val="17"/>
          <w:szCs w:val="17"/>
          <w:color w:val="auto"/>
        </w:rPr>
        <w:t xml:space="preserve">Beginning September 27, 2024, you can access the Proxy Materials and vote your shares online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The Proxy Materials are also available on our own website (</w:t>
      </w:r>
      <w:r>
        <w:rPr>
          <w:rFonts w:ascii="Times New Roman" w:cs="Times New Roman" w:eastAsia="Times New Roman" w:hAnsi="Times New Roman"/>
          <w:sz w:val="17"/>
          <w:szCs w:val="17"/>
          <w:i w:val="1"/>
          <w:iCs w:val="1"/>
          <w:color w:val="auto"/>
        </w:rPr>
        <w:t>https:www.tilray.com).</w:t>
      </w:r>
    </w:p>
    <w:p>
      <w:pPr>
        <w:spacing w:after="0" w:line="1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can I obtain a full set of printed Proxy Materials?</w:t>
      </w:r>
    </w:p>
    <w:p>
      <w:pPr>
        <w:spacing w:after="0" w:line="104" w:lineRule="exact"/>
        <w:rPr>
          <w:sz w:val="20"/>
          <w:szCs w:val="20"/>
          <w:color w:val="auto"/>
        </w:rPr>
      </w:pPr>
    </w:p>
    <w:p>
      <w:pPr>
        <w:jc w:val="both"/>
        <w:ind w:left="300" w:right="6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using the credentials provided on your Notice or proxy card.</w:t>
      </w:r>
    </w:p>
    <w:p>
      <w:pPr>
        <w:spacing w:after="0" w:line="117" w:lineRule="exact"/>
        <w:rPr>
          <w:sz w:val="20"/>
          <w:szCs w:val="20"/>
          <w:color w:val="auto"/>
        </w:rPr>
      </w:pPr>
    </w:p>
    <w:p>
      <w:pPr>
        <w:ind w:left="300" w:right="539"/>
        <w:spacing w:after="0" w:line="281" w:lineRule="auto"/>
        <w:rPr>
          <w:sz w:val="20"/>
          <w:szCs w:val="20"/>
          <w:color w:val="auto"/>
        </w:rPr>
      </w:pPr>
      <w:r>
        <w:rPr>
          <w:rFonts w:ascii="Arial" w:cs="Arial" w:eastAsia="Arial" w:hAnsi="Arial"/>
          <w:sz w:val="18"/>
          <w:szCs w:val="18"/>
          <w:b w:val="1"/>
          <w:bCs w:val="1"/>
          <w:color w:val="00489A"/>
        </w:rPr>
        <w:t>How many shares are eligible to be voted and how many shares are required to hold the Annual Meeting?</w:t>
      </w:r>
    </w:p>
    <w:p>
      <w:pPr>
        <w:spacing w:after="0" w:line="2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875,444,828 shares of our Common Stock outstanding – each entitled to one vote at the Annual Meeting – meaning that 291,814,943 shares of Common Stock must be represented in person or by proxy to have a quorum. Our Common Stock is our only outstanding class of voting securities. For purposes of determining whether a quorum exists, broker non-votes and proxies received but marked “ABSTAIN” will be counted.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18"/>
          <w:szCs w:val="18"/>
          <w:b w:val="1"/>
          <w:bCs w:val="1"/>
          <w:color w:val="00489A"/>
        </w:rPr>
        <w:t>What am I voting 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voting on proposals to:</w:t>
      </w:r>
    </w:p>
    <w:p>
      <w:pPr>
        <w:spacing w:after="0" w:line="117" w:lineRule="exact"/>
        <w:rPr>
          <w:sz w:val="20"/>
          <w:szCs w:val="20"/>
          <w:color w:val="auto"/>
        </w:rPr>
      </w:pPr>
    </w:p>
    <w:p>
      <w:pPr>
        <w:ind w:left="1000" w:right="75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Mr. Hopkinson and Mr. Looney, the two (2) Class III director nominees, each to serve a term of three years expiring at the 2027 Annual Meeting of Stockholders, to our Board;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PricewaterhouseCoopers LLP as our independent registered public accounting firm for the fiscal year ending May 31, 2025;</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increase the number of shares of common stock the Company is authorized to issue from 1,208,000,000 shares of capital stock to 1,426,000,000 shares of capital stock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57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governance changes to the Company’s Fourth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cs="Times New Roman" w:eastAsia="Times New Roman" w:hAnsi="Times New Roman"/>
          <w:sz w:val="18"/>
          <w:szCs w:val="18"/>
          <w:b w:val="1"/>
          <w:bCs w:val="1"/>
          <w:i w:val="1"/>
          <w:iCs w:val="1"/>
          <w:color w:val="auto"/>
        </w:rPr>
        <w:t>Governance Proposal</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any other business that may properly come before the Annual Meeting or any adjournment or postponement of the Annual Meeting.</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does the Board recommend that I vote?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w:t>
      </w:r>
    </w:p>
    <w:p>
      <w:pPr>
        <w:spacing w:after="0" w:line="113"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(2) Class III director nominees;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our independent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accounting firm for the fiscal year ending May 31, 2025;</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Authorized Shares Proposal: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Governance Proposal.</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do I vote?</w:t>
      </w:r>
    </w:p>
    <w:p>
      <w:pPr>
        <w:spacing w:after="0" w:line="104" w:lineRule="exact"/>
        <w:rPr>
          <w:sz w:val="20"/>
          <w:szCs w:val="20"/>
          <w:color w:val="auto"/>
        </w:rPr>
      </w:pPr>
    </w:p>
    <w:p>
      <w:pPr>
        <w:jc w:val="both"/>
        <w:ind w:left="300" w:right="659" w:firstLine="360"/>
        <w:spacing w:after="0" w:line="289" w:lineRule="auto"/>
        <w:rPr>
          <w:sz w:val="20"/>
          <w:szCs w:val="20"/>
          <w:color w:val="auto"/>
        </w:rPr>
      </w:pPr>
      <w:r>
        <w:rPr>
          <w:rFonts w:ascii="Times New Roman" w:cs="Times New Roman" w:eastAsia="Times New Roman" w:hAnsi="Times New Roman"/>
          <w:sz w:val="17"/>
          <w:szCs w:val="17"/>
          <w:color w:val="auto"/>
        </w:rPr>
        <w:t>You may vote “For” or “Withhold” for the nominees to the Board. For the Authorized Shares Proposal, the Governance Proposal and for the ratification of the selection of PricewaterhouseCoopers LLP as the Company’s independent registered public accounting firm, you may vote “For” or “Against” or abstain from voting.</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0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by “virtually” attending the Annual Meeting (via the following link: www.virtualshareholdermeeting.com/TLRY2024), vote by proxy through the internet or vote by proxy using the enclosed proxy card. Whether or not you plan to attend the meeting, we urge you to vote by proxy to ensure your vote is counted. You may still attend the meeting and vote even if you have already voted by proxy.</w:t>
      </w:r>
    </w:p>
    <w:p>
      <w:pPr>
        <w:spacing w:after="0" w:line="72" w:lineRule="exact"/>
        <w:rPr>
          <w:sz w:val="20"/>
          <w:szCs w:val="20"/>
          <w:color w:val="auto"/>
        </w:rPr>
      </w:pPr>
    </w:p>
    <w:p>
      <w:pPr>
        <w:ind w:left="1000" w:right="1739" w:hanging="348"/>
        <w:spacing w:after="0" w:line="312"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by “virtually” attending the Annual Meeting, login to the link: www.virtualshareholdermeeting.com/TLRY2024, and follow the instructions provided.</w:t>
      </w:r>
    </w:p>
    <w:p>
      <w:pPr>
        <w:spacing w:after="0" w:line="31" w:lineRule="exact"/>
        <w:rPr>
          <w:rFonts w:ascii="Times New Roman" w:cs="Times New Roman" w:eastAsia="Times New Roman" w:hAnsi="Times New Roman"/>
          <w:sz w:val="17"/>
          <w:szCs w:val="17"/>
          <w:color w:val="auto"/>
        </w:rPr>
      </w:pPr>
    </w:p>
    <w:p>
      <w:pPr>
        <w:ind w:left="1000" w:right="31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enclosed proxy card, simply complete, sign and date the enclosed proxy card that may be delivered and return it promptly in the envelope provided. If you return your signed proxy card to us before the Annual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the company number and control number from the enclosed proxy cards. Your internet vote must be received by 11:59 PM EST, on November 21, 2024 to be counted.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02" w:lineRule="exact"/>
        <w:rPr>
          <w:sz w:val="20"/>
          <w:szCs w:val="20"/>
          <w:color w:val="auto"/>
        </w:rPr>
      </w:pPr>
    </w:p>
    <w:p>
      <w:pPr>
        <w:jc w:val="both"/>
        <w:ind w:left="300" w:right="479" w:firstLine="360"/>
        <w:spacing w:after="0" w:line="289"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 w:name="page8"/>
    <w:bookmarkEnd w:id="7"/>
    <w:p>
      <w:pPr>
        <w:ind w:left="300" w:right="459"/>
        <w:spacing w:after="0" w:line="266" w:lineRule="auto"/>
        <w:rPr>
          <w:sz w:val="20"/>
          <w:szCs w:val="20"/>
          <w:color w:val="auto"/>
        </w:rPr>
      </w:pPr>
      <w:r>
        <w:rPr>
          <w:rFonts w:ascii="Times New Roman" w:cs="Times New Roman" w:eastAsia="Times New Roman" w:hAnsi="Times New Roman"/>
          <w:sz w:val="18"/>
          <w:szCs w:val="18"/>
          <w:color w:val="auto"/>
        </w:rPr>
        <w:t>attending the Annual Meeting, you must obtain a valid proxy from your broker, bank or other agent. Follow the instructions from your broker, bank or other agent included with these proxy materials, or contact that organization to request a proxy form.</w:t>
      </w:r>
    </w:p>
    <w:p>
      <w:pPr>
        <w:spacing w:after="0" w:line="135" w:lineRule="exact"/>
        <w:rPr>
          <w:sz w:val="20"/>
          <w:szCs w:val="20"/>
          <w:color w:val="auto"/>
        </w:rPr>
      </w:pPr>
    </w:p>
    <w:p>
      <w:pPr>
        <w:ind w:left="300" w:right="899"/>
        <w:spacing w:after="0" w:line="281" w:lineRule="auto"/>
        <w:rPr>
          <w:sz w:val="20"/>
          <w:szCs w:val="20"/>
          <w:color w:val="auto"/>
        </w:rPr>
      </w:pPr>
      <w:r>
        <w:rPr>
          <w:rFonts w:ascii="Arial" w:cs="Arial" w:eastAsia="Arial" w:hAnsi="Arial"/>
          <w:sz w:val="18"/>
          <w:szCs w:val="18"/>
          <w:b w:val="1"/>
          <w:bCs w:val="1"/>
          <w:color w:val="00489A"/>
        </w:rPr>
        <w:t>If I am a stockholder of record and I do not vote, or if I return a proxy card or otherwise vote without giving specific voting instructions, what happens?</w:t>
      </w:r>
    </w:p>
    <w:p>
      <w:pPr>
        <w:spacing w:after="0" w:line="2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through the internet or by “virtually” attending the Annual Meeting, your shares will not be voted at the Annual Meeting.</w:t>
      </w:r>
    </w:p>
    <w:p>
      <w:pPr>
        <w:spacing w:after="0" w:line="54" w:lineRule="exact"/>
        <w:rPr>
          <w:sz w:val="20"/>
          <w:szCs w:val="20"/>
          <w:color w:val="auto"/>
        </w:rPr>
      </w:pPr>
    </w:p>
    <w:p>
      <w:pPr>
        <w:ind w:left="300" w:right="439" w:firstLine="360"/>
        <w:spacing w:after="0" w:line="272" w:lineRule="auto"/>
        <w:rPr>
          <w:sz w:val="20"/>
          <w:szCs w:val="20"/>
          <w:color w:val="auto"/>
        </w:rPr>
      </w:pPr>
      <w:r>
        <w:rPr>
          <w:rFonts w:ascii="Times New Roman" w:cs="Times New Roman" w:eastAsia="Times New Roman" w:hAnsi="Times New Roman"/>
          <w:sz w:val="17"/>
          <w:szCs w:val="17"/>
          <w:color w:val="auto"/>
        </w:rPr>
        <w:t xml:space="preserve">If you return a signed and dated proxy card or otherwise vote without marking your voting selections, your shares will be voted as recommended by the Board. Specifically, your shares will be voted, as applicable, “For” the election of the nominees for Class III director, “For” the Authorized Shares Proposal, “For” the Governance Proposal, and “For” the ratification of selection by the Audit Committee of the Board of PricewaterhouseCoopers LLP as independent registered public accounting firm of the Company for its fiscal year ending May 31, 2025. </w:t>
      </w:r>
      <w:r>
        <w:rPr>
          <w:rFonts w:ascii="Times New Roman" w:cs="Times New Roman" w:eastAsia="Times New Roman" w:hAnsi="Times New Roman"/>
          <w:sz w:val="17"/>
          <w:szCs w:val="17"/>
          <w:b w:val="1"/>
          <w:bCs w:val="1"/>
          <w:color w:val="auto"/>
        </w:rPr>
        <w:t>If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can I participate and ask questions at the Annual Meeting?</w:t>
      </w:r>
    </w:p>
    <w:p>
      <w:pPr>
        <w:spacing w:after="0" w:line="10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We are committed to ensuring that our stockholders have substantially the same opportunities to participate in the Annual Meeting as they would at an in-person meeting. To vote or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What if I need assistance with voting or have technical problems regarding the Annual Meeting?</w:t>
      </w:r>
    </w:p>
    <w:p>
      <w:pPr>
        <w:spacing w:after="0" w:line="10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What if another matter is properly brought before the meeting?</w:t>
      </w:r>
    </w:p>
    <w:p>
      <w:pPr>
        <w:spacing w:after="0" w:line="10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300"/>
        <w:spacing w:after="0"/>
        <w:rPr>
          <w:sz w:val="20"/>
          <w:szCs w:val="20"/>
          <w:color w:val="auto"/>
        </w:rPr>
      </w:pPr>
      <w:r>
        <w:rPr>
          <w:rFonts w:ascii="Arial" w:cs="Arial" w:eastAsia="Arial" w:hAnsi="Arial"/>
          <w:sz w:val="18"/>
          <w:szCs w:val="18"/>
          <w:b w:val="1"/>
          <w:bCs w:val="1"/>
          <w:color w:val="00489A"/>
        </w:rPr>
        <w:t>How many votes are required to approve each proposal?</w:t>
      </w:r>
    </w:p>
    <w:p>
      <w:pPr>
        <w:spacing w:after="0" w:line="103" w:lineRule="exact"/>
        <w:rPr>
          <w:sz w:val="20"/>
          <w:szCs w:val="20"/>
          <w:color w:val="auto"/>
        </w:rPr>
      </w:pPr>
    </w:p>
    <w:p>
      <w:pPr>
        <w:ind w:left="300" w:right="619" w:firstLine="360"/>
        <w:spacing w:after="0" w:line="257" w:lineRule="auto"/>
        <w:rPr>
          <w:sz w:val="20"/>
          <w:szCs w:val="20"/>
          <w:color w:val="auto"/>
        </w:rPr>
      </w:pPr>
      <w:r>
        <w:rPr>
          <w:rFonts w:ascii="Times New Roman" w:cs="Times New Roman" w:eastAsia="Times New Roman" w:hAnsi="Times New Roman"/>
          <w:sz w:val="18"/>
          <w:szCs w:val="18"/>
          <w:color w:val="auto"/>
        </w:rPr>
        <w:t>The table below summarizes the proposals that will be voted on, the vote required to approve each item and how votes are counted.</w:t>
      </w:r>
    </w:p>
    <w:tbl>
      <w:tblPr>
        <w:tblLayout w:type="fixed"/>
        <w:tblInd w:w="300" w:type="dxa"/>
        <w:tblCellMar>
          <w:top w:w="0" w:type="dxa"/>
          <w:left w:w="0" w:type="dxa"/>
          <w:bottom w:w="0" w:type="dxa"/>
          <w:right w:w="0" w:type="dxa"/>
        </w:tblCellMar>
      </w:tblPr>
      <w:tr>
        <w:trPr>
          <w:trHeight w:val="131"/>
        </w:trPr>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Impact of</w:t>
            </w:r>
          </w:p>
        </w:tc>
        <w:tc>
          <w:tcPr>
            <w:tcW w:w="102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Broker</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100" w:type="dxa"/>
            <w:vAlign w:val="bottom"/>
          </w:tcPr>
          <w:p>
            <w:pPr>
              <w:spacing w:after="0"/>
              <w:rPr>
                <w:sz w:val="12"/>
                <w:szCs w:val="12"/>
                <w:color w:val="auto"/>
              </w:rPr>
            </w:pPr>
          </w:p>
        </w:tc>
        <w:tc>
          <w:tcPr>
            <w:tcW w:w="2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Votes Required</w:t>
            </w: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Voting Options</w:t>
            </w:r>
          </w:p>
        </w:tc>
        <w:tc>
          <w:tcPr>
            <w:tcW w:w="80" w:type="dxa"/>
            <w:vAlign w:val="bottom"/>
          </w:tcPr>
          <w:p>
            <w:pPr>
              <w:spacing w:after="0"/>
              <w:rPr>
                <w:sz w:val="12"/>
                <w:szCs w:val="12"/>
                <w:color w:val="auto"/>
              </w:rPr>
            </w:pPr>
          </w:p>
        </w:tc>
        <w:tc>
          <w:tcPr>
            <w:tcW w:w="11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“Withhold” or</w:t>
            </w:r>
          </w:p>
        </w:tc>
        <w:tc>
          <w:tcPr>
            <w:tcW w:w="10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Discretionary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“Abstain” Votes</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Voting Allowed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C7CDE8"/>
            </w:tcBorders>
            <w:shd w:val="clear" w:color="auto" w:fill="C7CDE8"/>
          </w:tcPr>
          <w:p>
            <w:pPr>
              <w:spacing w:after="0"/>
              <w:rPr>
                <w:sz w:val="17"/>
                <w:szCs w:val="17"/>
                <w:color w:val="auto"/>
              </w:rPr>
            </w:pPr>
          </w:p>
        </w:tc>
        <w:tc>
          <w:tcPr>
            <w:tcW w:w="40" w:type="dxa"/>
            <w:vAlign w:val="bottom"/>
            <w:tcBorders>
              <w:bottom w:val="single" w:sz="8" w:color="C7CDE8"/>
            </w:tcBorders>
            <w:shd w:val="clear" w:color="auto" w:fill="C7CDE8"/>
          </w:tcPr>
          <w:p>
            <w:pPr>
              <w:spacing w:after="0"/>
              <w:rPr>
                <w:sz w:val="17"/>
                <w:szCs w:val="17"/>
                <w:color w:val="auto"/>
              </w:rPr>
            </w:pPr>
          </w:p>
        </w:tc>
        <w:tc>
          <w:tcPr>
            <w:tcW w:w="1120" w:type="dxa"/>
            <w:vAlign w:val="bottom"/>
            <w:tcBorders>
              <w:bottom w:val="single" w:sz="8" w:color="auto"/>
            </w:tcBorders>
            <w:shd w:val="clear" w:color="auto" w:fill="C7CDE8"/>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7"/>
              </w:rPr>
              <w:t>Proposal No. 1</w:t>
            </w:r>
          </w:p>
        </w:tc>
        <w:tc>
          <w:tcPr>
            <w:tcW w:w="780" w:type="dxa"/>
            <w:vAlign w:val="bottom"/>
            <w:tcBorders>
              <w:bottom w:val="single" w:sz="8" w:color="C7CDE8"/>
            </w:tcBorders>
            <w:shd w:val="clear" w:color="auto" w:fill="C7CDE8"/>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C7CDE8"/>
            </w:tcBorders>
            <w:shd w:val="clear" w:color="auto" w:fill="C7CDE8"/>
          </w:tcPr>
          <w:p>
            <w:pPr>
              <w:spacing w:after="0"/>
              <w:rPr>
                <w:sz w:val="17"/>
                <w:szCs w:val="17"/>
                <w:color w:val="auto"/>
              </w:rPr>
            </w:pPr>
          </w:p>
        </w:tc>
        <w:tc>
          <w:tcPr>
            <w:tcW w:w="2600" w:type="dxa"/>
            <w:vAlign w:val="bottom"/>
            <w:tcBorders>
              <w:bottom w:val="single" w:sz="8" w:color="C7CDE8"/>
            </w:tcBorders>
            <w:shd w:val="clear" w:color="auto" w:fill="C7CDE8"/>
          </w:tcPr>
          <w:p>
            <w:pPr>
              <w:spacing w:after="0" w:line="203" w:lineRule="exact"/>
              <w:rPr>
                <w:sz w:val="20"/>
                <w:szCs w:val="20"/>
                <w:color w:val="auto"/>
              </w:rPr>
            </w:pPr>
            <w:r>
              <w:rPr>
                <w:rFonts w:ascii="Times New Roman" w:cs="Times New Roman" w:eastAsia="Times New Roman" w:hAnsi="Times New Roman"/>
                <w:sz w:val="18"/>
                <w:szCs w:val="18"/>
                <w:color w:val="auto"/>
              </w:rPr>
              <w:t>The plurality of the votes of shares</w:t>
            </w:r>
          </w:p>
        </w:tc>
        <w:tc>
          <w:tcPr>
            <w:tcW w:w="1380" w:type="dxa"/>
            <w:vAlign w:val="bottom"/>
            <w:tcBorders>
              <w:bottom w:val="single" w:sz="8" w:color="C7CDE8"/>
            </w:tcBorders>
            <w:gridSpan w:val="2"/>
            <w:shd w:val="clear" w:color="auto" w:fill="C7CDE8"/>
          </w:tcPr>
          <w:p>
            <w:pPr>
              <w:ind w:left="80"/>
              <w:spacing w:after="0" w:line="203" w:lineRule="exact"/>
              <w:rPr>
                <w:sz w:val="20"/>
                <w:szCs w:val="20"/>
                <w:color w:val="auto"/>
              </w:rPr>
            </w:pPr>
            <w:r>
              <w:rPr>
                <w:rFonts w:ascii="Times New Roman" w:cs="Times New Roman" w:eastAsia="Times New Roman" w:hAnsi="Times New Roman"/>
                <w:sz w:val="18"/>
                <w:szCs w:val="18"/>
                <w:color w:val="auto"/>
              </w:rPr>
              <w:t>“FOR”</w:t>
            </w:r>
          </w:p>
        </w:tc>
        <w:tc>
          <w:tcPr>
            <w:tcW w:w="80" w:type="dxa"/>
            <w:vAlign w:val="bottom"/>
            <w:tcBorders>
              <w:bottom w:val="single" w:sz="8" w:color="C7CDE8"/>
            </w:tcBorders>
            <w:shd w:val="clear" w:color="auto" w:fill="C7CDE8"/>
          </w:tcPr>
          <w:p>
            <w:pPr>
              <w:spacing w:after="0"/>
              <w:rPr>
                <w:sz w:val="17"/>
                <w:szCs w:val="17"/>
                <w:color w:val="auto"/>
              </w:rPr>
            </w:pPr>
          </w:p>
        </w:tc>
        <w:tc>
          <w:tcPr>
            <w:tcW w:w="1180" w:type="dxa"/>
            <w:vAlign w:val="bottom"/>
            <w:tcBorders>
              <w:bottom w:val="single" w:sz="8" w:color="C7CDE8"/>
            </w:tcBorders>
            <w:shd w:val="clear" w:color="auto" w:fill="C7CDE8"/>
          </w:tcPr>
          <w:p>
            <w:pPr>
              <w:spacing w:after="0" w:line="203" w:lineRule="exact"/>
              <w:rPr>
                <w:sz w:val="20"/>
                <w:szCs w:val="20"/>
                <w:color w:val="auto"/>
              </w:rPr>
            </w:pPr>
            <w:r>
              <w:rPr>
                <w:rFonts w:ascii="Times New Roman" w:cs="Times New Roman" w:eastAsia="Times New Roman" w:hAnsi="Times New Roman"/>
                <w:sz w:val="15"/>
                <w:szCs w:val="15"/>
                <w:color w:val="auto"/>
              </w:rPr>
              <w:t>None</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C7CDE8"/>
            </w:tcBorders>
            <w:gridSpan w:val="2"/>
            <w:shd w:val="clear" w:color="auto" w:fill="C7CDE8"/>
          </w:tcPr>
          <w:p>
            <w:pPr>
              <w:ind w:left="80"/>
              <w:spacing w:after="0" w:line="203" w:lineRule="exact"/>
              <w:rPr>
                <w:sz w:val="20"/>
                <w:szCs w:val="20"/>
                <w:color w:val="auto"/>
              </w:rPr>
            </w:pPr>
            <w:r>
              <w:rPr>
                <w:rFonts w:ascii="Times New Roman" w:cs="Times New Roman" w:eastAsia="Times New Roman" w:hAnsi="Times New Roman"/>
                <w:sz w:val="23"/>
                <w:szCs w:val="23"/>
                <w:color w:val="auto"/>
                <w:vertAlign w:val="subscript"/>
              </w:rPr>
              <w:t>No</w:t>
            </w:r>
            <w:r>
              <w:rPr>
                <w:rFonts w:ascii="Times New Roman" w:cs="Times New Roman" w:eastAsia="Times New Roman" w:hAnsi="Times New Roman"/>
                <w:sz w:val="12"/>
                <w:szCs w:val="12"/>
                <w:color w:val="auto"/>
              </w:rPr>
              <w:t>(5)</w:t>
            </w:r>
          </w:p>
        </w:tc>
        <w:tc>
          <w:tcPr>
            <w:tcW w:w="80" w:type="dxa"/>
            <w:vAlign w:val="bottom"/>
            <w:tcBorders>
              <w:bottom w:val="single" w:sz="8" w:color="C7CDE8"/>
            </w:tcBorders>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1900" w:type="dxa"/>
            <w:vAlign w:val="bottom"/>
            <w:gridSpan w:val="2"/>
            <w:shd w:val="clear" w:color="auto" w:fill="C7CDE8"/>
          </w:tcPr>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100" w:type="dxa"/>
            <w:vAlign w:val="bottom"/>
            <w:shd w:val="clear" w:color="auto" w:fill="C7CDE8"/>
          </w:tcPr>
          <w:p>
            <w:pPr>
              <w:spacing w:after="0"/>
              <w:rPr>
                <w:sz w:val="18"/>
                <w:szCs w:val="18"/>
                <w:color w:val="auto"/>
              </w:rPr>
            </w:pPr>
          </w:p>
        </w:tc>
        <w:tc>
          <w:tcPr>
            <w:tcW w:w="26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of the voting power present or</w:t>
            </w:r>
          </w:p>
        </w:tc>
        <w:tc>
          <w:tcPr>
            <w:tcW w:w="1380" w:type="dxa"/>
            <w:vAlign w:val="bottom"/>
            <w:gridSpan w:val="2"/>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“WITHHOLD”</w:t>
            </w:r>
          </w:p>
        </w:tc>
        <w:tc>
          <w:tcPr>
            <w:tcW w:w="80" w:type="dxa"/>
            <w:vAlign w:val="bottom"/>
            <w:shd w:val="clear" w:color="auto" w:fill="C7CDE8"/>
          </w:tcPr>
          <w:p>
            <w:pPr>
              <w:spacing w:after="0"/>
              <w:rPr>
                <w:sz w:val="18"/>
                <w:szCs w:val="18"/>
                <w:color w:val="auto"/>
              </w:rPr>
            </w:pPr>
          </w:p>
        </w:tc>
        <w:tc>
          <w:tcPr>
            <w:tcW w:w="11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9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100" w:type="dxa"/>
            <w:vAlign w:val="bottom"/>
            <w:shd w:val="clear" w:color="auto" w:fill="C7CDE8"/>
          </w:tcPr>
          <w:p>
            <w:pPr>
              <w:spacing w:after="0"/>
              <w:rPr>
                <w:sz w:val="18"/>
                <w:szCs w:val="18"/>
                <w:color w:val="auto"/>
              </w:rPr>
            </w:pPr>
          </w:p>
        </w:tc>
        <w:tc>
          <w:tcPr>
            <w:tcW w:w="26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represented by proxy. This means</w:t>
            </w:r>
          </w:p>
        </w:tc>
        <w:tc>
          <w:tcPr>
            <w:tcW w:w="80" w:type="dxa"/>
            <w:vAlign w:val="bottom"/>
            <w:shd w:val="clear" w:color="auto" w:fill="C7CDE8"/>
          </w:tcPr>
          <w:p>
            <w:pPr>
              <w:spacing w:after="0"/>
              <w:rPr>
                <w:sz w:val="18"/>
                <w:szCs w:val="18"/>
                <w:color w:val="auto"/>
              </w:rPr>
            </w:pPr>
          </w:p>
        </w:tc>
        <w:tc>
          <w:tcPr>
            <w:tcW w:w="130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11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9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100" w:type="dxa"/>
            <w:vAlign w:val="bottom"/>
            <w:shd w:val="clear" w:color="auto" w:fill="C7CDE8"/>
          </w:tcPr>
          <w:p>
            <w:pPr>
              <w:spacing w:after="0"/>
              <w:rPr>
                <w:sz w:val="18"/>
                <w:szCs w:val="18"/>
                <w:color w:val="auto"/>
              </w:rPr>
            </w:pPr>
          </w:p>
        </w:tc>
        <w:tc>
          <w:tcPr>
            <w:tcW w:w="26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that the three nominees receiving</w:t>
            </w:r>
          </w:p>
        </w:tc>
        <w:tc>
          <w:tcPr>
            <w:tcW w:w="80" w:type="dxa"/>
            <w:vAlign w:val="bottom"/>
            <w:shd w:val="clear" w:color="auto" w:fill="C7CDE8"/>
          </w:tcPr>
          <w:p>
            <w:pPr>
              <w:spacing w:after="0"/>
              <w:rPr>
                <w:sz w:val="18"/>
                <w:szCs w:val="18"/>
                <w:color w:val="auto"/>
              </w:rPr>
            </w:pPr>
          </w:p>
        </w:tc>
        <w:tc>
          <w:tcPr>
            <w:tcW w:w="130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11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9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100" w:type="dxa"/>
            <w:vAlign w:val="bottom"/>
            <w:shd w:val="clear" w:color="auto" w:fill="C7CDE8"/>
          </w:tcPr>
          <w:p>
            <w:pPr>
              <w:spacing w:after="0"/>
              <w:rPr>
                <w:sz w:val="18"/>
                <w:szCs w:val="18"/>
                <w:color w:val="auto"/>
              </w:rPr>
            </w:pPr>
          </w:p>
        </w:tc>
        <w:tc>
          <w:tcPr>
            <w:tcW w:w="26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the highest number of affirmative</w:t>
            </w:r>
          </w:p>
        </w:tc>
        <w:tc>
          <w:tcPr>
            <w:tcW w:w="80" w:type="dxa"/>
            <w:vAlign w:val="bottom"/>
            <w:shd w:val="clear" w:color="auto" w:fill="C7CDE8"/>
          </w:tcPr>
          <w:p>
            <w:pPr>
              <w:spacing w:after="0"/>
              <w:rPr>
                <w:sz w:val="18"/>
                <w:szCs w:val="18"/>
                <w:color w:val="auto"/>
              </w:rPr>
            </w:pPr>
          </w:p>
        </w:tc>
        <w:tc>
          <w:tcPr>
            <w:tcW w:w="130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11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9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shd w:val="clear" w:color="auto" w:fill="C7CDE8"/>
          </w:tcPr>
          <w:p>
            <w:pPr>
              <w:spacing w:after="0"/>
              <w:rPr>
                <w:sz w:val="20"/>
                <w:szCs w:val="20"/>
                <w:color w:val="auto"/>
              </w:rPr>
            </w:pPr>
          </w:p>
        </w:tc>
        <w:tc>
          <w:tcPr>
            <w:tcW w:w="40" w:type="dxa"/>
            <w:vAlign w:val="bottom"/>
            <w:shd w:val="clear" w:color="auto" w:fill="C7CDE8"/>
          </w:tcPr>
          <w:p>
            <w:pPr>
              <w:spacing w:after="0"/>
              <w:rPr>
                <w:sz w:val="20"/>
                <w:szCs w:val="20"/>
                <w:color w:val="auto"/>
              </w:rPr>
            </w:pPr>
          </w:p>
        </w:tc>
        <w:tc>
          <w:tcPr>
            <w:tcW w:w="1120" w:type="dxa"/>
            <w:vAlign w:val="bottom"/>
            <w:shd w:val="clear" w:color="auto" w:fill="C7CDE8"/>
          </w:tcPr>
          <w:p>
            <w:pPr>
              <w:spacing w:after="0"/>
              <w:rPr>
                <w:sz w:val="20"/>
                <w:szCs w:val="20"/>
                <w:color w:val="auto"/>
              </w:rPr>
            </w:pPr>
          </w:p>
        </w:tc>
        <w:tc>
          <w:tcPr>
            <w:tcW w:w="780" w:type="dxa"/>
            <w:vAlign w:val="bottom"/>
            <w:shd w:val="clear" w:color="auto" w:fill="C7CDE8"/>
          </w:tcPr>
          <w:p>
            <w:pPr>
              <w:spacing w:after="0"/>
              <w:rPr>
                <w:sz w:val="20"/>
                <w:szCs w:val="20"/>
                <w:color w:val="auto"/>
              </w:rPr>
            </w:pPr>
          </w:p>
        </w:tc>
        <w:tc>
          <w:tcPr>
            <w:tcW w:w="100" w:type="dxa"/>
            <w:vAlign w:val="bottom"/>
            <w:shd w:val="clear" w:color="auto" w:fill="C7CDE8"/>
          </w:tcPr>
          <w:p>
            <w:pPr>
              <w:spacing w:after="0"/>
              <w:rPr>
                <w:sz w:val="20"/>
                <w:szCs w:val="20"/>
                <w:color w:val="auto"/>
              </w:rPr>
            </w:pPr>
          </w:p>
        </w:tc>
        <w:tc>
          <w:tcPr>
            <w:tcW w:w="26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“FOR” votes will be elected.</w:t>
            </w:r>
          </w:p>
        </w:tc>
        <w:tc>
          <w:tcPr>
            <w:tcW w:w="80" w:type="dxa"/>
            <w:vAlign w:val="bottom"/>
            <w:shd w:val="clear" w:color="auto" w:fill="C7CDE8"/>
          </w:tcPr>
          <w:p>
            <w:pPr>
              <w:spacing w:after="0"/>
              <w:rPr>
                <w:sz w:val="20"/>
                <w:szCs w:val="20"/>
                <w:color w:val="auto"/>
              </w:rPr>
            </w:pPr>
          </w:p>
        </w:tc>
        <w:tc>
          <w:tcPr>
            <w:tcW w:w="1300" w:type="dxa"/>
            <w:vAlign w:val="bottom"/>
            <w:shd w:val="clear" w:color="auto" w:fill="C7CDE8"/>
          </w:tcPr>
          <w:p>
            <w:pPr>
              <w:spacing w:after="0"/>
              <w:rPr>
                <w:sz w:val="20"/>
                <w:szCs w:val="20"/>
                <w:color w:val="auto"/>
              </w:rPr>
            </w:pPr>
          </w:p>
        </w:tc>
        <w:tc>
          <w:tcPr>
            <w:tcW w:w="80" w:type="dxa"/>
            <w:vAlign w:val="bottom"/>
            <w:shd w:val="clear" w:color="auto" w:fill="C7CDE8"/>
          </w:tcPr>
          <w:p>
            <w:pPr>
              <w:spacing w:after="0"/>
              <w:rPr>
                <w:sz w:val="20"/>
                <w:szCs w:val="20"/>
                <w:color w:val="auto"/>
              </w:rPr>
            </w:pPr>
          </w:p>
        </w:tc>
        <w:tc>
          <w:tcPr>
            <w:tcW w:w="1180" w:type="dxa"/>
            <w:vAlign w:val="bottom"/>
            <w:shd w:val="clear" w:color="auto" w:fill="C7CDE8"/>
          </w:tcPr>
          <w:p>
            <w:pPr>
              <w:spacing w:after="0"/>
              <w:rPr>
                <w:sz w:val="20"/>
                <w:szCs w:val="20"/>
                <w:color w:val="auto"/>
              </w:rPr>
            </w:pPr>
          </w:p>
        </w:tc>
        <w:tc>
          <w:tcPr>
            <w:tcW w:w="80" w:type="dxa"/>
            <w:vAlign w:val="bottom"/>
            <w:shd w:val="clear" w:color="auto" w:fill="C7CDE8"/>
          </w:tcPr>
          <w:p>
            <w:pPr>
              <w:spacing w:after="0"/>
              <w:rPr>
                <w:sz w:val="20"/>
                <w:szCs w:val="20"/>
                <w:color w:val="auto"/>
              </w:rPr>
            </w:pPr>
          </w:p>
        </w:tc>
        <w:tc>
          <w:tcPr>
            <w:tcW w:w="940" w:type="dxa"/>
            <w:vAlign w:val="bottom"/>
            <w:shd w:val="clear" w:color="auto" w:fill="C7CDE8"/>
          </w:tcPr>
          <w:p>
            <w:pPr>
              <w:spacing w:after="0"/>
              <w:rPr>
                <w:sz w:val="20"/>
                <w:szCs w:val="20"/>
                <w:color w:val="auto"/>
              </w:rPr>
            </w:pP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0" w:type="dxa"/>
            <w:vAlign w:val="bottom"/>
            <w:shd w:val="clear" w:color="auto" w:fill="C7CDE8"/>
          </w:tcPr>
          <w:p>
            <w:pPr>
              <w:spacing w:after="0"/>
              <w:rPr>
                <w:sz w:val="3"/>
                <w:szCs w:val="3"/>
                <w:color w:val="auto"/>
              </w:rPr>
            </w:pPr>
          </w:p>
        </w:tc>
        <w:tc>
          <w:tcPr>
            <w:tcW w:w="40" w:type="dxa"/>
            <w:vAlign w:val="bottom"/>
            <w:shd w:val="clear" w:color="auto" w:fill="C7CDE8"/>
          </w:tcPr>
          <w:p>
            <w:pPr>
              <w:spacing w:after="0"/>
              <w:rPr>
                <w:sz w:val="3"/>
                <w:szCs w:val="3"/>
                <w:color w:val="auto"/>
              </w:rPr>
            </w:pPr>
          </w:p>
        </w:tc>
        <w:tc>
          <w:tcPr>
            <w:tcW w:w="1120" w:type="dxa"/>
            <w:vAlign w:val="bottom"/>
            <w:shd w:val="clear" w:color="auto" w:fill="C7CDE8"/>
          </w:tcPr>
          <w:p>
            <w:pPr>
              <w:spacing w:after="0"/>
              <w:rPr>
                <w:sz w:val="3"/>
                <w:szCs w:val="3"/>
                <w:color w:val="auto"/>
              </w:rPr>
            </w:pPr>
          </w:p>
        </w:tc>
        <w:tc>
          <w:tcPr>
            <w:tcW w:w="780" w:type="dxa"/>
            <w:vAlign w:val="bottom"/>
            <w:shd w:val="clear" w:color="auto" w:fill="C7CDE8"/>
          </w:tcPr>
          <w:p>
            <w:pPr>
              <w:spacing w:after="0"/>
              <w:rPr>
                <w:sz w:val="3"/>
                <w:szCs w:val="3"/>
                <w:color w:val="auto"/>
              </w:rPr>
            </w:pPr>
          </w:p>
        </w:tc>
        <w:tc>
          <w:tcPr>
            <w:tcW w:w="100" w:type="dxa"/>
            <w:vAlign w:val="bottom"/>
            <w:shd w:val="clear" w:color="auto" w:fill="C7CDE8"/>
          </w:tcPr>
          <w:p>
            <w:pPr>
              <w:spacing w:after="0"/>
              <w:rPr>
                <w:sz w:val="3"/>
                <w:szCs w:val="3"/>
                <w:color w:val="auto"/>
              </w:rPr>
            </w:pPr>
          </w:p>
        </w:tc>
        <w:tc>
          <w:tcPr>
            <w:tcW w:w="2600" w:type="dxa"/>
            <w:vAlign w:val="bottom"/>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c>
          <w:tcPr>
            <w:tcW w:w="1300" w:type="dxa"/>
            <w:vAlign w:val="bottom"/>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c>
          <w:tcPr>
            <w:tcW w:w="1180" w:type="dxa"/>
            <w:vAlign w:val="bottom"/>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c>
          <w:tcPr>
            <w:tcW w:w="940" w:type="dxa"/>
            <w:vAlign w:val="bottom"/>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121" w:right="1440" w:bottom="1440" w:gutter="0" w:footer="0" w:header="0"/>
        </w:sectPr>
      </w:pPr>
    </w:p>
    <w:tbl>
      <w:tblPr>
        <w:tblLayout w:type="fixed"/>
        <w:tblInd w:w="380" w:type="dxa"/>
        <w:tblCellMar>
          <w:top w:w="0" w:type="dxa"/>
          <w:left w:w="0" w:type="dxa"/>
          <w:bottom w:w="0" w:type="dxa"/>
          <w:right w:w="0" w:type="dxa"/>
        </w:tblCellMar>
      </w:tblPr>
      <w:tr>
        <w:trPr>
          <w:trHeight w:val="203"/>
        </w:trPr>
        <w:tc>
          <w:tcPr>
            <w:tcW w:w="19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2:</w:t>
            </w:r>
          </w:p>
        </w:tc>
        <w:tc>
          <w:tcPr>
            <w:tcW w:w="27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The affirmative vote of the holders</w:t>
            </w:r>
          </w:p>
        </w:tc>
        <w:tc>
          <w:tcPr>
            <w:tcW w:w="100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“FOR”</w:t>
            </w:r>
          </w:p>
        </w:tc>
      </w:tr>
      <w:tr>
        <w:trPr>
          <w:trHeight w:val="214"/>
        </w:trPr>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Ratification of</w:t>
            </w:r>
          </w:p>
        </w:tc>
        <w:tc>
          <w:tcPr>
            <w:tcW w:w="800" w:type="dxa"/>
            <w:vAlign w:val="bottom"/>
          </w:tcPr>
          <w:p>
            <w:pPr>
              <w:spacing w:after="0"/>
              <w:rPr>
                <w:sz w:val="18"/>
                <w:szCs w:val="18"/>
                <w:color w:val="auto"/>
              </w:rPr>
            </w:pP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a majority of shares of the voting</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“AGAINST”</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Appointment of</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power present or represented by</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Registered</w:t>
            </w:r>
          </w:p>
        </w:tc>
        <w:tc>
          <w:tcPr>
            <w:tcW w:w="2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w:t>
            </w:r>
          </w:p>
        </w:tc>
        <w:tc>
          <w:tcPr>
            <w:tcW w:w="1000" w:type="dxa"/>
            <w:vAlign w:val="bottom"/>
          </w:tcPr>
          <w:p>
            <w:pPr>
              <w:spacing w:after="0"/>
              <w:rPr>
                <w:sz w:val="18"/>
                <w:szCs w:val="18"/>
                <w:color w:val="auto"/>
              </w:rPr>
            </w:pPr>
          </w:p>
        </w:tc>
      </w:tr>
      <w:tr>
        <w:trPr>
          <w:trHeight w:val="238"/>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Public Accounting Firm</w:t>
            </w:r>
          </w:p>
        </w:tc>
        <w:tc>
          <w:tcPr>
            <w:tcW w:w="270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4" w:lineRule="auto"/>
        <w:tabs>
          <w:tab w:leader="none" w:pos="1240" w:val="left"/>
        </w:tabs>
        <w:rPr>
          <w:sz w:val="20"/>
          <w:szCs w:val="20"/>
          <w:color w:val="auto"/>
        </w:rPr>
      </w:pPr>
      <w:r>
        <w:rPr>
          <w:rFonts w:ascii="Times New Roman" w:cs="Times New Roman" w:eastAsia="Times New Roman" w:hAnsi="Times New Roman"/>
          <w:sz w:val="18"/>
          <w:szCs w:val="18"/>
          <w:color w:val="auto"/>
        </w:rPr>
        <w:t>Will count as a</w:t>
      </w:r>
      <w:r>
        <w:rPr>
          <w:sz w:val="20"/>
          <w:szCs w:val="20"/>
          <w:color w:val="auto"/>
        </w:rPr>
        <w:tab/>
      </w:r>
      <w:r>
        <w:rPr>
          <w:rFonts w:ascii="Times New Roman" w:cs="Times New Roman" w:eastAsia="Times New Roman" w:hAnsi="Times New Roman"/>
          <w:sz w:val="25"/>
          <w:szCs w:val="25"/>
          <w:color w:val="auto"/>
          <w:vertAlign w:val="subscript"/>
        </w:rPr>
        <w:t>Yes</w:t>
      </w:r>
      <w:r>
        <w:rPr>
          <w:rFonts w:ascii="Times New Roman" w:cs="Times New Roman" w:eastAsia="Times New Roman" w:hAnsi="Times New Roman"/>
          <w:sz w:val="21"/>
          <w:szCs w:val="21"/>
          <w:color w:val="auto"/>
          <w:vertAlign w:val="superscript"/>
        </w:rPr>
        <w:t>(4)</w:t>
      </w:r>
    </w:p>
    <w:p>
      <w:pPr>
        <w:spacing w:after="0"/>
        <w:rPr>
          <w:sz w:val="20"/>
          <w:szCs w:val="20"/>
          <w:color w:val="auto"/>
        </w:rPr>
      </w:pPr>
      <w:r>
        <w:rPr>
          <w:rFonts w:ascii="Times New Roman" w:cs="Times New Roman" w:eastAsia="Times New Roman" w:hAnsi="Times New Roman"/>
          <w:sz w:val="18"/>
          <w:szCs w:val="18"/>
          <w:color w:val="auto"/>
        </w:rPr>
        <w:t>vote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w:t>
      </w:r>
      <w:r>
        <w:rPr>
          <w:rFonts w:ascii="Times New Roman" w:cs="Times New Roman" w:eastAsia="Times New Roman" w:hAnsi="Times New Roman"/>
          <w:sz w:val="29"/>
          <w:szCs w:val="29"/>
          <w:color w:val="auto"/>
          <w:vertAlign w:val="superscript"/>
        </w:rPr>
        <w:t>(3)</w:t>
      </w:r>
    </w:p>
    <w:p>
      <w:pPr>
        <w:spacing w:after="0" w:line="315" w:lineRule="exact"/>
        <w:rPr>
          <w:sz w:val="20"/>
          <w:szCs w:val="20"/>
          <w:color w:val="auto"/>
        </w:rPr>
      </w:pPr>
    </w:p>
    <w:p>
      <w:pPr>
        <w:sectPr>
          <w:pgSz w:w="11900" w:h="16838" w:orient="portrait"/>
          <w:cols w:equalWidth="0" w:num="2">
            <w:col w:w="6000" w:space="440"/>
            <w:col w:w="2579"/>
          </w:cols>
          <w:pgMar w:left="1440" w:top="121" w:right="1440" w:bottom="1440" w:gutter="0" w:footer="0" w:header="0"/>
          <w:type w:val="continuous"/>
        </w:sectPr>
      </w:pPr>
    </w:p>
    <w:tbl>
      <w:tblPr>
        <w:tblLayout w:type="fixed"/>
        <w:tblInd w:w="300" w:type="dxa"/>
        <w:tblCellMar>
          <w:top w:w="0" w:type="dxa"/>
          <w:left w:w="0" w:type="dxa"/>
          <w:bottom w:w="0" w:type="dxa"/>
          <w:right w:w="0" w:type="dxa"/>
        </w:tblCellMar>
      </w:tblPr>
      <w:tr>
        <w:trPr>
          <w:trHeight w:val="250"/>
        </w:trPr>
        <w:tc>
          <w:tcPr>
            <w:tcW w:w="80" w:type="dxa"/>
            <w:vAlign w:val="bottom"/>
            <w:tcBorders>
              <w:bottom w:val="single" w:sz="8" w:color="C7CDE8"/>
            </w:tcBorders>
            <w:shd w:val="clear" w:color="auto" w:fill="C7CDE8"/>
          </w:tcPr>
          <w:p>
            <w:pPr>
              <w:spacing w:after="0"/>
              <w:rPr>
                <w:sz w:val="21"/>
                <w:szCs w:val="21"/>
                <w:color w:val="auto"/>
              </w:rPr>
            </w:pPr>
          </w:p>
        </w:tc>
        <w:tc>
          <w:tcPr>
            <w:tcW w:w="1120" w:type="dxa"/>
            <w:vAlign w:val="bottom"/>
            <w:tcBorders>
              <w:bottom w:val="single" w:sz="8" w:color="auto"/>
            </w:tcBorders>
            <w:shd w:val="clear" w:color="auto" w:fill="C7CDE8"/>
          </w:tcPr>
          <w:p>
            <w:pPr>
              <w:spacing w:after="0"/>
              <w:rPr>
                <w:sz w:val="20"/>
                <w:szCs w:val="20"/>
                <w:color w:val="auto"/>
              </w:rPr>
            </w:pPr>
            <w:r>
              <w:rPr>
                <w:rFonts w:ascii="Times New Roman" w:cs="Times New Roman" w:eastAsia="Times New Roman" w:hAnsi="Times New Roman"/>
                <w:sz w:val="18"/>
                <w:szCs w:val="18"/>
                <w:b w:val="1"/>
                <w:bCs w:val="1"/>
                <w:color w:val="auto"/>
                <w:w w:val="97"/>
              </w:rPr>
              <w:t>Proposal No. 3</w:t>
            </w:r>
          </w:p>
        </w:tc>
        <w:tc>
          <w:tcPr>
            <w:tcW w:w="580" w:type="dxa"/>
            <w:vAlign w:val="bottom"/>
            <w:tcBorders>
              <w:bottom w:val="single" w:sz="8" w:color="C7CDE8"/>
            </w:tcBorders>
            <w:shd w:val="clear" w:color="auto" w:fill="C7CDE8"/>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920" w:type="dxa"/>
            <w:vAlign w:val="bottom"/>
            <w:tcBorders>
              <w:bottom w:val="single" w:sz="8" w:color="C7CDE8"/>
            </w:tcBorders>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The affirmative vote of the holders</w:t>
            </w:r>
          </w:p>
        </w:tc>
        <w:tc>
          <w:tcPr>
            <w:tcW w:w="1220" w:type="dxa"/>
            <w:vAlign w:val="bottom"/>
            <w:tcBorders>
              <w:bottom w:val="single" w:sz="8" w:color="C7CDE8"/>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1140" w:type="dxa"/>
            <w:vAlign w:val="bottom"/>
            <w:tcBorders>
              <w:bottom w:val="single" w:sz="8" w:color="C7CDE8"/>
            </w:tcBorders>
            <w:shd w:val="clear" w:color="auto" w:fill="C7CDE8"/>
          </w:tcPr>
          <w:p>
            <w:pPr>
              <w:ind w:left="220"/>
              <w:spacing w:after="0" w:line="250" w:lineRule="exact"/>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28"/>
                <w:szCs w:val="28"/>
                <w:color w:val="auto"/>
                <w:vertAlign w:val="superscript"/>
              </w:rPr>
              <w:t>(5)</w:t>
            </w:r>
          </w:p>
        </w:tc>
        <w:tc>
          <w:tcPr>
            <w:tcW w:w="1360" w:type="dxa"/>
            <w:vAlign w:val="bottom"/>
            <w:tcBorders>
              <w:bottom w:val="single" w:sz="8" w:color="C7CDE8"/>
            </w:tcBorders>
            <w:shd w:val="clear" w:color="auto" w:fill="C7CDE8"/>
          </w:tcPr>
          <w:p>
            <w:pPr>
              <w:ind w:left="340"/>
              <w:spacing w:after="0" w:line="250" w:lineRule="exact"/>
              <w:rPr>
                <w:sz w:val="20"/>
                <w:szCs w:val="20"/>
                <w:color w:val="auto"/>
              </w:rPr>
            </w:pPr>
            <w:r>
              <w:rPr>
                <w:rFonts w:ascii="Times New Roman" w:cs="Times New Roman" w:eastAsia="Times New Roman" w:hAnsi="Times New Roman"/>
                <w:sz w:val="17"/>
                <w:szCs w:val="17"/>
                <w:color w:val="auto"/>
              </w:rPr>
              <w:t>Yes</w:t>
            </w:r>
            <w:r>
              <w:rPr>
                <w:rFonts w:ascii="Times New Roman" w:cs="Times New Roman" w:eastAsia="Times New Roman" w:hAnsi="Times New Roman"/>
                <w:sz w:val="28"/>
                <w:szCs w:val="28"/>
                <w:color w:val="auto"/>
                <w:vertAlign w:val="superscript"/>
              </w:rPr>
              <w:t>(4)</w:t>
            </w:r>
          </w:p>
        </w:tc>
      </w:tr>
      <w:tr>
        <w:trPr>
          <w:trHeight w:val="207"/>
        </w:trPr>
        <w:tc>
          <w:tcPr>
            <w:tcW w:w="80" w:type="dxa"/>
            <w:vAlign w:val="bottom"/>
            <w:shd w:val="clear" w:color="auto" w:fill="C7CDE8"/>
          </w:tcPr>
          <w:p>
            <w:pPr>
              <w:spacing w:after="0"/>
              <w:rPr>
                <w:sz w:val="18"/>
                <w:szCs w:val="18"/>
                <w:color w:val="auto"/>
              </w:rPr>
            </w:pPr>
          </w:p>
        </w:tc>
        <w:tc>
          <w:tcPr>
            <w:tcW w:w="1700" w:type="dxa"/>
            <w:vAlign w:val="bottom"/>
            <w:gridSpan w:val="2"/>
            <w:shd w:val="clear" w:color="auto" w:fill="C7CDE8"/>
          </w:tcPr>
          <w:p>
            <w:pPr>
              <w:spacing w:after="0"/>
              <w:rPr>
                <w:sz w:val="20"/>
                <w:szCs w:val="20"/>
                <w:color w:val="auto"/>
              </w:rPr>
            </w:pPr>
            <w:r>
              <w:rPr>
                <w:rFonts w:ascii="Times New Roman" w:cs="Times New Roman" w:eastAsia="Times New Roman" w:hAnsi="Times New Roman"/>
                <w:sz w:val="18"/>
                <w:szCs w:val="18"/>
                <w:b w:val="1"/>
                <w:bCs w:val="1"/>
                <w:color w:val="auto"/>
              </w:rPr>
              <w:t>Approval of the</w:t>
            </w: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of a majority of the shares of voting</w:t>
            </w:r>
          </w:p>
        </w:tc>
        <w:tc>
          <w:tcPr>
            <w:tcW w:w="1220" w:type="dxa"/>
            <w:vAlign w:val="bottom"/>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“AGAINST”</w:t>
            </w: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700" w:type="dxa"/>
            <w:vAlign w:val="bottom"/>
            <w:gridSpan w:val="2"/>
            <w:shd w:val="clear" w:color="auto" w:fill="C7CDE8"/>
          </w:tcPr>
          <w:p>
            <w:pPr>
              <w:spacing w:after="0"/>
              <w:rPr>
                <w:sz w:val="20"/>
                <w:szCs w:val="20"/>
                <w:color w:val="auto"/>
              </w:rPr>
            </w:pPr>
            <w:r>
              <w:rPr>
                <w:rFonts w:ascii="Times New Roman" w:cs="Times New Roman" w:eastAsia="Times New Roman" w:hAnsi="Times New Roman"/>
                <w:sz w:val="18"/>
                <w:szCs w:val="18"/>
                <w:b w:val="1"/>
                <w:bCs w:val="1"/>
                <w:color w:val="auto"/>
              </w:rPr>
              <w:t>Authorized Shares</w:t>
            </w: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power casting votes in person</w:t>
            </w:r>
          </w:p>
        </w:tc>
        <w:tc>
          <w:tcPr>
            <w:tcW w:w="1220" w:type="dxa"/>
            <w:vAlign w:val="bottom"/>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“ABSTAIN”</w:t>
            </w: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20"/>
        </w:trPr>
        <w:tc>
          <w:tcPr>
            <w:tcW w:w="80" w:type="dxa"/>
            <w:vAlign w:val="bottom"/>
            <w:shd w:val="clear" w:color="auto" w:fill="C7CDE8"/>
          </w:tcPr>
          <w:p>
            <w:pPr>
              <w:spacing w:after="0"/>
              <w:rPr>
                <w:sz w:val="19"/>
                <w:szCs w:val="19"/>
                <w:color w:val="auto"/>
              </w:rPr>
            </w:pPr>
          </w:p>
        </w:tc>
        <w:tc>
          <w:tcPr>
            <w:tcW w:w="1700" w:type="dxa"/>
            <w:vAlign w:val="bottom"/>
            <w:gridSpan w:val="2"/>
            <w:shd w:val="clear" w:color="auto" w:fill="C7CDE8"/>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(online during the virtual meeting)</w:t>
            </w:r>
          </w:p>
        </w:tc>
        <w:tc>
          <w:tcPr>
            <w:tcW w:w="1220" w:type="dxa"/>
            <w:vAlign w:val="bottom"/>
            <w:shd w:val="clear" w:color="auto" w:fill="C7CDE8"/>
          </w:tcPr>
          <w:p>
            <w:pPr>
              <w:spacing w:after="0"/>
              <w:rPr>
                <w:sz w:val="19"/>
                <w:szCs w:val="19"/>
                <w:color w:val="auto"/>
              </w:rPr>
            </w:pPr>
          </w:p>
        </w:tc>
        <w:tc>
          <w:tcPr>
            <w:tcW w:w="1140" w:type="dxa"/>
            <w:vAlign w:val="bottom"/>
            <w:shd w:val="clear" w:color="auto" w:fill="C7CDE8"/>
          </w:tcPr>
          <w:p>
            <w:pPr>
              <w:spacing w:after="0"/>
              <w:rPr>
                <w:sz w:val="19"/>
                <w:szCs w:val="19"/>
                <w:color w:val="auto"/>
              </w:rPr>
            </w:pPr>
          </w:p>
        </w:tc>
        <w:tc>
          <w:tcPr>
            <w:tcW w:w="1360" w:type="dxa"/>
            <w:vAlign w:val="bottom"/>
            <w:shd w:val="clear" w:color="auto" w:fill="C7CDE8"/>
          </w:tcPr>
          <w:p>
            <w:pPr>
              <w:spacing w:after="0"/>
              <w:rPr>
                <w:sz w:val="19"/>
                <w:szCs w:val="19"/>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or by proxy at the Annual Meeting</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by the holders entitled to vote</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thereon. This means that the</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Authorized Shares Proposal will be</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approved if the votes cast “FOR”</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16"/>
        </w:trPr>
        <w:tc>
          <w:tcPr>
            <w:tcW w:w="80" w:type="dxa"/>
            <w:vAlign w:val="bottom"/>
            <w:shd w:val="clear" w:color="auto" w:fill="C7CDE8"/>
          </w:tcPr>
          <w:p>
            <w:pPr>
              <w:spacing w:after="0"/>
              <w:rPr>
                <w:sz w:val="18"/>
                <w:szCs w:val="18"/>
                <w:color w:val="auto"/>
              </w:rPr>
            </w:pPr>
          </w:p>
        </w:tc>
        <w:tc>
          <w:tcPr>
            <w:tcW w:w="1120" w:type="dxa"/>
            <w:vAlign w:val="bottom"/>
            <w:shd w:val="clear" w:color="auto" w:fill="C7CDE8"/>
          </w:tcPr>
          <w:p>
            <w:pPr>
              <w:spacing w:after="0"/>
              <w:rPr>
                <w:sz w:val="18"/>
                <w:szCs w:val="18"/>
                <w:color w:val="auto"/>
              </w:rPr>
            </w:pPr>
          </w:p>
        </w:tc>
        <w:tc>
          <w:tcPr>
            <w:tcW w:w="580" w:type="dxa"/>
            <w:vAlign w:val="bottom"/>
            <w:shd w:val="clear" w:color="auto" w:fill="C7CDE8"/>
          </w:tcPr>
          <w:p>
            <w:pPr>
              <w:spacing w:after="0"/>
              <w:rPr>
                <w:sz w:val="18"/>
                <w:szCs w:val="18"/>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the proposal exceed the votes cast</w:t>
            </w:r>
          </w:p>
        </w:tc>
        <w:tc>
          <w:tcPr>
            <w:tcW w:w="1220" w:type="dxa"/>
            <w:vAlign w:val="bottom"/>
            <w:shd w:val="clear" w:color="auto" w:fill="C7CDE8"/>
          </w:tcPr>
          <w:p>
            <w:pPr>
              <w:spacing w:after="0"/>
              <w:rPr>
                <w:sz w:val="18"/>
                <w:szCs w:val="18"/>
                <w:color w:val="auto"/>
              </w:rPr>
            </w:pPr>
          </w:p>
        </w:tc>
        <w:tc>
          <w:tcPr>
            <w:tcW w:w="1140" w:type="dxa"/>
            <w:vAlign w:val="bottom"/>
            <w:shd w:val="clear" w:color="auto" w:fill="C7CDE8"/>
          </w:tcPr>
          <w:p>
            <w:pPr>
              <w:spacing w:after="0"/>
              <w:rPr>
                <w:sz w:val="18"/>
                <w:szCs w:val="18"/>
                <w:color w:val="auto"/>
              </w:rPr>
            </w:pPr>
          </w:p>
        </w:tc>
        <w:tc>
          <w:tcPr>
            <w:tcW w:w="1360" w:type="dxa"/>
            <w:vAlign w:val="bottom"/>
            <w:shd w:val="clear" w:color="auto" w:fill="C7CDE8"/>
          </w:tcPr>
          <w:p>
            <w:pPr>
              <w:spacing w:after="0"/>
              <w:rPr>
                <w:sz w:val="18"/>
                <w:szCs w:val="18"/>
                <w:color w:val="auto"/>
              </w:rPr>
            </w:pPr>
          </w:p>
        </w:tc>
      </w:tr>
      <w:tr>
        <w:trPr>
          <w:trHeight w:val="234"/>
        </w:trPr>
        <w:tc>
          <w:tcPr>
            <w:tcW w:w="80" w:type="dxa"/>
            <w:vAlign w:val="bottom"/>
            <w:shd w:val="clear" w:color="auto" w:fill="C7CDE8"/>
          </w:tcPr>
          <w:p>
            <w:pPr>
              <w:spacing w:after="0"/>
              <w:rPr>
                <w:sz w:val="20"/>
                <w:szCs w:val="20"/>
                <w:color w:val="auto"/>
              </w:rPr>
            </w:pPr>
          </w:p>
        </w:tc>
        <w:tc>
          <w:tcPr>
            <w:tcW w:w="1120" w:type="dxa"/>
            <w:vAlign w:val="bottom"/>
            <w:shd w:val="clear" w:color="auto" w:fill="C7CDE8"/>
          </w:tcPr>
          <w:p>
            <w:pPr>
              <w:spacing w:after="0"/>
              <w:rPr>
                <w:sz w:val="20"/>
                <w:szCs w:val="20"/>
                <w:color w:val="auto"/>
              </w:rPr>
            </w:pPr>
          </w:p>
        </w:tc>
        <w:tc>
          <w:tcPr>
            <w:tcW w:w="580" w:type="dxa"/>
            <w:vAlign w:val="bottom"/>
            <w:shd w:val="clear" w:color="auto" w:fill="C7CDE8"/>
          </w:tcPr>
          <w:p>
            <w:pPr>
              <w:spacing w:after="0"/>
              <w:rPr>
                <w:sz w:val="20"/>
                <w:szCs w:val="20"/>
                <w:color w:val="auto"/>
              </w:rPr>
            </w:pPr>
          </w:p>
        </w:tc>
        <w:tc>
          <w:tcPr>
            <w:tcW w:w="2920" w:type="dxa"/>
            <w:vAlign w:val="bottom"/>
            <w:shd w:val="clear" w:color="auto" w:fill="C7CDE8"/>
          </w:tcPr>
          <w:p>
            <w:pPr>
              <w:ind w:left="300"/>
              <w:spacing w:after="0"/>
              <w:rPr>
                <w:sz w:val="20"/>
                <w:szCs w:val="20"/>
                <w:color w:val="auto"/>
              </w:rPr>
            </w:pPr>
            <w:r>
              <w:rPr>
                <w:rFonts w:ascii="Times New Roman" w:cs="Times New Roman" w:eastAsia="Times New Roman" w:hAnsi="Times New Roman"/>
                <w:sz w:val="18"/>
                <w:szCs w:val="18"/>
                <w:color w:val="auto"/>
              </w:rPr>
              <w:t>“AGAINST” the proposal.</w:t>
            </w:r>
          </w:p>
        </w:tc>
        <w:tc>
          <w:tcPr>
            <w:tcW w:w="1220" w:type="dxa"/>
            <w:vAlign w:val="bottom"/>
            <w:shd w:val="clear" w:color="auto" w:fill="C7CDE8"/>
          </w:tcPr>
          <w:p>
            <w:pPr>
              <w:spacing w:after="0"/>
              <w:rPr>
                <w:sz w:val="20"/>
                <w:szCs w:val="20"/>
                <w:color w:val="auto"/>
              </w:rPr>
            </w:pPr>
          </w:p>
        </w:tc>
        <w:tc>
          <w:tcPr>
            <w:tcW w:w="1140" w:type="dxa"/>
            <w:vAlign w:val="bottom"/>
            <w:shd w:val="clear" w:color="auto" w:fill="C7CDE8"/>
          </w:tcPr>
          <w:p>
            <w:pPr>
              <w:spacing w:after="0"/>
              <w:rPr>
                <w:sz w:val="20"/>
                <w:szCs w:val="20"/>
                <w:color w:val="auto"/>
              </w:rPr>
            </w:pPr>
          </w:p>
        </w:tc>
        <w:tc>
          <w:tcPr>
            <w:tcW w:w="1360" w:type="dxa"/>
            <w:vAlign w:val="bottom"/>
            <w:shd w:val="clear" w:color="auto" w:fill="C7CDE8"/>
          </w:tcPr>
          <w:p>
            <w:pPr>
              <w:spacing w:after="0"/>
              <w:rPr>
                <w:sz w:val="20"/>
                <w:szCs w:val="20"/>
                <w:color w:val="auto"/>
              </w:rPr>
            </w:pPr>
          </w:p>
        </w:tc>
      </w:tr>
      <w:tr>
        <w:trPr>
          <w:trHeight w:val="41"/>
        </w:trPr>
        <w:tc>
          <w:tcPr>
            <w:tcW w:w="80" w:type="dxa"/>
            <w:vAlign w:val="bottom"/>
            <w:shd w:val="clear" w:color="auto" w:fill="C7CDE8"/>
          </w:tcPr>
          <w:p>
            <w:pPr>
              <w:spacing w:after="0"/>
              <w:rPr>
                <w:sz w:val="3"/>
                <w:szCs w:val="3"/>
                <w:color w:val="auto"/>
              </w:rPr>
            </w:pPr>
          </w:p>
        </w:tc>
        <w:tc>
          <w:tcPr>
            <w:tcW w:w="1120" w:type="dxa"/>
            <w:vAlign w:val="bottom"/>
            <w:shd w:val="clear" w:color="auto" w:fill="C7CDE8"/>
          </w:tcPr>
          <w:p>
            <w:pPr>
              <w:spacing w:after="0"/>
              <w:rPr>
                <w:sz w:val="3"/>
                <w:szCs w:val="3"/>
                <w:color w:val="auto"/>
              </w:rPr>
            </w:pPr>
          </w:p>
        </w:tc>
        <w:tc>
          <w:tcPr>
            <w:tcW w:w="580" w:type="dxa"/>
            <w:vAlign w:val="bottom"/>
            <w:shd w:val="clear" w:color="auto" w:fill="C7CDE8"/>
          </w:tcPr>
          <w:p>
            <w:pPr>
              <w:spacing w:after="0"/>
              <w:rPr>
                <w:sz w:val="3"/>
                <w:szCs w:val="3"/>
                <w:color w:val="auto"/>
              </w:rPr>
            </w:pPr>
          </w:p>
        </w:tc>
        <w:tc>
          <w:tcPr>
            <w:tcW w:w="2920" w:type="dxa"/>
            <w:vAlign w:val="bottom"/>
            <w:shd w:val="clear" w:color="auto" w:fill="C7CDE8"/>
          </w:tcPr>
          <w:p>
            <w:pPr>
              <w:spacing w:after="0"/>
              <w:rPr>
                <w:sz w:val="3"/>
                <w:szCs w:val="3"/>
                <w:color w:val="auto"/>
              </w:rPr>
            </w:pPr>
          </w:p>
        </w:tc>
        <w:tc>
          <w:tcPr>
            <w:tcW w:w="1220" w:type="dxa"/>
            <w:vAlign w:val="bottom"/>
            <w:shd w:val="clear" w:color="auto" w:fill="C7CDE8"/>
          </w:tcPr>
          <w:p>
            <w:pPr>
              <w:spacing w:after="0"/>
              <w:rPr>
                <w:sz w:val="3"/>
                <w:szCs w:val="3"/>
                <w:color w:val="auto"/>
              </w:rPr>
            </w:pPr>
          </w:p>
        </w:tc>
        <w:tc>
          <w:tcPr>
            <w:tcW w:w="1140" w:type="dxa"/>
            <w:vAlign w:val="bottom"/>
            <w:shd w:val="clear" w:color="auto" w:fill="C7CDE8"/>
          </w:tcPr>
          <w:p>
            <w:pPr>
              <w:spacing w:after="0"/>
              <w:rPr>
                <w:sz w:val="3"/>
                <w:szCs w:val="3"/>
                <w:color w:val="auto"/>
              </w:rPr>
            </w:pPr>
          </w:p>
        </w:tc>
        <w:tc>
          <w:tcPr>
            <w:tcW w:w="1360" w:type="dxa"/>
            <w:vAlign w:val="bottom"/>
            <w:shd w:val="clear" w:color="auto" w:fill="C7CDE8"/>
          </w:tcPr>
          <w:p>
            <w:pPr>
              <w:spacing w:after="0"/>
              <w:rPr>
                <w:sz w:val="3"/>
                <w:szCs w:val="3"/>
                <w:color w:val="auto"/>
              </w:rPr>
            </w:pPr>
          </w:p>
        </w:tc>
      </w:tr>
    </w:tbl>
    <w:p>
      <w:pPr>
        <w:spacing w:after="0" w:line="1" w:lineRule="exact"/>
        <w:rPr>
          <w:sz w:val="20"/>
          <w:szCs w:val="20"/>
          <w:color w:val="auto"/>
        </w:rPr>
      </w:pPr>
    </w:p>
    <w:p>
      <w:pPr>
        <w:sectPr>
          <w:pgSz w:w="11900" w:h="16838" w:orient="portrait"/>
          <w:cols w:equalWidth="0" w:num="1">
            <w:col w:w="9019"/>
          </w:cols>
          <w:pgMar w:left="1440" w:top="121" w:right="1440" w:bottom="1440" w:gutter="0" w:footer="0" w:header="0"/>
          <w:type w:val="continuous"/>
        </w:sectPr>
      </w:pPr>
    </w:p>
    <w:tbl>
      <w:tblPr>
        <w:tblLayout w:type="fixed"/>
        <w:tblInd w:w="380" w:type="dxa"/>
        <w:tblCellMar>
          <w:top w:w="0" w:type="dxa"/>
          <w:left w:w="0" w:type="dxa"/>
          <w:bottom w:w="0" w:type="dxa"/>
          <w:right w:w="0" w:type="dxa"/>
        </w:tblCellMar>
      </w:tblPr>
      <w:tr>
        <w:trPr>
          <w:trHeight w:val="203"/>
        </w:trPr>
        <w:tc>
          <w:tcPr>
            <w:tcW w:w="19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No. 4:</w:t>
            </w:r>
          </w:p>
        </w:tc>
        <w:tc>
          <w:tcPr>
            <w:tcW w:w="264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The affirmative vote of the holders</w:t>
            </w:r>
          </w:p>
        </w:tc>
        <w:tc>
          <w:tcPr>
            <w:tcW w:w="1040" w:type="dxa"/>
            <w:vAlign w:val="bottom"/>
          </w:tcPr>
          <w:p>
            <w:pPr>
              <w:ind w:left="100"/>
              <w:spacing w:after="0" w:line="202" w:lineRule="exact"/>
              <w:rPr>
                <w:sz w:val="20"/>
                <w:szCs w:val="20"/>
                <w:color w:val="auto"/>
              </w:rPr>
            </w:pPr>
            <w:r>
              <w:rPr>
                <w:rFonts w:ascii="Times New Roman" w:cs="Times New Roman" w:eastAsia="Times New Roman" w:hAnsi="Times New Roman"/>
                <w:sz w:val="18"/>
                <w:szCs w:val="18"/>
                <w:color w:val="auto"/>
              </w:rPr>
              <w:t>“FOR”</w:t>
            </w:r>
          </w:p>
        </w:tc>
      </w:tr>
      <w:tr>
        <w:trPr>
          <w:trHeight w:val="20"/>
        </w:trPr>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4"/>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Approval of Governance</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66 2/3% of the outstanding</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“AGAINST”</w:t>
            </w:r>
          </w:p>
        </w:tc>
      </w:tr>
      <w:tr>
        <w:trPr>
          <w:trHeight w:val="220"/>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 of our common stock</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“ABSTAIN”</w:t>
            </w:r>
          </w:p>
        </w:tc>
      </w:tr>
      <w:tr>
        <w:trPr>
          <w:trHeight w:val="216"/>
        </w:trPr>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entitled to vote generally at an</w:t>
            </w:r>
          </w:p>
        </w:tc>
        <w:tc>
          <w:tcPr>
            <w:tcW w:w="10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election of directors.</w:t>
            </w: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auto"/>
        <w:tabs>
          <w:tab w:leader="none" w:pos="1240" w:val="left"/>
        </w:tabs>
        <w:rPr>
          <w:sz w:val="20"/>
          <w:szCs w:val="20"/>
          <w:color w:val="auto"/>
        </w:rPr>
      </w:pPr>
      <w:r>
        <w:rPr>
          <w:rFonts w:ascii="Times New Roman" w:cs="Times New Roman" w:eastAsia="Times New Roman" w:hAnsi="Times New Roman"/>
          <w:sz w:val="18"/>
          <w:szCs w:val="18"/>
          <w:color w:val="auto"/>
        </w:rPr>
        <w:t>Will count as a</w:t>
      </w:r>
      <w:r>
        <w:rPr>
          <w:sz w:val="20"/>
          <w:szCs w:val="20"/>
          <w:color w:val="auto"/>
        </w:rPr>
        <w:tab/>
      </w:r>
      <w:r>
        <w:rPr>
          <w:rFonts w:ascii="Times New Roman" w:cs="Times New Roman" w:eastAsia="Times New Roman" w:hAnsi="Times New Roman"/>
          <w:sz w:val="27"/>
          <w:szCs w:val="27"/>
          <w:color w:val="auto"/>
          <w:vertAlign w:val="subscript"/>
        </w:rPr>
        <w:t>No</w:t>
      </w:r>
      <w:r>
        <w:rPr>
          <w:rFonts w:ascii="Times New Roman" w:cs="Times New Roman" w:eastAsia="Times New Roman" w:hAnsi="Times New Roman"/>
          <w:sz w:val="22"/>
          <w:szCs w:val="22"/>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vote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“against”</w:t>
      </w:r>
      <w:r>
        <w:rPr>
          <w:rFonts w:ascii="Times New Roman" w:cs="Times New Roman" w:eastAsia="Times New Roman" w:hAnsi="Times New Roman"/>
          <w:sz w:val="29"/>
          <w:szCs w:val="29"/>
          <w:color w:val="auto"/>
          <w:vertAlign w:val="superscript"/>
        </w:rPr>
        <w:t>(3)</w:t>
      </w:r>
    </w:p>
    <w:p>
      <w:pPr>
        <w:spacing w:after="0" w:line="514" w:lineRule="exact"/>
        <w:rPr>
          <w:sz w:val="20"/>
          <w:szCs w:val="20"/>
          <w:color w:val="auto"/>
        </w:rPr>
      </w:pPr>
    </w:p>
    <w:p>
      <w:pPr>
        <w:sectPr>
          <w:pgSz w:w="11900" w:h="16838" w:orient="portrait"/>
          <w:cols w:equalWidth="0" w:num="2">
            <w:col w:w="6000" w:space="440"/>
            <w:col w:w="2579"/>
          </w:cols>
          <w:pgMar w:left="1440" w:top="121" w:right="1440" w:bottom="1440" w:gutter="0" w:footer="0" w:header="0"/>
          <w:type w:val="continuous"/>
        </w:sectPr>
      </w:pPr>
    </w:p>
    <w:p>
      <w:pPr>
        <w:spacing w:after="0" w:line="88" w:lineRule="exact"/>
        <w:rPr>
          <w:sz w:val="20"/>
          <w:szCs w:val="20"/>
          <w:color w:val="auto"/>
        </w:rPr>
      </w:pPr>
    </w:p>
    <w:p>
      <w:pPr>
        <w:ind w:left="640" w:right="37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Votes that are “withheld” will have the same effect as an abstention and will not count as a vote “FOR” or “AGAINST” a director, because directors are elected by plurality voting.</w:t>
      </w:r>
    </w:p>
    <w:p>
      <w:pPr>
        <w:ind w:left="640" w:right="399" w:hanging="348"/>
        <w:spacing w:after="0" w:line="23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w:t>
      </w:r>
    </w:p>
    <w:p>
      <w:pPr>
        <w:spacing w:after="0" w:line="14" w:lineRule="exact"/>
        <w:rPr>
          <w:rFonts w:ascii="Times New Roman" w:cs="Times New Roman" w:eastAsia="Times New Roman" w:hAnsi="Times New Roman"/>
          <w:sz w:val="14"/>
          <w:szCs w:val="14"/>
          <w:color w:val="auto"/>
        </w:rPr>
      </w:pPr>
    </w:p>
    <w:p>
      <w:pPr>
        <w:ind w:left="640" w:right="6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Abstentions and votes withheld will not be included in the numerator (since they are not affirmative votes) but will be included in the denominator (since they are shares “entitled to vote”). Therefore, abstentions and votes withheld will have the same effect as a vote “against” the proposal.</w:t>
      </w:r>
    </w:p>
    <w:p>
      <w:pPr>
        <w:spacing w:after="0" w:line="14" w:lineRule="exact"/>
        <w:rPr>
          <w:rFonts w:ascii="Times New Roman" w:cs="Times New Roman" w:eastAsia="Times New Roman" w:hAnsi="Times New Roman"/>
          <w:sz w:val="14"/>
          <w:szCs w:val="14"/>
          <w:color w:val="auto"/>
        </w:rPr>
      </w:pPr>
    </w:p>
    <w:p>
      <w:pPr>
        <w:ind w:left="640" w:right="49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this proposal is considered a discretionary matter, brokers are permitted to exercise their discretion to vote uninstructed shares on this proposal.</w:t>
      </w:r>
    </w:p>
    <w:p>
      <w:pPr>
        <w:ind w:left="640" w:right="4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Abstentions, and in the case of the Election of Directors proposal, “broker non-votes” are not counted as votes cast and will have no effect on the vote on this proposal.</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What happens if I don’t specify how I want my shares voted on one or all of the proposals?</w:t>
      </w:r>
    </w:p>
    <w:p>
      <w:pPr>
        <w:spacing w:after="0" w:line="104"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9" w:name="page10"/>
    <w:bookmarkEnd w:id="9"/>
    <w:p>
      <w:pPr>
        <w:ind w:left="300"/>
        <w:spacing w:after="0"/>
        <w:rPr>
          <w:sz w:val="20"/>
          <w:szCs w:val="20"/>
          <w:color w:val="auto"/>
        </w:rPr>
      </w:pPr>
      <w:r>
        <w:rPr>
          <w:rFonts w:ascii="Arial" w:cs="Arial" w:eastAsia="Arial" w:hAnsi="Arial"/>
          <w:sz w:val="18"/>
          <w:szCs w:val="18"/>
          <w:b w:val="1"/>
          <w:bCs w:val="1"/>
          <w:color w:val="00489A"/>
        </w:rPr>
        <w:t>Can I change my vote or revoke my proxy after I have already voted or given my proxy?</w:t>
      </w:r>
    </w:p>
    <w:p>
      <w:pPr>
        <w:spacing w:after="0" w:line="101" w:lineRule="exact"/>
        <w:rPr>
          <w:sz w:val="20"/>
          <w:szCs w:val="20"/>
          <w:color w:val="auto"/>
        </w:rPr>
      </w:pPr>
    </w:p>
    <w:p>
      <w:pPr>
        <w:ind w:left="300" w:right="439" w:firstLine="360"/>
        <w:spacing w:after="0" w:line="284" w:lineRule="auto"/>
        <w:rPr>
          <w:sz w:val="20"/>
          <w:szCs w:val="20"/>
          <w:color w:val="auto"/>
        </w:rPr>
      </w:pPr>
      <w:r>
        <w:rPr>
          <w:rFonts w:ascii="Times New Roman" w:cs="Times New Roman" w:eastAsia="Times New Roman" w:hAnsi="Times New Roman"/>
          <w:sz w:val="18"/>
          <w:szCs w:val="18"/>
          <w:color w:val="auto"/>
        </w:rPr>
        <w:t xml:space="preserve">Yes. If you are a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you may change your vote or revoke your proxy at any time before the proxy is voted at the Annual Meeting. To change your vote, you may:</w:t>
      </w:r>
    </w:p>
    <w:p>
      <w:pPr>
        <w:spacing w:after="0" w:line="12" w:lineRule="exact"/>
        <w:rPr>
          <w:sz w:val="20"/>
          <w:szCs w:val="20"/>
          <w:color w:val="auto"/>
        </w:rPr>
      </w:pPr>
    </w:p>
    <w:p>
      <w:pPr>
        <w:ind w:left="1000" w:right="59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a written notice “revoking” your earlier vote to Broadridge Financial Solutions, Inc. (Broadridge), 51 Mercedes Way, Edgewood, NY 11717;</w:t>
      </w:r>
    </w:p>
    <w:p>
      <w:pPr>
        <w:spacing w:after="0" w:line="2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to Broadridge a properly completed and signed proxy card with a later date;</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 telephonically or electronically (available until 11:59 p.m. EST on November 20, 2024); or</w:t>
      </w:r>
    </w:p>
    <w:p>
      <w:pPr>
        <w:spacing w:after="0" w:line="76"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in person at the Annual Meeting; however, your virtual attendance at the Annual Meeting alone will not revoke your proxy.</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Your last dated proxy, properly completed and timely received prior to, or vote cast at, the Annual Meeting will be counted.</w:t>
      </w:r>
    </w:p>
    <w:p>
      <w:pPr>
        <w:spacing w:after="0" w:line="52" w:lineRule="exact"/>
        <w:rPr>
          <w:sz w:val="20"/>
          <w:szCs w:val="20"/>
          <w:color w:val="auto"/>
        </w:rPr>
      </w:pPr>
    </w:p>
    <w:p>
      <w:pPr>
        <w:ind w:left="300" w:right="719" w:firstLine="360"/>
        <w:spacing w:after="0" w:line="284" w:lineRule="auto"/>
        <w:rPr>
          <w:sz w:val="20"/>
          <w:szCs w:val="20"/>
          <w:color w:val="auto"/>
        </w:rPr>
      </w:pPr>
      <w:r>
        <w:rPr>
          <w:rFonts w:ascii="Times New Roman" w:cs="Times New Roman" w:eastAsia="Times New Roman" w:hAnsi="Times New Roman"/>
          <w:sz w:val="18"/>
          <w:szCs w:val="18"/>
          <w:color w:val="auto"/>
        </w:rPr>
        <w:t xml:space="preserve">If you own your shares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please contact your broker or other intermediary for instructions on changing your vote or revoking your proxy.</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Can I vote at the virtual meeting?</w:t>
      </w:r>
    </w:p>
    <w:p>
      <w:pPr>
        <w:spacing w:after="0" w:line="10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Yes. If you are the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xml:space="preserve"> of the shares, you will have the opportunity to vote in person when you attend the virtual Annual Meeting online by visiting </w:t>
      </w:r>
      <w:r>
        <w:rPr>
          <w:rFonts w:ascii="Times New Roman" w:cs="Times New Roman" w:eastAsia="Times New Roman" w:hAnsi="Times New Roman"/>
          <w:sz w:val="18"/>
          <w:szCs w:val="18"/>
          <w:i w:val="1"/>
          <w:iCs w:val="1"/>
          <w:color w:val="auto"/>
        </w:rPr>
        <w:t>www.virtualshareholdermeeting.com/TLRY2024.</w:t>
      </w:r>
      <w:r>
        <w:rPr>
          <w:rFonts w:ascii="Times New Roman" w:cs="Times New Roman" w:eastAsia="Times New Roman" w:hAnsi="Times New Roman"/>
          <w:sz w:val="18"/>
          <w:szCs w:val="18"/>
          <w:color w:val="auto"/>
        </w:rPr>
        <w:t xml:space="preserve"> 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 w:cs="Times New Roman" w:eastAsia="Times New Roman" w:hAnsi="Times New Roman"/>
          <w:sz w:val="18"/>
          <w:szCs w:val="18"/>
          <w:i w:val="1"/>
          <w:iCs w:val="1"/>
          <w:color w:val="auto"/>
        </w:rPr>
        <w:t>street name</w:t>
      </w:r>
      <w:r>
        <w:rPr>
          <w:rFonts w:ascii="Times New Roman" w:cs="Times New Roman" w:eastAsia="Times New Roman" w:hAnsi="Times New Roman"/>
          <w:sz w:val="18"/>
          <w:szCs w:val="18"/>
          <w:color w:val="auto"/>
        </w:rPr>
        <w:t xml:space="preserve"> is not the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Who will count the votes?</w:t>
      </w:r>
    </w:p>
    <w:p>
      <w:pPr>
        <w:spacing w:after="0" w:line="104"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Broadridge has been engaged as our independent agent to tabulate stockholder votes and act as Inspector of Election for the meeting.</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Is voting confidential?</w:t>
      </w:r>
    </w:p>
    <w:p>
      <w:pPr>
        <w:spacing w:after="0" w:line="10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the Company or to third parties, except:</w:t>
      </w:r>
    </w:p>
    <w:p>
      <w:pPr>
        <w:spacing w:after="0" w:line="41"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necessary to meet applicable legal requirements;</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for the tabulation and certification of votes; and</w:t>
      </w:r>
    </w:p>
    <w:p>
      <w:pPr>
        <w:spacing w:after="0" w:line="7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a successful proxy solicitation.</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Occasionally, stockholders provide written comments on their proxy cards, which may be forwarded to the Company’s management and the Board.</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What happens if the Annual Meeting is adjourned or postponed?</w:t>
      </w:r>
    </w:p>
    <w:p>
      <w:pPr>
        <w:spacing w:after="0" w:line="10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Your proxy will still be effective and will be voted at the adjourned or postponed Annual Meeting. You will still be able to change or revoke your proxy until it is voted, provided such new proxy or revocation is properly completed and timely received.</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How can I find the results of the Annual Meeting?</w:t>
      </w:r>
    </w:p>
    <w:p>
      <w:pPr>
        <w:spacing w:after="0" w:line="104" w:lineRule="exact"/>
        <w:rPr>
          <w:sz w:val="20"/>
          <w:szCs w:val="20"/>
          <w:color w:val="auto"/>
        </w:rPr>
      </w:pPr>
    </w:p>
    <w:p>
      <w:pPr>
        <w:jc w:val="both"/>
        <w:ind w:left="300" w:right="399" w:firstLine="360"/>
        <w:spacing w:after="0" w:line="289" w:lineRule="auto"/>
        <w:rPr>
          <w:sz w:val="20"/>
          <w:szCs w:val="20"/>
          <w:color w:val="auto"/>
        </w:rPr>
      </w:pPr>
      <w:r>
        <w:rPr>
          <w:rFonts w:ascii="Times New Roman" w:cs="Times New Roman" w:eastAsia="Times New Roman" w:hAnsi="Times New Roman"/>
          <w:sz w:val="17"/>
          <w:szCs w:val="17"/>
          <w:color w:val="auto"/>
        </w:rPr>
        <w:t>We will report the final voting results on a Current Report on Form 8-K filed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xml:space="preserve">”) within four business days of the Annual Meeting. The Form 8-K will be available on the SEC’s website,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as well as on our own website, </w:t>
      </w:r>
      <w:r>
        <w:rPr>
          <w:rFonts w:ascii="Times New Roman" w:cs="Times New Roman" w:eastAsia="Times New Roman" w:hAnsi="Times New Roman"/>
          <w:sz w:val="17"/>
          <w:szCs w:val="17"/>
          <w:i w:val="1"/>
          <w:iCs w:val="1"/>
          <w:color w:val="auto"/>
        </w:rPr>
        <w:t>https://ir.tilray.com/financial-information/sec-filings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Who is soliciting my vote pursuant to this Proxy Statement?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is soliciting your vote.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00489A"/>
        </w:rPr>
        <w:t>Internet Availability of Proxy Materials</w:t>
      </w:r>
    </w:p>
    <w:p>
      <w:pPr>
        <w:spacing w:after="0" w:line="103" w:lineRule="exact"/>
        <w:rPr>
          <w:sz w:val="20"/>
          <w:szCs w:val="20"/>
          <w:color w:val="auto"/>
        </w:rPr>
      </w:pPr>
    </w:p>
    <w:p>
      <w:pPr>
        <w:ind w:left="300" w:right="459" w:firstLine="360"/>
        <w:spacing w:after="0" w:line="256" w:lineRule="auto"/>
        <w:rPr>
          <w:sz w:val="20"/>
          <w:szCs w:val="20"/>
          <w:color w:val="auto"/>
        </w:rPr>
      </w:pPr>
      <w:r>
        <w:rPr>
          <w:rFonts w:ascii="Times New Roman" w:cs="Times New Roman" w:eastAsia="Times New Roman" w:hAnsi="Times New Roman"/>
          <w:sz w:val="18"/>
          <w:szCs w:val="18"/>
          <w:color w:val="auto"/>
        </w:rPr>
        <w:t>Under rules adopted by the SEC, we are furnishing Proxy Materials to our stockholders primarily via the Internet instead of mailing printed copies of those materials to each stockholder. On or about September 26, 2024,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89A"/>
        </w:rPr>
        <w:t>Cautionary Statement Regarding Forward-Looking and Other Statements</w:t>
      </w:r>
    </w:p>
    <w:p>
      <w:pPr>
        <w:spacing w:after="0" w:line="102" w:lineRule="exact"/>
        <w:rPr>
          <w:sz w:val="20"/>
          <w:szCs w:val="20"/>
          <w:color w:val="auto"/>
        </w:rPr>
      </w:pPr>
    </w:p>
    <w:p>
      <w:pPr>
        <w:ind w:left="300" w:right="419" w:firstLine="360"/>
        <w:spacing w:after="0" w:line="268" w:lineRule="auto"/>
        <w:rPr>
          <w:sz w:val="20"/>
          <w:szCs w:val="20"/>
          <w:color w:val="auto"/>
        </w:rPr>
      </w:pPr>
      <w:r>
        <w:rPr>
          <w:rFonts w:ascii="Times New Roman" w:cs="Times New Roman" w:eastAsia="Times New Roman" w:hAnsi="Times New Roman"/>
          <w:sz w:val="17"/>
          <w:szCs w:val="17"/>
          <w:i w:val="1"/>
          <w:iCs w:val="1"/>
          <w:color w:val="auto"/>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w:t>
      </w:r>
    </w:p>
    <w:p>
      <w:pPr>
        <w:spacing w:after="0" w:line="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i w:val="1"/>
          <w:iCs w:val="1"/>
          <w:color w:val="auto"/>
        </w:rPr>
        <w:t>“Risk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p>
    <w:p>
      <w:pPr>
        <w:spacing w:after="0" w:line="79"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1" w:name="page12"/>
    <w:bookmarkEnd w:id="11"/>
    <w:p>
      <w:pPr>
        <w:ind w:left="3920"/>
        <w:spacing w:after="0"/>
        <w:rPr>
          <w:sz w:val="20"/>
          <w:szCs w:val="20"/>
          <w:color w:val="auto"/>
        </w:rPr>
      </w:pPr>
      <w:r>
        <w:rPr>
          <w:rFonts w:ascii="Arial" w:cs="Arial" w:eastAsia="Arial" w:hAnsi="Arial"/>
          <w:sz w:val="18"/>
          <w:szCs w:val="18"/>
          <w:b w:val="1"/>
          <w:bCs w:val="1"/>
          <w:color w:val="00489A"/>
        </w:rPr>
        <w:t>PROPOSAL 1</w:t>
      </w:r>
    </w:p>
    <w:p>
      <w:pPr>
        <w:spacing w:after="0" w:line="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00489A"/>
        </w:rPr>
        <w:t> </w:t>
      </w:r>
    </w:p>
    <w:p>
      <w:pPr>
        <w:ind w:left="3340"/>
        <w:spacing w:after="0"/>
        <w:rPr>
          <w:sz w:val="20"/>
          <w:szCs w:val="20"/>
          <w:color w:val="auto"/>
        </w:rPr>
      </w:pPr>
      <w:r>
        <w:rPr>
          <w:rFonts w:ascii="Arial" w:cs="Arial" w:eastAsia="Arial" w:hAnsi="Arial"/>
          <w:sz w:val="18"/>
          <w:szCs w:val="18"/>
          <w:b w:val="1"/>
          <w:bCs w:val="1"/>
          <w:color w:val="00489A"/>
        </w:rPr>
        <w:t>ELECTION OF DIRECTORS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11" w:lineRule="exact"/>
        <w:rPr>
          <w:sz w:val="20"/>
          <w:szCs w:val="20"/>
          <w:color w:val="auto"/>
        </w:rPr>
      </w:pPr>
    </w:p>
    <w:p>
      <w:pPr>
        <w:ind w:left="300" w:right="559" w:firstLine="360"/>
        <w:spacing w:after="0" w:line="261" w:lineRule="auto"/>
        <w:rPr>
          <w:sz w:val="20"/>
          <w:szCs w:val="20"/>
          <w:color w:val="auto"/>
        </w:rPr>
      </w:pPr>
      <w:r>
        <w:rPr>
          <w:rFonts w:ascii="Times New Roman" w:cs="Times New Roman" w:eastAsia="Times New Roman" w:hAnsi="Times New Roman"/>
          <w:sz w:val="18"/>
          <w:szCs w:val="18"/>
          <w:color w:val="auto"/>
        </w:rPr>
        <w:t>Tilray’s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Board presently has seven members and is divided into three classes (I, II, and III) of directors. Each of our directors currently serves until either the 2024 (current), 2025 or 2026 annual meeting of our stockholders and until her or his successor has been duly elected and qualified, or, if sooner, until the director’s death, resignation or removal. It is the Company’s policy to invite directors and nominees for director to attend the Annual Meeting.</w:t>
      </w:r>
    </w:p>
    <w:p>
      <w:pPr>
        <w:spacing w:after="0" w:line="3" w:lineRule="exact"/>
        <w:rPr>
          <w:sz w:val="20"/>
          <w:szCs w:val="20"/>
          <w:color w:val="auto"/>
        </w:rPr>
      </w:pPr>
    </w:p>
    <w:p>
      <w:pPr>
        <w:ind w:left="300" w:right="319"/>
        <w:spacing w:after="0" w:line="260" w:lineRule="auto"/>
        <w:rPr>
          <w:sz w:val="20"/>
          <w:szCs w:val="20"/>
          <w:color w:val="auto"/>
        </w:rPr>
      </w:pPr>
      <w:r>
        <w:rPr>
          <w:rFonts w:ascii="Times New Roman" w:cs="Times New Roman" w:eastAsia="Times New Roman" w:hAnsi="Times New Roman"/>
          <w:sz w:val="18"/>
          <w:szCs w:val="18"/>
          <w:color w:val="auto"/>
        </w:rPr>
        <w:t>All of our Board members, who were then-current members of Tilray’s Board, attended our 2023 Annual Meeting of stockholders.</w:t>
      </w:r>
    </w:p>
    <w:p>
      <w:pPr>
        <w:spacing w:after="0" w:line="73"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David Hopkinson and Thomas Looney are Class III directors and each of them is willing and able to stand for election at the Annual Meeting. Jodi Butts has determined not to stand for re-election as a Class III director, but will continue to serve as a Board member through the end of her current term expiring at the 2024 Annual Meeting. Any vacancies not filled at the Annual Meeting may be filled by the Board.</w:t>
      </w:r>
    </w:p>
    <w:p>
      <w:pPr>
        <w:spacing w:after="0" w:line="152" w:lineRule="exact"/>
        <w:rPr>
          <w:sz w:val="20"/>
          <w:szCs w:val="20"/>
          <w:color w:val="auto"/>
        </w:rPr>
      </w:pPr>
    </w:p>
    <w:p>
      <w:pPr>
        <w:ind w:left="300" w:right="639"/>
        <w:spacing w:after="0" w:line="281" w:lineRule="auto"/>
        <w:rPr>
          <w:sz w:val="20"/>
          <w:szCs w:val="20"/>
          <w:color w:val="auto"/>
        </w:rPr>
      </w:pPr>
      <w:r>
        <w:rPr>
          <w:rFonts w:ascii="Arial" w:cs="Arial" w:eastAsia="Arial" w:hAnsi="Arial"/>
          <w:sz w:val="18"/>
          <w:szCs w:val="18"/>
          <w:b w:val="1"/>
          <w:bCs w:val="1"/>
          <w:color w:val="00489A"/>
        </w:rPr>
        <w:t>David Hopkinson and Thomas Looney, the Class III Director Nominees for Election for a Three-Year Term Expiring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6"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biography of each of Mr. Hopkinson and Mr. Looney as Class III director nominees is listed below and contains information regarding the person’s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Each Class III director nominee listed below exemplifies how our Board values professional experience in business, education, policy and governmental fields as well as strong moral character and diversity in terms of viewpoint as well as age, ethnicity and gender. Our Board believes that each of these director nominee’s strong background and sets of skills provide the Board, as a whole, with a strong foundation of technical expertise and diverse experience in a variety of areas.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2" w:name="page13"/>
    <w:bookmarkEnd w:id="12"/>
    <w:tbl>
      <w:tblPr>
        <w:tblLayout w:type="fixed"/>
        <w:tblInd w:w="300" w:type="dxa"/>
        <w:tblCellMar>
          <w:top w:w="0" w:type="dxa"/>
          <w:left w:w="0" w:type="dxa"/>
          <w:bottom w:w="0" w:type="dxa"/>
          <w:right w:w="0" w:type="dxa"/>
        </w:tblCellMar>
      </w:tblPr>
      <w:tr>
        <w:trPr>
          <w:trHeight w:val="338"/>
        </w:trPr>
        <w:tc>
          <w:tcPr>
            <w:tcW w:w="370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David Hopkinson</w:t>
            </w:r>
          </w:p>
        </w:tc>
        <w:tc>
          <w:tcPr>
            <w:tcW w:w="4720" w:type="dxa"/>
            <w:vAlign w:val="bottom"/>
            <w:shd w:val="clear" w:color="auto" w:fill="00489A"/>
          </w:tcPr>
          <w:p>
            <w:pPr>
              <w:ind w:left="42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7"/>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53</w:t>
            </w: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Mr. Hopkinson is not a director of any other public</w:t>
            </w:r>
          </w:p>
        </w:tc>
      </w:tr>
      <w:tr>
        <w:trPr>
          <w:trHeight w:val="212"/>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company board.</w:t>
            </w:r>
          </w:p>
        </w:tc>
      </w:tr>
      <w:tr>
        <w:trPr>
          <w:trHeight w:val="216"/>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Nominating and Governance</w:t>
            </w:r>
          </w:p>
        </w:tc>
        <w:tc>
          <w:tcPr>
            <w:tcW w:w="4720" w:type="dxa"/>
            <w:vAlign w:val="bottom"/>
          </w:tcPr>
          <w:p>
            <w:pPr>
              <w:spacing w:after="0"/>
              <w:rPr>
                <w:sz w:val="18"/>
                <w:szCs w:val="18"/>
                <w:color w:val="auto"/>
              </w:rPr>
            </w:pPr>
          </w:p>
        </w:tc>
      </w:tr>
      <w:tr>
        <w:trPr>
          <w:trHeight w:val="238"/>
        </w:trPr>
        <w:tc>
          <w:tcPr>
            <w:tcW w:w="3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 &amp; Compensation Committee</w:t>
            </w:r>
          </w:p>
        </w:tc>
        <w:tc>
          <w:tcPr>
            <w:tcW w:w="4720" w:type="dxa"/>
            <w:vAlign w:val="bottom"/>
          </w:tcPr>
          <w:p>
            <w:pPr>
              <w:spacing w:after="0"/>
              <w:rPr>
                <w:sz w:val="20"/>
                <w:szCs w:val="20"/>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40" w:lineRule="exact"/>
        <w:rPr>
          <w:sz w:val="20"/>
          <w:szCs w:val="20"/>
          <w:color w:val="auto"/>
        </w:rPr>
      </w:pPr>
    </w:p>
    <w:p>
      <w:pPr>
        <w:ind w:left="340" w:right="459"/>
        <w:spacing w:after="0" w:line="252" w:lineRule="auto"/>
        <w:rPr>
          <w:sz w:val="20"/>
          <w:szCs w:val="20"/>
          <w:color w:val="auto"/>
        </w:rPr>
      </w:pPr>
      <w:r>
        <w:rPr>
          <w:rFonts w:ascii="Times New Roman" w:cs="Times New Roman" w:eastAsia="Times New Roman" w:hAnsi="Times New Roman"/>
          <w:sz w:val="18"/>
          <w:szCs w:val="18"/>
          <w:color w:val="auto"/>
        </w:rPr>
        <w:t>Mr. Hopkinson is an accomplished executive with more than 25 years of diverse sports and entertainment industry experience. Most recently Mr. Hopkinson served as the President and Chief Operating Officer at Madison Square Garden Sports Corp. (MSG Sports) from 2020 to 2024, where he was responsible for setting the business strategy and overseeing all aspects of business operations across MSG Sports’ portfolio of assets, which includes the New York Knicks (NBA) and New York Rangers (NHL). Prior to MSG Sports, he served as Global Head of Partnerships for Real Madrid Club de Futbol, one of the world’s top revenue-generating football clubs, where he was responsible for all aspects of global partnerships. Before joining Real Madrid in 2018, Mr. Hopkinson spent over 20 years with Maple Leaf Sports and Entertainment (MLSE) in roles of increasing responsibility. In his last role with the Company, Mr. Hopkinson served as Chief Commercial Officer, where he was responsible for all revenue generation across MLSE’s portfolio of teams, which includes the Toronto Maple Leafs (NHL), Toronto Raptors (NBA) and Toronto FC (MLS). Mr. Hopkinson has served on the Chancellor’s Advisory Committee at McGill University in Montreal, in addition to the Boards of Canada Basketball, Canada’s Walk of Fame, and Women’s College Hospital Foundation in Toronto. In 2013, he was awarded the Queen Elizabeth II Diamond Jubilee Medal in recognition of Service to Canada.</w:t>
      </w:r>
    </w:p>
    <w:p>
      <w:pPr>
        <w:spacing w:after="0" w:line="2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Extensive operational, management and revenue generation experience.</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356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Thomas Looney</w:t>
            </w:r>
          </w:p>
        </w:tc>
        <w:tc>
          <w:tcPr>
            <w:tcW w:w="4860" w:type="dxa"/>
            <w:vAlign w:val="bottom"/>
            <w:shd w:val="clear" w:color="auto" w:fill="00489A"/>
          </w:tcPr>
          <w:p>
            <w:pPr>
              <w:ind w:left="56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7"/>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61</w:t>
            </w:r>
          </w:p>
        </w:tc>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Mr. Looney is not a director of any other public</w:t>
            </w:r>
          </w:p>
        </w:tc>
      </w:tr>
      <w:tr>
        <w:trPr>
          <w:trHeight w:val="212"/>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company board.</w:t>
            </w:r>
          </w:p>
        </w:tc>
      </w:tr>
      <w:tr>
        <w:trPr>
          <w:trHeight w:val="216"/>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Audit Committee &amp;</w:t>
            </w:r>
          </w:p>
        </w:tc>
        <w:tc>
          <w:tcPr>
            <w:tcW w:w="4860" w:type="dxa"/>
            <w:vAlign w:val="bottom"/>
          </w:tcPr>
          <w:p>
            <w:pPr>
              <w:spacing w:after="0"/>
              <w:rPr>
                <w:sz w:val="18"/>
                <w:szCs w:val="18"/>
                <w:color w:val="auto"/>
              </w:rPr>
            </w:pPr>
          </w:p>
        </w:tc>
      </w:tr>
      <w:tr>
        <w:trPr>
          <w:trHeight w:val="238"/>
        </w:trPr>
        <w:tc>
          <w:tcPr>
            <w:tcW w:w="35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Chair of the Compensation Committee</w:t>
            </w:r>
          </w:p>
        </w:tc>
        <w:tc>
          <w:tcPr>
            <w:tcW w:w="4860" w:type="dxa"/>
            <w:vAlign w:val="bottom"/>
          </w:tcPr>
          <w:p>
            <w:pPr>
              <w:spacing w:after="0"/>
              <w:rPr>
                <w:sz w:val="20"/>
                <w:szCs w:val="20"/>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40" w:lineRule="exact"/>
        <w:rPr>
          <w:sz w:val="20"/>
          <w:szCs w:val="20"/>
          <w:color w:val="auto"/>
        </w:rPr>
      </w:pPr>
    </w:p>
    <w:p>
      <w:pPr>
        <w:ind w:left="340" w:right="559"/>
        <w:spacing w:after="0" w:line="277" w:lineRule="auto"/>
        <w:rPr>
          <w:sz w:val="20"/>
          <w:szCs w:val="20"/>
          <w:color w:val="auto"/>
        </w:rPr>
      </w:pPr>
      <w:r>
        <w:rPr>
          <w:rFonts w:ascii="Times New Roman" w:cs="Times New Roman" w:eastAsia="Times New Roman" w:hAnsi="Times New Roman"/>
          <w:sz w:val="17"/>
          <w:szCs w:val="17"/>
          <w:color w:val="auto"/>
        </w:rPr>
        <w:t>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w:t>
      </w:r>
    </w:p>
    <w:p>
      <w:pPr>
        <w:spacing w:after="0" w:line="2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right="379"/>
        <w:spacing w:after="0" w:line="282" w:lineRule="auto"/>
        <w:rPr>
          <w:sz w:val="20"/>
          <w:szCs w:val="20"/>
          <w:color w:val="auto"/>
        </w:rPr>
      </w:pPr>
      <w:r>
        <w:rPr>
          <w:rFonts w:ascii="Times New Roman" w:cs="Times New Roman" w:eastAsia="Times New Roman" w:hAnsi="Times New Roman"/>
          <w:sz w:val="18"/>
          <w:szCs w:val="18"/>
          <w:color w:val="auto"/>
        </w:rPr>
        <w:t>Extensive innovation, sales, finance and marketing experience, especially in the beverage alcohol industry, and risk management.</w:t>
      </w:r>
    </w:p>
    <w:p>
      <w:pPr>
        <w:spacing w:after="0" w:line="175" w:lineRule="exact"/>
        <w:rPr>
          <w:sz w:val="20"/>
          <w:szCs w:val="20"/>
          <w:color w:val="auto"/>
        </w:rPr>
      </w:pPr>
    </w:p>
    <w:p>
      <w:pPr>
        <w:ind w:left="1460" w:right="1459" w:firstLine="348"/>
        <w:spacing w:after="0" w:line="311" w:lineRule="auto"/>
        <w:rPr>
          <w:sz w:val="20"/>
          <w:szCs w:val="20"/>
          <w:color w:val="auto"/>
        </w:rPr>
      </w:pPr>
      <w:r>
        <w:rPr>
          <w:rFonts w:ascii="Arial" w:cs="Arial" w:eastAsia="Arial" w:hAnsi="Arial"/>
          <w:sz w:val="17"/>
          <w:szCs w:val="17"/>
          <w:b w:val="1"/>
          <w:bCs w:val="1"/>
          <w:color w:val="00489A"/>
        </w:rPr>
        <w:t>OUR BOARD UNANIMOUSLY RECOMMENDS THAT YOU VOTE “FOR” THE ELECTION OF THESE TWO (2) NOMINEES FOR DIRECTOR.</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 w:name="page14"/>
    <w:bookmarkEnd w:id="13"/>
    <w:p>
      <w:pPr>
        <w:ind w:left="300" w:right="899"/>
        <w:spacing w:after="0" w:line="280" w:lineRule="auto"/>
        <w:rPr>
          <w:sz w:val="20"/>
          <w:szCs w:val="20"/>
          <w:color w:val="auto"/>
        </w:rPr>
      </w:pPr>
      <w:r>
        <w:rPr>
          <w:rFonts w:ascii="Arial" w:cs="Arial" w:eastAsia="Arial" w:hAnsi="Arial"/>
          <w:sz w:val="18"/>
          <w:szCs w:val="18"/>
          <w:b w:val="1"/>
          <w:bCs w:val="1"/>
          <w:color w:val="00489A"/>
        </w:rPr>
        <w:t>Class I and Class II Directors Continuing in Office Until the 2025 and 2026 Annual Meetings,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-20320</wp:posOffset>
            </wp:positionV>
            <wp:extent cx="5349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82"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308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Irwin D. Simon</w:t>
            </w:r>
          </w:p>
        </w:tc>
        <w:tc>
          <w:tcPr>
            <w:tcW w:w="5520" w:type="dxa"/>
            <w:vAlign w:val="bottom"/>
            <w:shd w:val="clear" w:color="auto" w:fill="00489A"/>
          </w:tcPr>
          <w:p>
            <w:pPr>
              <w:ind w:left="1100"/>
              <w:spacing w:after="0"/>
              <w:rPr>
                <w:sz w:val="20"/>
                <w:szCs w:val="20"/>
                <w:color w:val="auto"/>
              </w:rPr>
            </w:pPr>
            <w:r>
              <w:rPr>
                <w:rFonts w:ascii="Times New Roman" w:cs="Times New Roman" w:eastAsia="Times New Roman" w:hAnsi="Times New Roman"/>
                <w:sz w:val="18"/>
                <w:szCs w:val="18"/>
                <w:b w:val="1"/>
                <w:bCs w:val="1"/>
                <w:color w:val="FFFFFF"/>
              </w:rPr>
              <w:t>Chairman, President, and Chief Executive Officer</w:t>
            </w:r>
          </w:p>
        </w:tc>
      </w:tr>
      <w:tr>
        <w:trPr>
          <w:trHeight w:val="427"/>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5520" w:type="dxa"/>
            <w:vAlign w:val="bottom"/>
          </w:tcPr>
          <w:p>
            <w:pPr>
              <w:ind w:left="110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66</w:t>
            </w:r>
          </w:p>
        </w:tc>
        <w:tc>
          <w:tcPr>
            <w:tcW w:w="55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Mr. Simon is currently a director of Stagwell Inc.</w:t>
            </w:r>
          </w:p>
        </w:tc>
      </w:tr>
      <w:tr>
        <w:trPr>
          <w:trHeight w:val="212"/>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520" w:type="dxa"/>
            <w:vAlign w:val="bottom"/>
          </w:tcPr>
          <w:p>
            <w:pPr>
              <w:spacing w:after="0"/>
              <w:rPr>
                <w:sz w:val="18"/>
                <w:szCs w:val="18"/>
                <w:color w:val="auto"/>
              </w:rPr>
            </w:pPr>
          </w:p>
        </w:tc>
      </w:tr>
      <w:tr>
        <w:trPr>
          <w:trHeight w:val="238"/>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None</w:t>
            </w:r>
          </w:p>
        </w:tc>
        <w:tc>
          <w:tcPr>
            <w:tcW w:w="5520" w:type="dxa"/>
            <w:vAlign w:val="bottom"/>
          </w:tcPr>
          <w:p>
            <w:pPr>
              <w:spacing w:after="0"/>
              <w:rPr>
                <w:sz w:val="20"/>
                <w:szCs w:val="20"/>
                <w:color w:val="auto"/>
              </w:rPr>
            </w:pPr>
          </w:p>
        </w:tc>
      </w:tr>
      <w:tr>
        <w:trPr>
          <w:trHeight w:val="486"/>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Highlights:</w:t>
            </w:r>
          </w:p>
        </w:tc>
        <w:tc>
          <w:tcPr>
            <w:tcW w:w="5520" w:type="dxa"/>
            <w:vAlign w:val="bottom"/>
          </w:tcPr>
          <w:p>
            <w:pPr>
              <w:spacing w:after="0"/>
              <w:rPr>
                <w:sz w:val="24"/>
                <w:szCs w:val="24"/>
                <w:color w:val="auto"/>
              </w:rPr>
            </w:pPr>
          </w:p>
        </w:tc>
      </w:tr>
    </w:tbl>
    <w:p>
      <w:pPr>
        <w:spacing w:after="0" w:line="9" w:lineRule="exact"/>
        <w:rPr>
          <w:sz w:val="20"/>
          <w:szCs w:val="20"/>
          <w:color w:val="auto"/>
        </w:rPr>
      </w:pPr>
    </w:p>
    <w:p>
      <w:pPr>
        <w:ind w:left="340" w:right="159"/>
        <w:spacing w:after="0" w:line="253" w:lineRule="auto"/>
        <w:rPr>
          <w:sz w:val="20"/>
          <w:szCs w:val="20"/>
          <w:color w:val="auto"/>
        </w:rPr>
      </w:pPr>
      <w:r>
        <w:rPr>
          <w:rFonts w:ascii="Times New Roman" w:cs="Times New Roman" w:eastAsia="Times New Roman" w:hAnsi="Times New Roman"/>
          <w:sz w:val="18"/>
          <w:szCs w:val="18"/>
          <w:color w:val="auto"/>
        </w:rPr>
        <w:t>Irwin D. Simon is a Canadian American businessman and visionary leader who serves as Chairman and Chief Executive Officer at Tilray Brands, Inc, the world’s leading lifestyle consumer packaged goods company with a diversified portfolio of consumer brands across medical and adult-use cannabis, wellness foods, and beverages including craft beer, spirits, and cannabis drinks. Tilray’s unprecedented platform operates in over 20 countries and leads across markets as the #1 medical and adult-use cannabis company in Canada, the largest federally legal cannabis market in the world, the leader in medical cannabis across Europe, and 5th largest craft brewer in the United States. Mr. Simon was until August 2024, the Executive Chairman of Whole Earth Brands, Inc., a global industry-leading platform focused on the “better for you” consumer packaged goods and ingredients space. Mr. Simon continues to serve as Lead Director at Stagwell Inc., a digital-first global marketing network that delivers scalable, seamless solutions through a unique combination of culture-moving creativity and leading-edge technology.</w:t>
      </w:r>
    </w:p>
    <w:p>
      <w:pPr>
        <w:spacing w:after="0" w:line="248" w:lineRule="exact"/>
        <w:rPr>
          <w:sz w:val="20"/>
          <w:szCs w:val="20"/>
          <w:color w:val="auto"/>
        </w:rPr>
      </w:pPr>
    </w:p>
    <w:p>
      <w:pPr>
        <w:ind w:left="340" w:right="339"/>
        <w:spacing w:after="0" w:line="258" w:lineRule="auto"/>
        <w:rPr>
          <w:sz w:val="20"/>
          <w:szCs w:val="20"/>
          <w:color w:val="auto"/>
        </w:rPr>
      </w:pPr>
      <w:r>
        <w:rPr>
          <w:rFonts w:ascii="Times New Roman" w:cs="Times New Roman" w:eastAsia="Times New Roman" w:hAnsi="Times New Roman"/>
          <w:sz w:val="18"/>
          <w:szCs w:val="18"/>
          <w:color w:val="auto"/>
        </w:rPr>
        <w:t>A transformative entrepreneur for over four decades, Mr. Simon is recognized as a forefather of the organic and natural products industry. In 1993, he founded and served as the Chairman and CEO of The Hain Celestial Group, Inc., a leading organic and natural products company, providing consumers with A Healthier Way of Life™. During his 25 year tenure, he grew Hain Celestial to a $3 billion business with operations in North America, Europe, Asia and the Middle East.</w:t>
      </w:r>
    </w:p>
    <w:p>
      <w:pPr>
        <w:spacing w:after="0" w:line="237" w:lineRule="exact"/>
        <w:rPr>
          <w:sz w:val="20"/>
          <w:szCs w:val="20"/>
          <w:color w:val="auto"/>
        </w:rPr>
      </w:pPr>
    </w:p>
    <w:p>
      <w:pPr>
        <w:ind w:left="340" w:right="299"/>
        <w:spacing w:after="0" w:line="282" w:lineRule="auto"/>
        <w:rPr>
          <w:sz w:val="20"/>
          <w:szCs w:val="20"/>
          <w:color w:val="auto"/>
        </w:rPr>
      </w:pPr>
      <w:r>
        <w:rPr>
          <w:rFonts w:ascii="Times New Roman" w:cs="Times New Roman" w:eastAsia="Times New Roman" w:hAnsi="Times New Roman"/>
          <w:sz w:val="18"/>
          <w:szCs w:val="18"/>
          <w:color w:val="auto"/>
        </w:rPr>
        <w:t>Mr. Simon also serves on the board of directors at Tulane University and the Board of Trustees at Poly Prep Country Day School.</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right="699"/>
        <w:spacing w:after="0" w:line="282" w:lineRule="auto"/>
        <w:rPr>
          <w:sz w:val="20"/>
          <w:szCs w:val="20"/>
          <w:color w:val="auto"/>
        </w:rPr>
      </w:pPr>
      <w:r>
        <w:rPr>
          <w:rFonts w:ascii="Times New Roman" w:cs="Times New Roman" w:eastAsia="Times New Roman" w:hAnsi="Times New Roman"/>
          <w:sz w:val="18"/>
          <w:szCs w:val="18"/>
          <w:color w:val="auto"/>
        </w:rPr>
        <w:t>Executive and public company board leadership, entrepreneurship, extensive global consumer-packaged goods business and brand development experience, as well as in-depth knowledge of our industry.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tbl>
      <w:tblPr>
        <w:tblLayout w:type="fixed"/>
        <w:tblInd w:w="300" w:type="dxa"/>
        <w:tblCellMar>
          <w:top w:w="0" w:type="dxa"/>
          <w:left w:w="0" w:type="dxa"/>
          <w:bottom w:w="0" w:type="dxa"/>
          <w:right w:w="0" w:type="dxa"/>
        </w:tblCellMar>
      </w:tblPr>
      <w:tr>
        <w:trPr>
          <w:trHeight w:val="338"/>
        </w:trPr>
        <w:tc>
          <w:tcPr>
            <w:tcW w:w="380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Renah Persofsky</w:t>
            </w:r>
          </w:p>
        </w:tc>
        <w:tc>
          <w:tcPr>
            <w:tcW w:w="4620" w:type="dxa"/>
            <w:vAlign w:val="bottom"/>
            <w:shd w:val="clear" w:color="auto" w:fill="00489A"/>
          </w:tcPr>
          <w:p>
            <w:pPr>
              <w:ind w:left="32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7"/>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66</w:t>
            </w: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Ms. Persofsky is currently a director of Hydrofarm</w:t>
            </w:r>
          </w:p>
        </w:tc>
      </w:tr>
      <w:tr>
        <w:trPr>
          <w:trHeight w:val="212"/>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Holdings Group, Inc. and GreenLane Holdings.</w:t>
            </w:r>
          </w:p>
        </w:tc>
      </w:tr>
      <w:tr>
        <w:trPr>
          <w:trHeight w:val="216"/>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Vice-Chair (Lead Director) and</w:t>
            </w:r>
          </w:p>
        </w:tc>
        <w:tc>
          <w:tcPr>
            <w:tcW w:w="4620" w:type="dxa"/>
            <w:vAlign w:val="bottom"/>
          </w:tcPr>
          <w:p>
            <w:pPr>
              <w:spacing w:after="0"/>
              <w:rPr>
                <w:sz w:val="18"/>
                <w:szCs w:val="18"/>
                <w:color w:val="auto"/>
              </w:rPr>
            </w:pPr>
          </w:p>
        </w:tc>
      </w:tr>
      <w:tr>
        <w:trPr>
          <w:trHeight w:val="216"/>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Chair of the Nominating and Governance</w:t>
            </w:r>
          </w:p>
        </w:tc>
        <w:tc>
          <w:tcPr>
            <w:tcW w:w="4620" w:type="dxa"/>
            <w:vAlign w:val="bottom"/>
          </w:tcPr>
          <w:p>
            <w:pPr>
              <w:spacing w:after="0"/>
              <w:rPr>
                <w:sz w:val="18"/>
                <w:szCs w:val="18"/>
                <w:color w:val="auto"/>
              </w:rPr>
            </w:pPr>
          </w:p>
        </w:tc>
      </w:tr>
      <w:tr>
        <w:trPr>
          <w:trHeight w:val="238"/>
        </w:trPr>
        <w:tc>
          <w:tcPr>
            <w:tcW w:w="3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 Independent Director</w:t>
            </w:r>
          </w:p>
        </w:tc>
        <w:tc>
          <w:tcPr>
            <w:tcW w:w="4620" w:type="dxa"/>
            <w:vAlign w:val="bottom"/>
          </w:tcPr>
          <w:p>
            <w:pPr>
              <w:spacing w:after="0"/>
              <w:rPr>
                <w:sz w:val="20"/>
                <w:szCs w:val="20"/>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40" w:lineRule="exact"/>
        <w:rPr>
          <w:sz w:val="20"/>
          <w:szCs w:val="20"/>
          <w:color w:val="auto"/>
        </w:rPr>
      </w:pPr>
    </w:p>
    <w:p>
      <w:pPr>
        <w:ind w:left="340" w:right="579"/>
        <w:spacing w:after="0" w:line="254" w:lineRule="auto"/>
        <w:rPr>
          <w:sz w:val="20"/>
          <w:szCs w:val="20"/>
          <w:color w:val="auto"/>
        </w:rPr>
      </w:pPr>
      <w:r>
        <w:rPr>
          <w:rFonts w:ascii="Times New Roman" w:cs="Times New Roman" w:eastAsia="Times New Roman" w:hAnsi="Times New Roman"/>
          <w:sz w:val="18"/>
          <w:szCs w:val="18"/>
          <w:color w:val="auto"/>
        </w:rPr>
        <w:t>Renah Persofsky , ICD.D, Vice-Chair (Lead Director) and Chair of the Nominating and Governance Committee, Independent Director. With a remarkable career spanning over four decades, Renah Persofsky is a seasoned business leader and a trailblazer in various industries. Currently, she is the executive chairman of Green Gruff, a pioneering dog wellness company committed to producing organic and sustainable dog supplements and treats.  </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to her role at Green Gruff, Ms. Persofsky serves as a distinguished member of the board of Hydrofarm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Holdings Group, America’s oldest and largest independent wholesaler and manufacturer of hydroponics equipment</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grow lights. She also serves on the board of Oceansix, an Israeli founded forward-thinking technology and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manufacturing company in the renewable plastic industry. Ms. Persofsky’s experience in the cannabis industry is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solidified through her role on the Board of Greenlane Holdings, one of the largest global sellers of cannabis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accessories.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40" w:right="379"/>
        <w:spacing w:after="0" w:line="252" w:lineRule="auto"/>
        <w:rPr>
          <w:sz w:val="20"/>
          <w:szCs w:val="20"/>
          <w:color w:val="auto"/>
        </w:rPr>
      </w:pPr>
      <w:r>
        <w:rPr>
          <w:rFonts w:ascii="Times New Roman" w:cs="Times New Roman" w:eastAsia="Times New Roman" w:hAnsi="Times New Roman"/>
          <w:sz w:val="18"/>
          <w:szCs w:val="18"/>
          <w:color w:val="auto"/>
        </w:rPr>
        <w:t>Her extensive experience includes serving as an executive consultant to many brands, including Tim Hortons, Canadian Tire, CIBC, Canada Post, and Interac. She also held an executive officer position at the Bank of Montreal. Ms. Persofsky’s expertise in e-commerce is globally recognized. She has co-chaired the Canadian Minister’s Advisory Committee on Electronic Commerce and served as a special advisor to the Minister of Foreign Affairs and Trade. Her contributions to these roles underscore her commitment to innovation and her vision for a digitally connected world.</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Public company board experience, extensive governance and management experience.</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362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David Clanachan</w:t>
            </w:r>
          </w:p>
        </w:tc>
        <w:tc>
          <w:tcPr>
            <w:tcW w:w="4800" w:type="dxa"/>
            <w:vAlign w:val="bottom"/>
            <w:shd w:val="clear" w:color="auto" w:fill="00489A"/>
          </w:tcPr>
          <w:p>
            <w:pPr>
              <w:ind w:left="50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3"/>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 May 2021</w:t>
            </w:r>
          </w:p>
        </w:tc>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6"/>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62</w:t>
            </w:r>
          </w:p>
        </w:tc>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Mr. Clanachan is not a director of any other public</w:t>
            </w:r>
          </w:p>
        </w:tc>
      </w:tr>
      <w:tr>
        <w:trPr>
          <w:trHeight w:val="212"/>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company board.</w:t>
            </w:r>
          </w:p>
        </w:tc>
      </w:tr>
      <w:tr>
        <w:trPr>
          <w:trHeight w:val="238"/>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Audit Committee Member</w:t>
            </w:r>
          </w:p>
        </w:tc>
        <w:tc>
          <w:tcPr>
            <w:tcW w:w="4800" w:type="dxa"/>
            <w:vAlign w:val="bottom"/>
          </w:tcPr>
          <w:p>
            <w:pPr>
              <w:spacing w:after="0"/>
              <w:rPr>
                <w:sz w:val="20"/>
                <w:szCs w:val="20"/>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40" w:lineRule="exact"/>
        <w:rPr>
          <w:sz w:val="20"/>
          <w:szCs w:val="20"/>
          <w:color w:val="auto"/>
        </w:rPr>
      </w:pPr>
    </w:p>
    <w:p>
      <w:pPr>
        <w:ind w:left="340" w:right="459"/>
        <w:spacing w:after="0" w:line="254" w:lineRule="auto"/>
        <w:rPr>
          <w:sz w:val="20"/>
          <w:szCs w:val="20"/>
          <w:color w:val="auto"/>
        </w:rPr>
      </w:pPr>
      <w:r>
        <w:rPr>
          <w:rFonts w:ascii="Times New Roman" w:cs="Times New Roman" w:eastAsia="Times New Roman" w:hAnsi="Times New Roman"/>
          <w:sz w:val="18"/>
          <w:szCs w:val="18"/>
          <w:color w:val="auto"/>
        </w:rPr>
        <w:t>David F. Clanachan is the current Chair of the Board of Directors for SteamWhistle brewery in Canada, while serving as a consultant to a number of food service companies throughout Canada. He was the past Commissioner of the Canadian Premier League, a post he held from 2018 until 2021. Mr. Clanachan was also the Chairman of Restaurant Brands International, Canada until 2018. He was named President and Chief Operating Officer of Tim Hortons from 2014 to 2018, and had more than 35 years of service for that brand. Mr. Clanachan holds a Bachelor of Commerce degree from the University of Windsor. Mr. Clanachan brings to the Board significant experience in consumer products and services, as well as financial, international growth, and general management experience.</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Extensive consumer products and services, financial, international growth, and general management experience.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5" w:name="page16"/>
    <w:bookmarkEnd w:id="15"/>
    <w:tbl>
      <w:tblPr>
        <w:tblLayout w:type="fixed"/>
        <w:tblInd w:w="300" w:type="dxa"/>
        <w:tblCellMar>
          <w:top w:w="0" w:type="dxa"/>
          <w:left w:w="0" w:type="dxa"/>
          <w:bottom w:w="0" w:type="dxa"/>
          <w:right w:w="0" w:type="dxa"/>
        </w:tblCellMar>
      </w:tblPr>
      <w:tr>
        <w:trPr>
          <w:trHeight w:val="337"/>
        </w:trPr>
        <w:tc>
          <w:tcPr>
            <w:tcW w:w="374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John M. Herhalt</w:t>
            </w:r>
          </w:p>
        </w:tc>
        <w:tc>
          <w:tcPr>
            <w:tcW w:w="4680" w:type="dxa"/>
            <w:vAlign w:val="bottom"/>
            <w:shd w:val="clear" w:color="auto" w:fill="00489A"/>
          </w:tcPr>
          <w:p>
            <w:pPr>
              <w:ind w:left="38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7"/>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67</w:t>
            </w:r>
          </w:p>
        </w:tc>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Mr. Herhalt is not a director of any other public</w:t>
            </w:r>
          </w:p>
        </w:tc>
      </w:tr>
      <w:tr>
        <w:trPr>
          <w:trHeight w:val="212"/>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6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company board.</w:t>
            </w:r>
          </w:p>
        </w:tc>
      </w:tr>
      <w:tr>
        <w:trPr>
          <w:trHeight w:val="238"/>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Chair of the Audit Committee</w:t>
            </w:r>
          </w:p>
        </w:tc>
        <w:tc>
          <w:tcPr>
            <w:tcW w:w="4680" w:type="dxa"/>
            <w:vAlign w:val="bottom"/>
          </w:tcPr>
          <w:p>
            <w:pPr>
              <w:spacing w:after="0"/>
              <w:rPr>
                <w:sz w:val="20"/>
                <w:szCs w:val="20"/>
                <w:color w:val="auto"/>
              </w:rPr>
            </w:pPr>
          </w:p>
        </w:tc>
      </w:tr>
      <w:tr>
        <w:trPr>
          <w:trHeight w:val="486"/>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Executive Highlights:</w:t>
            </w:r>
          </w:p>
        </w:tc>
        <w:tc>
          <w:tcPr>
            <w:tcW w:w="4680" w:type="dxa"/>
            <w:vAlign w:val="bottom"/>
          </w:tcPr>
          <w:p>
            <w:pPr>
              <w:spacing w:after="0"/>
              <w:rPr>
                <w:sz w:val="24"/>
                <w:szCs w:val="24"/>
                <w:color w:val="auto"/>
              </w:rPr>
            </w:pPr>
          </w:p>
        </w:tc>
      </w:tr>
    </w:tbl>
    <w:p>
      <w:pPr>
        <w:spacing w:after="0" w:line="9" w:lineRule="exact"/>
        <w:rPr>
          <w:sz w:val="20"/>
          <w:szCs w:val="20"/>
          <w:color w:val="auto"/>
        </w:rPr>
      </w:pPr>
    </w:p>
    <w:p>
      <w:pPr>
        <w:ind w:left="340" w:right="499"/>
        <w:spacing w:after="0" w:line="254" w:lineRule="auto"/>
        <w:rPr>
          <w:sz w:val="20"/>
          <w:szCs w:val="20"/>
          <w:color w:val="auto"/>
        </w:rPr>
      </w:pPr>
      <w:r>
        <w:rPr>
          <w:rFonts w:ascii="Times New Roman" w:cs="Times New Roman" w:eastAsia="Times New Roman" w:hAnsi="Times New Roman"/>
          <w:sz w:val="18"/>
          <w:szCs w:val="18"/>
          <w:color w:val="auto"/>
        </w:rPr>
        <w:t>John M. Herhalt is a FCPA (FCA) and a retired partner from KPMG and has over 45 years of experience. He has worked across several industry sectors including automotive manufacturing, consumer products, infrastructure, power and utilities, and the public sector. During his time with KPMG, Mr. Herhalt served as Canada’s national advisory services business leader, national public sector leader, and KPMG International’s global head of infrastructure, government, and health care sectors providing subject matter advice and support to various KPMG member firms and their clients on a variety of projects in the Americas, Europe, Middle East, and Asia. After retiring from KPMG, Mr. Herhalt has continued to provide management consulting services on a part-time basis and serves as a director on several boards.</w:t>
      </w: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right="379"/>
        <w:spacing w:after="0" w:line="282" w:lineRule="auto"/>
        <w:rPr>
          <w:sz w:val="20"/>
          <w:szCs w:val="20"/>
          <w:color w:val="auto"/>
        </w:rPr>
      </w:pPr>
      <w:r>
        <w:rPr>
          <w:rFonts w:ascii="Times New Roman" w:cs="Times New Roman" w:eastAsia="Times New Roman" w:hAnsi="Times New Roman"/>
          <w:sz w:val="18"/>
          <w:szCs w:val="18"/>
          <w:color w:val="auto"/>
        </w:rPr>
        <w:t>Extensive accounting, financial, governance, risk management and information systems audits, and global business experience.</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Class III Director, Continuing in Office Until the End of Current Term on November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6" w:lineRule="exact"/>
        <w:rPr>
          <w:sz w:val="20"/>
          <w:szCs w:val="20"/>
          <w:color w:val="auto"/>
        </w:rPr>
      </w:pPr>
    </w:p>
    <w:tbl>
      <w:tblPr>
        <w:tblLayout w:type="fixed"/>
        <w:tblInd w:w="300" w:type="dxa"/>
        <w:tblCellMar>
          <w:top w:w="0" w:type="dxa"/>
          <w:left w:w="0" w:type="dxa"/>
          <w:bottom w:w="0" w:type="dxa"/>
          <w:right w:w="0" w:type="dxa"/>
        </w:tblCellMar>
      </w:tblPr>
      <w:tr>
        <w:trPr>
          <w:trHeight w:val="338"/>
        </w:trPr>
        <w:tc>
          <w:tcPr>
            <w:tcW w:w="3640" w:type="dxa"/>
            <w:vAlign w:val="bottom"/>
            <w:shd w:val="clear" w:color="auto" w:fill="00489A"/>
          </w:tcPr>
          <w:p>
            <w:pPr>
              <w:ind w:left="40"/>
              <w:spacing w:after="0"/>
              <w:rPr>
                <w:sz w:val="20"/>
                <w:szCs w:val="20"/>
                <w:color w:val="auto"/>
              </w:rPr>
            </w:pPr>
            <w:r>
              <w:rPr>
                <w:rFonts w:ascii="Times New Roman" w:cs="Times New Roman" w:eastAsia="Times New Roman" w:hAnsi="Times New Roman"/>
                <w:sz w:val="18"/>
                <w:szCs w:val="18"/>
                <w:b w:val="1"/>
                <w:bCs w:val="1"/>
                <w:color w:val="FFFFFF"/>
              </w:rPr>
              <w:t>Jodi Butts</w:t>
            </w:r>
          </w:p>
        </w:tc>
        <w:tc>
          <w:tcPr>
            <w:tcW w:w="4780" w:type="dxa"/>
            <w:vAlign w:val="bottom"/>
            <w:shd w:val="clear" w:color="auto" w:fill="00489A"/>
          </w:tcPr>
          <w:p>
            <w:pPr>
              <w:ind w:left="480"/>
              <w:spacing w:after="0"/>
              <w:rPr>
                <w:sz w:val="20"/>
                <w:szCs w:val="20"/>
                <w:color w:val="auto"/>
              </w:rPr>
            </w:pPr>
            <w:r>
              <w:rPr>
                <w:rFonts w:ascii="Times New Roman" w:cs="Times New Roman" w:eastAsia="Times New Roman" w:hAnsi="Times New Roman"/>
                <w:sz w:val="18"/>
                <w:szCs w:val="18"/>
                <w:b w:val="1"/>
                <w:bCs w:val="1"/>
                <w:color w:val="FFFFFF"/>
              </w:rPr>
              <w:t>Independent Director</w:t>
            </w:r>
          </w:p>
        </w:tc>
      </w:tr>
      <w:tr>
        <w:trPr>
          <w:trHeight w:val="427"/>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Director Since</w:t>
            </w:r>
            <w:r>
              <w:rPr>
                <w:rFonts w:ascii="Times New Roman" w:cs="Times New Roman" w:eastAsia="Times New Roman" w:hAnsi="Times New Roman"/>
                <w:sz w:val="18"/>
                <w:szCs w:val="18"/>
                <w:color w:val="auto"/>
              </w:rPr>
              <w:t>: May 2021</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Other Public Company Boards</w:t>
            </w:r>
            <w:r>
              <w:rPr>
                <w:rFonts w:ascii="Times New Roman" w:cs="Times New Roman" w:eastAsia="Times New Roman" w:hAnsi="Times New Roman"/>
                <w:sz w:val="18"/>
                <w:szCs w:val="18"/>
                <w:color w:val="auto"/>
              </w:rPr>
              <w:t>:</w:t>
            </w:r>
          </w:p>
        </w:tc>
      </w:tr>
      <w:tr>
        <w:trPr>
          <w:trHeight w:val="212"/>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Age</w:t>
            </w:r>
            <w:r>
              <w:rPr>
                <w:rFonts w:ascii="Times New Roman" w:cs="Times New Roman" w:eastAsia="Times New Roman" w:hAnsi="Times New Roman"/>
                <w:sz w:val="18"/>
                <w:szCs w:val="18"/>
                <w:color w:val="auto"/>
              </w:rPr>
              <w:t>: 52</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Ms. Butts is currently a director of Canada Goose</w:t>
            </w:r>
          </w:p>
        </w:tc>
      </w:tr>
      <w:tr>
        <w:trPr>
          <w:trHeight w:val="212"/>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Holdings Inc.</w:t>
            </w:r>
          </w:p>
        </w:tc>
      </w:tr>
      <w:tr>
        <w:trPr>
          <w:trHeight w:val="216"/>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Committees: Nominating &amp; Governance</w:t>
            </w:r>
          </w:p>
        </w:tc>
        <w:tc>
          <w:tcPr>
            <w:tcW w:w="4780" w:type="dxa"/>
            <w:vAlign w:val="bottom"/>
          </w:tcPr>
          <w:p>
            <w:pPr>
              <w:spacing w:after="0"/>
              <w:rPr>
                <w:sz w:val="18"/>
                <w:szCs w:val="18"/>
                <w:color w:val="auto"/>
              </w:rPr>
            </w:pPr>
          </w:p>
        </w:tc>
      </w:tr>
      <w:tr>
        <w:trPr>
          <w:trHeight w:val="238"/>
        </w:trPr>
        <w:tc>
          <w:tcPr>
            <w:tcW w:w="3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 Member</w:t>
            </w:r>
          </w:p>
        </w:tc>
        <w:tc>
          <w:tcPr>
            <w:tcW w:w="4780" w:type="dxa"/>
            <w:vAlign w:val="bottom"/>
          </w:tcPr>
          <w:p>
            <w:pPr>
              <w:spacing w:after="0"/>
              <w:rPr>
                <w:sz w:val="20"/>
                <w:szCs w:val="20"/>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Executive Highlights:</w:t>
      </w:r>
    </w:p>
    <w:p>
      <w:pPr>
        <w:spacing w:after="0" w:line="40" w:lineRule="exact"/>
        <w:rPr>
          <w:sz w:val="20"/>
          <w:szCs w:val="20"/>
          <w:color w:val="auto"/>
        </w:rPr>
      </w:pPr>
    </w:p>
    <w:p>
      <w:pPr>
        <w:ind w:left="340" w:right="339"/>
        <w:spacing w:after="0" w:line="253" w:lineRule="auto"/>
        <w:rPr>
          <w:sz w:val="20"/>
          <w:szCs w:val="20"/>
          <w:color w:val="auto"/>
        </w:rPr>
      </w:pPr>
      <w:r>
        <w:rPr>
          <w:rFonts w:ascii="Times New Roman" w:cs="Times New Roman" w:eastAsia="Times New Roman" w:hAnsi="Times New Roman"/>
          <w:sz w:val="18"/>
          <w:szCs w:val="18"/>
          <w:color w:val="auto"/>
        </w:rPr>
        <w:t>Jodi Butts is a senior governance consultant at WATSON Advisors Inc., with more than 20 years’ experience in governance and law, working with public and private corporations, public sector entitles, member-based organizations, regulatory bodies, and not-for-profit organizations. Ms. Butts brings deep governance expertise gained from her experience as a lawyer, CEO, senior executive, and as a director of public, private, and not-for-profit corporations. Ms. Butts connects governance with people, strategy, and operations to bring a wealth of practical know-how to boards and executive teams. Ms. Butts currently serves as an independent director of Canada Goose Inc. and as chair of The Walrus Board of Directors. She also holds advisory roles with Bayshore Home Healthcare, and the Canadian Centre for the Purpose of the Corporation. Ms. Butts is a retired member of the University of Windsor Board of Governors. Previously, Ms. Butts served as CEO of Rise Asset Development, and Senior Vice-President Corporate Affairs and Operations for Mount Sinai Hospital. Ms. Butts holds a BA (English Literature and History) from the University of Windsor and a Bachelor of Laws from the University of Toronto where she also received her master’s degree in Canadian history.</w:t>
      </w:r>
    </w:p>
    <w:p>
      <w:pPr>
        <w:spacing w:after="0" w:line="2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Select Skills and Qualifications:</w:t>
      </w:r>
    </w:p>
    <w:p>
      <w:pPr>
        <w:spacing w:after="0" w:line="40" w:lineRule="exact"/>
        <w:rPr>
          <w:sz w:val="20"/>
          <w:szCs w:val="20"/>
          <w:color w:val="auto"/>
        </w:rPr>
      </w:pPr>
    </w:p>
    <w:p>
      <w:pPr>
        <w:ind w:left="340" w:right="419"/>
        <w:spacing w:after="0" w:line="282" w:lineRule="auto"/>
        <w:rPr>
          <w:sz w:val="20"/>
          <w:szCs w:val="20"/>
          <w:color w:val="auto"/>
        </w:rPr>
      </w:pPr>
      <w:r>
        <w:rPr>
          <w:rFonts w:ascii="Times New Roman" w:cs="Times New Roman" w:eastAsia="Times New Roman" w:hAnsi="Times New Roman"/>
          <w:sz w:val="18"/>
          <w:szCs w:val="18"/>
          <w:color w:val="auto"/>
        </w:rPr>
        <w:t>Executive and public company board experience, entrepreneurship, operations and extensive corporate governance experience, including with respect to environmental and social matters.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6" w:name="page17"/>
    <w:bookmarkEnd w:id="16"/>
    <w:p>
      <w:pPr>
        <w:ind w:left="1300"/>
        <w:spacing w:after="0"/>
        <w:rPr>
          <w:sz w:val="20"/>
          <w:szCs w:val="20"/>
          <w:color w:val="auto"/>
        </w:rPr>
      </w:pPr>
      <w:r>
        <w:rPr>
          <w:rFonts w:ascii="Arial" w:cs="Arial" w:eastAsia="Arial" w:hAnsi="Arial"/>
          <w:sz w:val="18"/>
          <w:szCs w:val="18"/>
          <w:b w:val="1"/>
          <w:bCs w:val="1"/>
          <w:color w:val="00489A"/>
        </w:rPr>
        <w:t>Overview of Board 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26035</wp:posOffset>
            </wp:positionV>
            <wp:extent cx="5349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4" w:lineRule="exact"/>
        <w:rPr>
          <w:sz w:val="20"/>
          <w:szCs w:val="20"/>
          <w:color w:val="auto"/>
        </w:rPr>
      </w:pPr>
    </w:p>
    <w:p>
      <w:pPr>
        <w:ind w:left="1300" w:right="13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highlights our current director’s primary qualifications and tenure. This table is intended as a high-level summary and not an exhaustive list of each director’s skills or contributions to the Board.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20" w:type="dxa"/>
            <w:vAlign w:val="bottom"/>
            <w:tcBorders>
              <w:right w:val="single" w:sz="8" w:color="auto"/>
            </w:tcBorders>
          </w:tcPr>
          <w:p>
            <w:pPr>
              <w:spacing w:after="0"/>
              <w:rPr>
                <w:sz w:val="21"/>
                <w:szCs w:val="21"/>
                <w:color w:val="auto"/>
              </w:rPr>
            </w:pPr>
          </w:p>
        </w:tc>
        <w:tc>
          <w:tcPr>
            <w:tcW w:w="186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20" w:type="dxa"/>
            <w:vAlign w:val="bottom"/>
            <w:tcBorders>
              <w:top w:val="single" w:sz="8" w:color="auto"/>
              <w:right w:val="single" w:sz="8" w:color="auto"/>
            </w:tcBorders>
            <w:vMerge w:val="restart"/>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Irwin D.</w:t>
            </w: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right w:val="single" w:sz="8" w:color="auto"/>
            </w:tcBorders>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Renah</w:t>
            </w: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right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David</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John</w:t>
            </w: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vMerge w:val="restart"/>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David</w:t>
            </w: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320" w:type="dxa"/>
            <w:vAlign w:val="bottom"/>
            <w:tcBorders>
              <w:right w:val="single" w:sz="8" w:color="auto"/>
            </w:tcBorders>
          </w:tcPr>
          <w:p>
            <w:pPr>
              <w:spacing w:after="0"/>
              <w:rPr>
                <w:sz w:val="12"/>
                <w:szCs w:val="12"/>
                <w:color w:val="auto"/>
              </w:rPr>
            </w:pPr>
          </w:p>
        </w:tc>
        <w:tc>
          <w:tcPr>
            <w:tcW w:w="18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Jodi Butts</w:t>
            </w:r>
          </w:p>
        </w:tc>
        <w:tc>
          <w:tcPr>
            <w:tcW w:w="160" w:type="dxa"/>
            <w:vAlign w:val="bottom"/>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w:t>
            </w:r>
          </w:p>
        </w:tc>
        <w:tc>
          <w:tcPr>
            <w:tcW w:w="140" w:type="dxa"/>
            <w:vAlign w:val="bottom"/>
          </w:tcPr>
          <w:p>
            <w:pPr>
              <w:spacing w:after="0"/>
              <w:rPr>
                <w:sz w:val="12"/>
                <w:szCs w:val="12"/>
                <w:color w:val="auto"/>
              </w:rPr>
            </w:pPr>
          </w:p>
        </w:tc>
        <w:tc>
          <w:tcPr>
            <w:tcW w:w="860" w:type="dxa"/>
            <w:vAlign w:val="bottom"/>
            <w:tcBorders>
              <w:right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Tom Looney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right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Simon</w:t>
            </w:r>
          </w:p>
        </w:tc>
        <w:tc>
          <w:tcPr>
            <w:tcW w:w="140" w:type="dxa"/>
            <w:vAlign w:val="bottom"/>
          </w:tcPr>
          <w:p>
            <w:pPr>
              <w:spacing w:after="0"/>
              <w:rPr>
                <w:sz w:val="16"/>
                <w:szCs w:val="16"/>
                <w:color w:val="auto"/>
              </w:rPr>
            </w:pPr>
          </w:p>
        </w:tc>
        <w:tc>
          <w:tcPr>
            <w:tcW w:w="780" w:type="dxa"/>
            <w:vAlign w:val="bottom"/>
            <w:tcBorders>
              <w:right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Persofsky</w:t>
            </w:r>
          </w:p>
        </w:tc>
        <w:tc>
          <w:tcPr>
            <w:tcW w:w="140" w:type="dxa"/>
            <w:vAlign w:val="bottom"/>
          </w:tcPr>
          <w:p>
            <w:pPr>
              <w:spacing w:after="0"/>
              <w:rPr>
                <w:sz w:val="16"/>
                <w:szCs w:val="16"/>
                <w:color w:val="auto"/>
              </w:rPr>
            </w:pPr>
          </w:p>
        </w:tc>
        <w:tc>
          <w:tcPr>
            <w:tcW w:w="800" w:type="dxa"/>
            <w:vAlign w:val="bottom"/>
            <w:tcBorders>
              <w:right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right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Clanachan</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Herhalt</w:t>
            </w:r>
          </w:p>
        </w:tc>
        <w:tc>
          <w:tcPr>
            <w:tcW w:w="140" w:type="dxa"/>
            <w:vAlign w:val="bottom"/>
          </w:tcPr>
          <w:p>
            <w:pPr>
              <w:spacing w:after="0"/>
              <w:rPr>
                <w:sz w:val="16"/>
                <w:szCs w:val="16"/>
                <w:color w:val="auto"/>
              </w:rPr>
            </w:pPr>
          </w:p>
        </w:tc>
        <w:tc>
          <w:tcPr>
            <w:tcW w:w="860" w:type="dxa"/>
            <w:vAlign w:val="bottom"/>
            <w:tcBorders>
              <w:right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Hopkinson</w:t>
            </w:r>
          </w:p>
        </w:tc>
        <w:tc>
          <w:tcPr>
            <w:tcW w:w="140" w:type="dxa"/>
            <w:vAlign w:val="bottom"/>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20" w:type="dxa"/>
            <w:vAlign w:val="bottom"/>
            <w:tcBorders>
              <w:right w:val="single" w:sz="8" w:color="auto"/>
            </w:tcBorders>
          </w:tcPr>
          <w:p>
            <w:pPr>
              <w:spacing w:after="0"/>
              <w:rPr>
                <w:sz w:val="22"/>
                <w:szCs w:val="22"/>
                <w:color w:val="auto"/>
              </w:rPr>
            </w:pPr>
          </w:p>
        </w:tc>
        <w:tc>
          <w:tcPr>
            <w:tcW w:w="2740" w:type="dxa"/>
            <w:vAlign w:val="bottom"/>
            <w:tcBorders>
              <w:bottom w:val="single" w:sz="8" w:color="C7CDE8"/>
              <w:right w:val="single" w:sz="8" w:color="C7CDE8"/>
            </w:tcBorders>
            <w:gridSpan w:val="3"/>
            <w:shd w:val="clear" w:color="auto" w:fill="C7CDE8"/>
          </w:tcPr>
          <w:p>
            <w:pPr>
              <w:ind w:left="60"/>
              <w:spacing w:after="0"/>
              <w:rPr>
                <w:sz w:val="20"/>
                <w:szCs w:val="20"/>
                <w:color w:val="auto"/>
              </w:rPr>
            </w:pPr>
            <w:r>
              <w:rPr>
                <w:rFonts w:ascii="Times New Roman" w:cs="Times New Roman" w:eastAsia="Times New Roman" w:hAnsi="Times New Roman"/>
                <w:sz w:val="18"/>
                <w:szCs w:val="18"/>
                <w:b w:val="1"/>
                <w:bCs w:val="1"/>
                <w:color w:val="auto"/>
              </w:rPr>
              <w:t>Knowledge, Skills &amp; Experience</w:t>
            </w: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C7CDE8"/>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C7CDE8"/>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C7CDE8"/>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C7CDE8"/>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Accounting / Financial</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Reporting</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Business Operations</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Corporate Governance</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Environmental /</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Social /Governance</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Financial Literacy /</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Expertise</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Government /</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Regulatory</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Human Capital</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Management</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Independence</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Consumer Packaged</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Goods</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International Business</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(outside North</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America)</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Investor Relations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Management</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Mergers &amp;</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Public Company</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right w:val="single" w:sz="8" w:color="auto"/>
            </w:tcBorders>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Executive</w:t>
            </w:r>
          </w:p>
        </w:tc>
        <w:tc>
          <w:tcPr>
            <w:tcW w:w="1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20" w:type="dxa"/>
            <w:vAlign w:val="bottom"/>
            <w:tcBorders>
              <w:right w:val="single" w:sz="8" w:color="auto"/>
            </w:tcBorders>
          </w:tcPr>
          <w:p>
            <w:pPr>
              <w:spacing w:after="0"/>
              <w:rPr>
                <w:sz w:val="20"/>
                <w:szCs w:val="20"/>
                <w:color w:val="auto"/>
              </w:rPr>
            </w:pPr>
          </w:p>
        </w:tc>
        <w:tc>
          <w:tcPr>
            <w:tcW w:w="186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Experience</w:t>
            </w:r>
          </w:p>
        </w:tc>
        <w:tc>
          <w:tcPr>
            <w:tcW w:w="1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Recent Public</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jc w:val="center"/>
              <w:ind w:right="54"/>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Company Board</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Experience</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18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Risk Management</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right w:val="single" w:sz="8" w:color="auto"/>
            </w:tcBorders>
          </w:tcPr>
          <w:p>
            <w:pPr>
              <w:jc w:val="center"/>
              <w:ind w:right="11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right w:val="single" w:sz="8" w:color="auto"/>
            </w:tcBorders>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Technology /</w:t>
            </w:r>
          </w:p>
        </w:tc>
        <w:tc>
          <w:tcPr>
            <w:tcW w:w="160" w:type="dxa"/>
            <w:vAlign w:val="bottom"/>
            <w:shd w:val="clear" w:color="auto" w:fill="C7CDE8"/>
          </w:tcPr>
          <w:p>
            <w:pPr>
              <w:spacing w:after="0"/>
              <w:rPr>
                <w:sz w:val="18"/>
                <w:szCs w:val="18"/>
                <w:color w:val="auto"/>
              </w:rPr>
            </w:pPr>
          </w:p>
        </w:tc>
        <w:tc>
          <w:tcPr>
            <w:tcW w:w="72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780" w:type="dxa"/>
            <w:vAlign w:val="bottom"/>
            <w:tcBorders>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00" w:type="dxa"/>
            <w:vAlign w:val="bottom"/>
            <w:tcBorders>
              <w:right w:val="single" w:sz="8" w:color="auto"/>
            </w:tcBorders>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40" w:type="dxa"/>
            <w:vAlign w:val="bottom"/>
            <w:tcBorders>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Borders>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860" w:type="dxa"/>
            <w:vAlign w:val="bottom"/>
            <w:tcBorders>
              <w:right w:val="single" w:sz="8" w:color="auto"/>
            </w:tcBorders>
            <w:shd w:val="clear" w:color="auto" w:fill="C7CDE8"/>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1320" w:type="dxa"/>
            <w:vAlign w:val="bottom"/>
            <w:tcBorders>
              <w:right w:val="single" w:sz="8" w:color="auto"/>
            </w:tcBorders>
          </w:tcPr>
          <w:p>
            <w:pPr>
              <w:spacing w:after="0"/>
              <w:rPr>
                <w:sz w:val="22"/>
                <w:szCs w:val="22"/>
                <w:color w:val="auto"/>
              </w:rPr>
            </w:pPr>
          </w:p>
        </w:tc>
        <w:tc>
          <w:tcPr>
            <w:tcW w:w="1860" w:type="dxa"/>
            <w:vAlign w:val="bottom"/>
            <w:tcBorders>
              <w:bottom w:val="single" w:sz="8" w:color="C7CDE8"/>
              <w:right w:val="single" w:sz="8" w:color="auto"/>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Cybersecurity</w:t>
            </w:r>
          </w:p>
        </w:tc>
        <w:tc>
          <w:tcPr>
            <w:tcW w:w="160" w:type="dxa"/>
            <w:vAlign w:val="bottom"/>
            <w:tcBorders>
              <w:bottom w:val="single" w:sz="8" w:color="C7CDE8"/>
            </w:tcBorders>
            <w:shd w:val="clear" w:color="auto" w:fill="C7CDE8"/>
          </w:tcPr>
          <w:p>
            <w:pPr>
              <w:spacing w:after="0"/>
              <w:rPr>
                <w:sz w:val="22"/>
                <w:szCs w:val="22"/>
                <w:color w:val="auto"/>
              </w:rPr>
            </w:pPr>
          </w:p>
        </w:tc>
        <w:tc>
          <w:tcPr>
            <w:tcW w:w="72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78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840" w:type="dxa"/>
            <w:vAlign w:val="bottom"/>
            <w:tcBorders>
              <w:bottom w:val="single" w:sz="8" w:color="C7CDE8"/>
              <w:right w:val="single" w:sz="8" w:color="auto"/>
            </w:tcBorders>
            <w:shd w:val="clear" w:color="auto" w:fill="C7CDE8"/>
          </w:tcPr>
          <w:p>
            <w:pPr>
              <w:spacing w:after="0"/>
              <w:rPr>
                <w:sz w:val="22"/>
                <w:szCs w:val="22"/>
                <w:color w:val="auto"/>
              </w:rPr>
            </w:pPr>
          </w:p>
        </w:tc>
        <w:tc>
          <w:tcPr>
            <w:tcW w:w="80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40" w:type="dxa"/>
            <w:vAlign w:val="bottom"/>
            <w:tcBorders>
              <w:bottom w:val="single" w:sz="8" w:color="C7CDE8"/>
            </w:tcBorders>
            <w:shd w:val="clear" w:color="auto" w:fill="C7CDE8"/>
          </w:tcPr>
          <w:p>
            <w:pPr>
              <w:spacing w:after="0"/>
              <w:rPr>
                <w:sz w:val="22"/>
                <w:szCs w:val="22"/>
                <w:color w:val="auto"/>
              </w:rPr>
            </w:pPr>
          </w:p>
        </w:tc>
        <w:tc>
          <w:tcPr>
            <w:tcW w:w="860" w:type="dxa"/>
            <w:vAlign w:val="bottom"/>
            <w:tcBorders>
              <w:bottom w:val="single" w:sz="8" w:color="C7CDE8"/>
              <w:right w:val="single" w:sz="8" w:color="auto"/>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20" w:type="dxa"/>
            <w:vAlign w:val="bottom"/>
            <w:tcBorders>
              <w:right w:val="single" w:sz="8" w:color="auto"/>
            </w:tcBorders>
          </w:tcPr>
          <w:p>
            <w:pPr>
              <w:spacing w:after="0"/>
              <w:rPr>
                <w:sz w:val="20"/>
                <w:szCs w:val="20"/>
                <w:color w:val="auto"/>
              </w:rPr>
            </w:pPr>
          </w:p>
        </w:tc>
        <w:tc>
          <w:tcPr>
            <w:tcW w:w="1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Board Tenure</w:t>
            </w: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320" w:type="dxa"/>
            <w:vAlign w:val="bottom"/>
            <w:tcBorders>
              <w:right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1320" w:type="dxa"/>
            <w:vAlign w:val="bottom"/>
            <w:tcBorders>
              <w:right w:val="single" w:sz="8" w:color="auto"/>
            </w:tcBorders>
          </w:tcPr>
          <w:p>
            <w:pPr>
              <w:spacing w:after="0"/>
              <w:rPr>
                <w:sz w:val="24"/>
                <w:szCs w:val="24"/>
                <w:color w:val="auto"/>
              </w:rPr>
            </w:pPr>
          </w:p>
        </w:tc>
        <w:tc>
          <w:tcPr>
            <w:tcW w:w="1860" w:type="dxa"/>
            <w:vAlign w:val="bottom"/>
            <w:tcBorders>
              <w:bottom w:val="single" w:sz="8" w:color="C7CDE8"/>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C7CDE8"/>
            </w:tcBorders>
            <w:shd w:val="clear" w:color="auto" w:fill="C7CDE8"/>
          </w:tcPr>
          <w:p>
            <w:pPr>
              <w:spacing w:after="0"/>
              <w:rPr>
                <w:sz w:val="24"/>
                <w:szCs w:val="24"/>
                <w:color w:val="auto"/>
              </w:rPr>
            </w:pPr>
          </w:p>
        </w:tc>
        <w:tc>
          <w:tcPr>
            <w:tcW w:w="720" w:type="dxa"/>
            <w:vAlign w:val="bottom"/>
            <w:tcBorders>
              <w:bottom w:val="single" w:sz="8" w:color="C7CDE8"/>
              <w:right w:val="single" w:sz="8" w:color="auto"/>
            </w:tcBorders>
            <w:shd w:val="clear" w:color="auto" w:fill="C7CDE8"/>
          </w:tcPr>
          <w:p>
            <w:pPr>
              <w:jc w:val="center"/>
              <w:ind w:right="133"/>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7CDE8"/>
            </w:tcBorders>
            <w:shd w:val="clear" w:color="auto" w:fill="C7CDE8"/>
          </w:tcPr>
          <w:p>
            <w:pPr>
              <w:spacing w:after="0"/>
              <w:rPr>
                <w:sz w:val="24"/>
                <w:szCs w:val="24"/>
                <w:color w:val="auto"/>
              </w:rPr>
            </w:pPr>
          </w:p>
        </w:tc>
        <w:tc>
          <w:tcPr>
            <w:tcW w:w="780" w:type="dxa"/>
            <w:vAlign w:val="bottom"/>
            <w:tcBorders>
              <w:bottom w:val="single" w:sz="8" w:color="C7CDE8"/>
              <w:right w:val="single" w:sz="8" w:color="auto"/>
            </w:tcBorders>
            <w:shd w:val="clear" w:color="auto" w:fill="C7CDE8"/>
          </w:tcPr>
          <w:p>
            <w:pPr>
              <w:jc w:val="center"/>
              <w:ind w:right="53"/>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bottom w:val="single" w:sz="8" w:color="C7CDE8"/>
            </w:tcBorders>
            <w:shd w:val="clear" w:color="auto" w:fill="C7CDE8"/>
          </w:tcPr>
          <w:p>
            <w:pPr>
              <w:spacing w:after="0"/>
              <w:rPr>
                <w:sz w:val="24"/>
                <w:szCs w:val="24"/>
                <w:color w:val="auto"/>
              </w:rPr>
            </w:pPr>
          </w:p>
        </w:tc>
        <w:tc>
          <w:tcPr>
            <w:tcW w:w="800" w:type="dxa"/>
            <w:vAlign w:val="bottom"/>
            <w:tcBorders>
              <w:bottom w:val="single" w:sz="8" w:color="C7CDE8"/>
              <w:right w:val="single" w:sz="8" w:color="auto"/>
            </w:tcBorders>
            <w:shd w:val="clear" w:color="auto" w:fill="C7CDE8"/>
          </w:tcPr>
          <w:p>
            <w:pPr>
              <w:ind w:left="28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7CDE8"/>
            </w:tcBorders>
            <w:shd w:val="clear" w:color="auto" w:fill="C7CDE8"/>
          </w:tcPr>
          <w:p>
            <w:pPr>
              <w:spacing w:after="0"/>
              <w:rPr>
                <w:sz w:val="24"/>
                <w:szCs w:val="24"/>
                <w:color w:val="auto"/>
              </w:rPr>
            </w:pPr>
          </w:p>
        </w:tc>
        <w:tc>
          <w:tcPr>
            <w:tcW w:w="840" w:type="dxa"/>
            <w:vAlign w:val="bottom"/>
            <w:tcBorders>
              <w:bottom w:val="single" w:sz="8" w:color="C7CDE8"/>
              <w:right w:val="single" w:sz="8" w:color="auto"/>
            </w:tcBorders>
            <w:shd w:val="clear" w:color="auto" w:fill="C7CDE8"/>
          </w:tcPr>
          <w:p>
            <w:pPr>
              <w:jc w:val="center"/>
              <w:ind w:right="93"/>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7CDE8"/>
            </w:tcBorders>
            <w:shd w:val="clear" w:color="auto" w:fill="C7CDE8"/>
          </w:tcPr>
          <w:p>
            <w:pPr>
              <w:spacing w:after="0"/>
              <w:rPr>
                <w:sz w:val="24"/>
                <w:szCs w:val="24"/>
                <w:color w:val="auto"/>
              </w:rPr>
            </w:pPr>
          </w:p>
        </w:tc>
        <w:tc>
          <w:tcPr>
            <w:tcW w:w="860" w:type="dxa"/>
            <w:vAlign w:val="bottom"/>
            <w:tcBorders>
              <w:bottom w:val="single" w:sz="8" w:color="C7CDE8"/>
              <w:right w:val="single" w:sz="8" w:color="auto"/>
            </w:tcBorders>
            <w:shd w:val="clear" w:color="auto" w:fill="C7CDE8"/>
          </w:tcPr>
          <w:p>
            <w:pPr>
              <w:jc w:val="center"/>
              <w:ind w:right="54"/>
              <w:spacing w:after="0"/>
              <w:rPr>
                <w:sz w:val="20"/>
                <w:szCs w:val="20"/>
                <w:color w:val="auto"/>
              </w:rPr>
            </w:pPr>
            <w:r>
              <w:rPr>
                <w:rFonts w:ascii="Times New Roman" w:cs="Times New Roman" w:eastAsia="Times New Roman" w:hAnsi="Times New Roman"/>
                <w:sz w:val="18"/>
                <w:szCs w:val="18"/>
                <w:color w:val="auto"/>
                <w:w w:val="88"/>
              </w:rPr>
              <w:t>3</w:t>
            </w:r>
          </w:p>
        </w:tc>
        <w:tc>
          <w:tcPr>
            <w:tcW w:w="140" w:type="dxa"/>
            <w:vAlign w:val="bottom"/>
            <w:tcBorders>
              <w:bottom w:val="single" w:sz="8" w:color="C7CDE8"/>
            </w:tcBorders>
            <w:shd w:val="clear" w:color="auto" w:fill="C7CDE8"/>
          </w:tcPr>
          <w:p>
            <w:pPr>
              <w:spacing w:after="0"/>
              <w:rPr>
                <w:sz w:val="24"/>
                <w:szCs w:val="24"/>
                <w:color w:val="auto"/>
              </w:rPr>
            </w:pPr>
          </w:p>
        </w:tc>
        <w:tc>
          <w:tcPr>
            <w:tcW w:w="86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32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2" w:right="4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00489A"/>
        </w:rPr>
        <w:t>INFORMATION REGARDING THE BOARD AND CORPORATE GOVERNANCE</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Overview</w:t>
      </w:r>
    </w:p>
    <w:p>
      <w:pPr>
        <w:spacing w:after="0" w:line="10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Global Select Market, the rules and regulations of the SEC and other legal requirements. These materials are available on our website – https://ir.tilray.com/corporate-governance/governance-overview.</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These materials are also available in print free of charge to stockholders, upon written request to Tilray Brands, Inc., Investor Relations, 265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Global Select Market, the rules and regulations of the SEC, and the rules and regulations under the Internal Revenue Code of 1986, as amended (the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as well as best practices suggested by recognized governance authorities, and makes modifications to our corporate governance practices that it determines are warranted.</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Board Diversity</w:t>
      </w:r>
    </w:p>
    <w:p>
      <w:pPr>
        <w:spacing w:after="0" w:line="104" w:lineRule="exact"/>
        <w:rPr>
          <w:sz w:val="20"/>
          <w:szCs w:val="20"/>
          <w:color w:val="auto"/>
        </w:rPr>
      </w:pPr>
    </w:p>
    <w:p>
      <w:pPr>
        <w:jc w:val="both"/>
        <w:ind w:left="300" w:right="979" w:firstLine="360"/>
        <w:spacing w:after="0" w:line="266" w:lineRule="auto"/>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The Nominating and Corporate Governance Committee is committed to enhancing the Board’s diversity profile at such time as it evaluates any newly nominated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37465</wp:posOffset>
            </wp:positionV>
            <wp:extent cx="5349240" cy="2486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486025"/>
                    </a:xfrm>
                    <a:prstGeom prst="rect">
                      <a:avLst/>
                    </a:prstGeom>
                    <a:noFill/>
                  </pic:spPr>
                </pic:pic>
              </a:graphicData>
            </a:graphic>
          </wp:anchor>
        </w:drawing>
      </w:r>
    </w:p>
    <w:p>
      <w:pPr>
        <w:spacing w:after="0" w:line="1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Board Diversity Matrix (As of September 19, 2024)</w:t>
      </w:r>
    </w:p>
    <w:p>
      <w:pPr>
        <w:spacing w:after="0" w:line="26" w:lineRule="exact"/>
        <w:rPr>
          <w:sz w:val="20"/>
          <w:szCs w:val="20"/>
          <w:color w:val="auto"/>
        </w:rPr>
      </w:pPr>
    </w:p>
    <w:tbl>
      <w:tblPr>
        <w:tblLayout w:type="fixed"/>
        <w:tblInd w:w="300" w:type="dxa"/>
        <w:tblCellMar>
          <w:top w:w="0" w:type="dxa"/>
          <w:left w:w="0" w:type="dxa"/>
          <w:bottom w:w="0" w:type="dxa"/>
          <w:right w:w="0" w:type="dxa"/>
        </w:tblCellMar>
      </w:tblPr>
      <w:tr>
        <w:trPr>
          <w:trHeight w:val="235"/>
        </w:trPr>
        <w:tc>
          <w:tcPr>
            <w:tcW w:w="4040" w:type="dxa"/>
            <w:vAlign w:val="bottom"/>
            <w:tcBorders>
              <w:top w:val="single" w:sz="8" w:color="auto"/>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720" w:type="dxa"/>
            <w:vAlign w:val="bottom"/>
            <w:tcBorders>
              <w:top w:val="single" w:sz="8" w:color="auto"/>
              <w:bottom w:val="single" w:sz="8" w:color="auto"/>
              <w:right w:val="single" w:sz="8" w:color="C7CDE8"/>
            </w:tcBorders>
            <w:shd w:val="clear" w:color="auto" w:fill="C7CDE8"/>
          </w:tcPr>
          <w:p>
            <w:pPr>
              <w:ind w:left="60"/>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Borders>
              <w:top w:val="single" w:sz="8" w:color="auto"/>
              <w:bottom w:val="single" w:sz="8" w:color="auto"/>
              <w:right w:val="single" w:sz="8" w:color="C7CDE8"/>
            </w:tcBorders>
            <w:shd w:val="clear" w:color="auto" w:fill="C7CDE8"/>
          </w:tcPr>
          <w:p>
            <w:pPr>
              <w:spacing w:after="0"/>
              <w:rPr>
                <w:sz w:val="20"/>
                <w:szCs w:val="20"/>
                <w:color w:val="auto"/>
              </w:rPr>
            </w:pPr>
          </w:p>
        </w:tc>
        <w:tc>
          <w:tcPr>
            <w:tcW w:w="1060" w:type="dxa"/>
            <w:vAlign w:val="bottom"/>
            <w:tcBorders>
              <w:top w:val="single" w:sz="8" w:color="auto"/>
              <w:bottom w:val="single" w:sz="8" w:color="auto"/>
              <w:right w:val="single" w:sz="8" w:color="C7CDE8"/>
            </w:tcBorders>
            <w:shd w:val="clear" w:color="auto" w:fill="C7CDE8"/>
          </w:tcPr>
          <w:p>
            <w:pPr>
              <w:spacing w:after="0"/>
              <w:rPr>
                <w:sz w:val="20"/>
                <w:szCs w:val="20"/>
                <w:color w:val="auto"/>
              </w:rPr>
            </w:pPr>
          </w:p>
        </w:tc>
        <w:tc>
          <w:tcPr>
            <w:tcW w:w="2040" w:type="dxa"/>
            <w:vAlign w:val="bottom"/>
            <w:tcBorders>
              <w:top w:val="single" w:sz="8" w:color="auto"/>
              <w:bottom w:val="single" w:sz="8" w:color="auto"/>
            </w:tcBorders>
            <w:shd w:val="clear" w:color="auto" w:fill="C7CDE8"/>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r>
      <w:tr>
        <w:trPr>
          <w:trHeight w:val="235"/>
        </w:trPr>
        <w:tc>
          <w:tcPr>
            <w:tcW w:w="404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0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c>
          <w:tcPr>
            <w:tcW w:w="20" w:type="dxa"/>
            <w:vAlign w:val="bottom"/>
            <w:tcBorders>
              <w:bottom w:val="single" w:sz="8" w:color="auto"/>
            </w:tcBorders>
          </w:tcPr>
          <w:p>
            <w:pPr>
              <w:spacing w:after="0"/>
              <w:rPr>
                <w:sz w:val="20"/>
                <w:szCs w:val="20"/>
                <w:color w:val="auto"/>
              </w:rPr>
            </w:pPr>
          </w:p>
        </w:tc>
      </w:tr>
      <w:tr>
        <w:trPr>
          <w:trHeight w:val="236"/>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720" w:type="dxa"/>
            <w:vAlign w:val="bottom"/>
            <w:tcBorders>
              <w:bottom w:val="single" w:sz="8" w:color="auto"/>
              <w:right w:val="single" w:sz="8" w:color="auto"/>
            </w:tcBorders>
            <w:shd w:val="clear" w:color="auto" w:fill="C7CDE8"/>
          </w:tcPr>
          <w:p>
            <w:pPr>
              <w:spacing w:after="0"/>
              <w:rPr>
                <w:sz w:val="20"/>
                <w:szCs w:val="20"/>
                <w:color w:val="auto"/>
              </w:rPr>
            </w:pPr>
          </w:p>
        </w:tc>
        <w:tc>
          <w:tcPr>
            <w:tcW w:w="540" w:type="dxa"/>
            <w:vAlign w:val="bottom"/>
            <w:tcBorders>
              <w:bottom w:val="single" w:sz="8" w:color="auto"/>
              <w:right w:val="single" w:sz="8" w:color="auto"/>
            </w:tcBorders>
            <w:shd w:val="clear" w:color="auto" w:fill="C7CDE8"/>
          </w:tcPr>
          <w:p>
            <w:pPr>
              <w:spacing w:after="0"/>
              <w:rPr>
                <w:sz w:val="20"/>
                <w:szCs w:val="20"/>
                <w:color w:val="auto"/>
              </w:rPr>
            </w:pP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5"/>
        </w:trPr>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w:t>
            </w:r>
          </w:p>
        </w:tc>
        <w:tc>
          <w:tcPr>
            <w:tcW w:w="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8"/>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720" w:type="dxa"/>
            <w:vAlign w:val="bottom"/>
            <w:tcBorders>
              <w:bottom w:val="single" w:sz="8" w:color="auto"/>
              <w:right w:val="single" w:sz="8" w:color="auto"/>
            </w:tcBorders>
            <w:shd w:val="clear" w:color="auto" w:fill="C7CDE8"/>
          </w:tcPr>
          <w:p>
            <w:pPr>
              <w:spacing w:after="0"/>
              <w:rPr>
                <w:sz w:val="20"/>
                <w:szCs w:val="20"/>
                <w:color w:val="auto"/>
              </w:rPr>
            </w:pPr>
          </w:p>
        </w:tc>
        <w:tc>
          <w:tcPr>
            <w:tcW w:w="540" w:type="dxa"/>
            <w:vAlign w:val="bottom"/>
            <w:tcBorders>
              <w:bottom w:val="single" w:sz="8" w:color="auto"/>
              <w:right w:val="single" w:sz="8" w:color="auto"/>
            </w:tcBorders>
            <w:shd w:val="clear" w:color="auto" w:fill="C7CDE8"/>
          </w:tcPr>
          <w:p>
            <w:pPr>
              <w:spacing w:after="0"/>
              <w:rPr>
                <w:sz w:val="20"/>
                <w:szCs w:val="20"/>
                <w:color w:val="auto"/>
              </w:rPr>
            </w:pP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5"/>
        </w:trPr>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6"/>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720" w:type="dxa"/>
            <w:vAlign w:val="bottom"/>
            <w:tcBorders>
              <w:bottom w:val="single" w:sz="8" w:color="auto"/>
              <w:right w:val="single" w:sz="8" w:color="auto"/>
            </w:tcBorders>
            <w:shd w:val="clear" w:color="auto" w:fill="C7CDE8"/>
          </w:tcPr>
          <w:p>
            <w:pPr>
              <w:spacing w:after="0"/>
              <w:rPr>
                <w:sz w:val="20"/>
                <w:szCs w:val="20"/>
                <w:color w:val="auto"/>
              </w:rPr>
            </w:pPr>
          </w:p>
        </w:tc>
        <w:tc>
          <w:tcPr>
            <w:tcW w:w="540" w:type="dxa"/>
            <w:vAlign w:val="bottom"/>
            <w:tcBorders>
              <w:bottom w:val="single" w:sz="8" w:color="auto"/>
              <w:right w:val="single" w:sz="8" w:color="auto"/>
            </w:tcBorders>
            <w:shd w:val="clear" w:color="auto" w:fill="C7CDE8"/>
          </w:tcPr>
          <w:p>
            <w:pPr>
              <w:spacing w:after="0"/>
              <w:rPr>
                <w:sz w:val="20"/>
                <w:szCs w:val="20"/>
                <w:color w:val="auto"/>
              </w:rPr>
            </w:pP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Asian</w:t>
            </w: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6"/>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Hispanic or Latinx</w:t>
            </w:r>
          </w:p>
        </w:tc>
        <w:tc>
          <w:tcPr>
            <w:tcW w:w="720" w:type="dxa"/>
            <w:vAlign w:val="bottom"/>
            <w:tcBorders>
              <w:bottom w:val="single" w:sz="8" w:color="auto"/>
              <w:right w:val="single" w:sz="8" w:color="auto"/>
            </w:tcBorders>
            <w:shd w:val="clear" w:color="auto" w:fill="C7CDE8"/>
          </w:tcPr>
          <w:p>
            <w:pPr>
              <w:spacing w:after="0"/>
              <w:rPr>
                <w:sz w:val="20"/>
                <w:szCs w:val="20"/>
                <w:color w:val="auto"/>
              </w:rPr>
            </w:pPr>
          </w:p>
        </w:tc>
        <w:tc>
          <w:tcPr>
            <w:tcW w:w="540" w:type="dxa"/>
            <w:vAlign w:val="bottom"/>
            <w:tcBorders>
              <w:bottom w:val="single" w:sz="8" w:color="auto"/>
              <w:right w:val="single" w:sz="8" w:color="auto"/>
            </w:tcBorders>
            <w:shd w:val="clear" w:color="auto" w:fill="C7CDE8"/>
          </w:tcPr>
          <w:p>
            <w:pPr>
              <w:spacing w:after="0"/>
              <w:rPr>
                <w:sz w:val="20"/>
                <w:szCs w:val="20"/>
                <w:color w:val="auto"/>
              </w:rPr>
            </w:pP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9"/>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White</w:t>
            </w:r>
          </w:p>
        </w:tc>
        <w:tc>
          <w:tcPr>
            <w:tcW w:w="720" w:type="dxa"/>
            <w:vAlign w:val="bottom"/>
            <w:tcBorders>
              <w:bottom w:val="single" w:sz="8" w:color="auto"/>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b w:val="1"/>
                <w:bCs w:val="1"/>
                <w:color w:val="auto"/>
              </w:rPr>
              <w:t>2</w:t>
            </w:r>
          </w:p>
        </w:tc>
        <w:tc>
          <w:tcPr>
            <w:tcW w:w="540" w:type="dxa"/>
            <w:vAlign w:val="bottom"/>
            <w:tcBorders>
              <w:bottom w:val="single" w:sz="8" w:color="auto"/>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8"/>
                <w:szCs w:val="18"/>
                <w:b w:val="1"/>
                <w:bCs w:val="1"/>
                <w:color w:val="auto"/>
              </w:rPr>
              <w:t>5</w:t>
            </w: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4"/>
        </w:trPr>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7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7"/>
        </w:trPr>
        <w:tc>
          <w:tcPr>
            <w:tcW w:w="4040" w:type="dxa"/>
            <w:vAlign w:val="bottom"/>
            <w:tcBorders>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LGBTQ+</w:t>
            </w:r>
          </w:p>
        </w:tc>
        <w:tc>
          <w:tcPr>
            <w:tcW w:w="720" w:type="dxa"/>
            <w:vAlign w:val="bottom"/>
            <w:tcBorders>
              <w:bottom w:val="single" w:sz="8" w:color="auto"/>
              <w:right w:val="single" w:sz="8" w:color="auto"/>
            </w:tcBorders>
            <w:shd w:val="clear" w:color="auto" w:fill="C7CDE8"/>
          </w:tcPr>
          <w:p>
            <w:pPr>
              <w:spacing w:after="0"/>
              <w:rPr>
                <w:sz w:val="20"/>
                <w:szCs w:val="20"/>
                <w:color w:val="auto"/>
              </w:rPr>
            </w:pPr>
          </w:p>
        </w:tc>
        <w:tc>
          <w:tcPr>
            <w:tcW w:w="540" w:type="dxa"/>
            <w:vAlign w:val="bottom"/>
            <w:tcBorders>
              <w:bottom w:val="single" w:sz="8" w:color="auto"/>
              <w:right w:val="single" w:sz="8" w:color="auto"/>
            </w:tcBorders>
            <w:shd w:val="clear" w:color="auto" w:fill="C7CDE8"/>
          </w:tcPr>
          <w:p>
            <w:pPr>
              <w:spacing w:after="0"/>
              <w:rPr>
                <w:sz w:val="20"/>
                <w:szCs w:val="20"/>
                <w:color w:val="auto"/>
              </w:rPr>
            </w:pPr>
          </w:p>
        </w:tc>
        <w:tc>
          <w:tcPr>
            <w:tcW w:w="1060" w:type="dxa"/>
            <w:vAlign w:val="bottom"/>
            <w:tcBorders>
              <w:bottom w:val="single" w:sz="8" w:color="auto"/>
              <w:right w:val="single" w:sz="8" w:color="auto"/>
            </w:tcBorders>
            <w:shd w:val="clear" w:color="auto" w:fill="C7CDE8"/>
          </w:tcPr>
          <w:p>
            <w:pPr>
              <w:spacing w:after="0"/>
              <w:rPr>
                <w:sz w:val="20"/>
                <w:szCs w:val="20"/>
                <w:color w:val="auto"/>
              </w:rPr>
            </w:pPr>
          </w:p>
        </w:tc>
        <w:tc>
          <w:tcPr>
            <w:tcW w:w="2040" w:type="dxa"/>
            <w:vAlign w:val="bottom"/>
            <w:tcBorders>
              <w:bottom w:val="single" w:sz="8" w:color="auto"/>
            </w:tcBorders>
            <w:shd w:val="clear" w:color="auto" w:fill="C7CDE8"/>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32"/>
        </w:trPr>
        <w:tc>
          <w:tcPr>
            <w:tcW w:w="4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20" w:type="dxa"/>
            <w:vAlign w:val="bottom"/>
            <w:tcBorders>
              <w:right w:val="single" w:sz="8" w:color="auto"/>
            </w:tcBorders>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
        </w:trPr>
        <w:tc>
          <w:tcPr>
            <w:tcW w:w="404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bl>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Independence of The Board of Directors</w:t>
      </w:r>
    </w:p>
    <w:p>
      <w:pPr>
        <w:spacing w:after="0" w:line="10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As required under the Nasdaq Global Select Market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Global Select Market listing standards (including as independent is currently defined in Rule 4505(d)(2) of those listing standards).</w:t>
      </w:r>
    </w:p>
    <w:p>
      <w:pPr>
        <w:spacing w:after="0" w:line="79" w:lineRule="exact"/>
        <w:rPr>
          <w:sz w:val="20"/>
          <w:szCs w:val="20"/>
          <w:color w:val="auto"/>
        </w:rPr>
      </w:pPr>
    </w:p>
    <w:p>
      <w:pPr>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Ms. Jodi Butts,</w:t>
      </w:r>
    </w:p>
    <w:p>
      <w:pPr>
        <w:spacing w:after="0" w:line="2" w:lineRule="exact"/>
        <w:rPr>
          <w:sz w:val="20"/>
          <w:szCs w:val="20"/>
          <w:color w:val="auto"/>
        </w:rPr>
      </w:pPr>
    </w:p>
    <w:p>
      <w:pPr>
        <w:ind w:left="300" w:right="579"/>
        <w:spacing w:after="0" w:line="260" w:lineRule="auto"/>
        <w:rPr>
          <w:sz w:val="20"/>
          <w:szCs w:val="20"/>
          <w:color w:val="auto"/>
        </w:rPr>
      </w:pPr>
      <w:r>
        <w:rPr>
          <w:rFonts w:ascii="Times New Roman" w:cs="Times New Roman" w:eastAsia="Times New Roman" w:hAnsi="Times New Roman"/>
          <w:sz w:val="18"/>
          <w:szCs w:val="18"/>
          <w:color w:val="auto"/>
        </w:rPr>
        <w:t>Mr. David Clanachan, Mr. John M. Herhalt, Mr. David Hopkinson and Mr. Tom Looney is independent under the listing rules of the Nasdaq Global Select Market.</w:t>
      </w:r>
    </w:p>
    <w:p>
      <w:pPr>
        <w:spacing w:after="0" w:line="73"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Our Board has also determined that Mr. Simon is not independent under the listing rules of the Nasdaq Global Select Market.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8" w:name="page19"/>
    <w:bookmarkEnd w:id="18"/>
    <w:p>
      <w:pPr>
        <w:ind w:left="300"/>
        <w:spacing w:after="0"/>
        <w:rPr>
          <w:sz w:val="20"/>
          <w:szCs w:val="20"/>
          <w:color w:val="auto"/>
        </w:rPr>
      </w:pPr>
      <w:r>
        <w:rPr>
          <w:rFonts w:ascii="Arial" w:cs="Arial" w:eastAsia="Arial" w:hAnsi="Arial"/>
          <w:sz w:val="18"/>
          <w:szCs w:val="18"/>
          <w:b w:val="1"/>
          <w:bCs w:val="1"/>
          <w:color w:val="00489A"/>
        </w:rPr>
        <w:t>Board Leadership Structure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is currently chaired by our President and Chief Executive Officer, Mr. Simon.</w:t>
      </w:r>
    </w:p>
    <w:p>
      <w:pPr>
        <w:spacing w:after="0" w:line="117" w:lineRule="exact"/>
        <w:rPr>
          <w:sz w:val="20"/>
          <w:szCs w:val="20"/>
          <w:color w:val="auto"/>
        </w:rPr>
      </w:pPr>
    </w:p>
    <w:p>
      <w:pPr>
        <w:ind w:left="300" w:right="319" w:firstLine="360"/>
        <w:spacing w:after="0" w:line="270" w:lineRule="auto"/>
        <w:rPr>
          <w:sz w:val="20"/>
          <w:szCs w:val="20"/>
          <w:color w:val="auto"/>
        </w:rPr>
      </w:pPr>
      <w:r>
        <w:rPr>
          <w:rFonts w:ascii="Times New Roman" w:cs="Times New Roman" w:eastAsia="Times New Roman" w:hAnsi="Times New Roman"/>
          <w:sz w:val="17"/>
          <w:szCs w:val="17"/>
          <w:color w:val="auto"/>
        </w:rPr>
        <w:t>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that it is best served by having a separate independent director (currently Ms. Persofsky) serve as the Company’s Vice Chair to facilitate strong communication and coordination between management and the independent members of the Board.</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Role of the Board in Risk Oversight</w:t>
      </w:r>
    </w:p>
    <w:p>
      <w:pPr>
        <w:spacing w:after="0" w:line="104"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w:t>
      </w:r>
    </w:p>
    <w:p>
      <w:pPr>
        <w:spacing w:after="0" w:line="8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Nasdaq Global Select Market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w:t>
      </w:r>
    </w:p>
    <w:p>
      <w:pPr>
        <w:spacing w:after="0" w:line="84"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Our Board has determined that each of Renah Persofsky, Jodi Butts, David Clanachan, John Herhalt, David Hopkinson and Tom Looney qualifies as “independent” as defined under the applicable Nasdaq Global Select Market rules.</w:t>
      </w:r>
    </w:p>
    <w:p>
      <w:pPr>
        <w:spacing w:after="0" w:line="68"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Board monitors its compliance with Nasdaq Global Select Market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directors’ responses to a questionnaire asking about their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9" w:name="page20"/>
    <w:bookmarkEnd w:id="19"/>
    <w:p>
      <w:pPr>
        <w:jc w:val="both"/>
        <w:ind w:left="300" w:right="499"/>
        <w:spacing w:after="0" w:line="266" w:lineRule="auto"/>
        <w:rPr>
          <w:sz w:val="20"/>
          <w:szCs w:val="20"/>
          <w:color w:val="auto"/>
        </w:rPr>
      </w:pPr>
      <w:r>
        <w:rPr>
          <w:rFonts w:ascii="Times New Roman" w:cs="Times New Roman" w:eastAsia="Times New Roman" w:hAnsi="Times New Roman"/>
          <w:sz w:val="18"/>
          <w:szCs w:val="18"/>
          <w:color w:val="auto"/>
        </w:rPr>
        <w:t>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1" w:lineRule="exact"/>
        <w:rPr>
          <w:sz w:val="20"/>
          <w:szCs w:val="20"/>
          <w:color w:val="auto"/>
        </w:rPr>
      </w:pPr>
    </w:p>
    <w:p>
      <w:pPr>
        <w:ind w:left="300" w:right="299" w:firstLine="360"/>
        <w:spacing w:after="0" w:line="231" w:lineRule="auto"/>
        <w:rPr>
          <w:sz w:val="20"/>
          <w:szCs w:val="20"/>
          <w:color w:val="auto"/>
        </w:rPr>
      </w:pPr>
      <w:r>
        <w:rPr>
          <w:rFonts w:ascii="Times New Roman" w:cs="Times New Roman" w:eastAsia="Times New Roman" w:hAnsi="Times New Roman"/>
          <w:sz w:val="18"/>
          <w:szCs w:val="18"/>
          <w:color w:val="auto"/>
        </w:rPr>
        <w:t>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w:t>
      </w:r>
    </w:p>
    <w:p>
      <w:pPr>
        <w:spacing w:after="0" w:line="86" w:lineRule="exact"/>
        <w:rPr>
          <w:sz w:val="20"/>
          <w:szCs w:val="20"/>
          <w:color w:val="auto"/>
        </w:rPr>
      </w:pPr>
    </w:p>
    <w:p>
      <w:pPr>
        <w:jc w:val="both"/>
        <w:ind w:left="300" w:right="419" w:firstLine="360"/>
        <w:spacing w:after="0"/>
        <w:rPr>
          <w:sz w:val="20"/>
          <w:szCs w:val="20"/>
          <w:color w:val="auto"/>
        </w:rPr>
      </w:pPr>
      <w:r>
        <w:rPr>
          <w:rFonts w:ascii="Times New Roman" w:cs="Times New Roman" w:eastAsia="Times New Roman" w:hAnsi="Times New Roman"/>
          <w:sz w:val="18"/>
          <w:szCs w:val="18"/>
          <w:color w:val="auto"/>
        </w:rPr>
        <w:t>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No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transactions for the fiscal year ended May 31, 2024, in which Tilray was a participant, in which:</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will exceed $120,000; and</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directors, executive officers or holders of more than 5% of capital stock of Tilray, or any member of the immediate family of the foregoing persons, had or will have a direct or indirect material interest.</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Related-Person Transactions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11" w:lineRule="exact"/>
        <w:rPr>
          <w:sz w:val="20"/>
          <w:szCs w:val="20"/>
          <w:color w:val="auto"/>
        </w:rPr>
      </w:pPr>
    </w:p>
    <w:p>
      <w:pPr>
        <w:ind w:left="300" w:right="299" w:firstLine="360"/>
        <w:spacing w:after="0" w:line="232" w:lineRule="auto"/>
        <w:rPr>
          <w:sz w:val="20"/>
          <w:szCs w:val="20"/>
          <w:color w:val="auto"/>
        </w:rPr>
      </w:pPr>
      <w:r>
        <w:rPr>
          <w:rFonts w:ascii="Times New Roman" w:cs="Times New Roman" w:eastAsia="Times New Roman" w:hAnsi="Times New Roman"/>
          <w:sz w:val="18"/>
          <w:szCs w:val="18"/>
          <w:color w:val="auto"/>
        </w:rPr>
        <w:t>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11" w:lineRule="exact"/>
        <w:rPr>
          <w:sz w:val="20"/>
          <w:szCs w:val="20"/>
          <w:color w:val="auto"/>
        </w:rPr>
      </w:pPr>
    </w:p>
    <w:p>
      <w:pPr>
        <w:ind w:left="300" w:right="659" w:firstLine="360"/>
        <w:spacing w:after="0"/>
        <w:rPr>
          <w:sz w:val="20"/>
          <w:szCs w:val="20"/>
          <w:color w:val="auto"/>
        </w:rPr>
      </w:pPr>
      <w:r>
        <w:rPr>
          <w:rFonts w:ascii="Times New Roman" w:cs="Times New Roman" w:eastAsia="Times New Roman" w:hAnsi="Times New Roman"/>
          <w:sz w:val="18"/>
          <w:szCs w:val="18"/>
          <w:color w:val="auto"/>
        </w:rPr>
        <w:t>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w:t>
      </w:r>
    </w:p>
    <w:p>
      <w:pPr>
        <w:spacing w:after="0" w:line="77" w:lineRule="exact"/>
        <w:rPr>
          <w:sz w:val="20"/>
          <w:szCs w:val="20"/>
          <w:color w:val="auto"/>
        </w:rPr>
      </w:pPr>
    </w:p>
    <w:p>
      <w:pPr>
        <w:ind w:left="300" w:right="399" w:firstLine="360"/>
        <w:spacing w:after="0" w:line="250" w:lineRule="auto"/>
        <w:rPr>
          <w:sz w:val="20"/>
          <w:szCs w:val="20"/>
          <w:color w:val="auto"/>
        </w:rPr>
      </w:pPr>
      <w:r>
        <w:rPr>
          <w:rFonts w:ascii="Times New Roman" w:cs="Times New Roman" w:eastAsia="Times New Roman" w:hAnsi="Times New Roman"/>
          <w:sz w:val="18"/>
          <w:szCs w:val="18"/>
          <w:color w:val="auto"/>
        </w:rPr>
        <w:t>A stockholder may request a copy of the Code of Conduct by contacting our Corporate Secretary at 265 Talbot Street West, Leamington, Ontario N8H 4H3, Canada.</w:t>
      </w:r>
    </w:p>
    <w:p>
      <w:pPr>
        <w:spacing w:after="0" w:line="68"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Any waivers or substantive amendments of the Code of Conduct will be publicly disclosed in an appropriate filing.</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 w:name="page21"/>
    <w:bookmarkEnd w:id="20"/>
    <w:p>
      <w:pPr>
        <w:ind w:left="300" w:right="2839" w:firstLine="2543"/>
        <w:spacing w:after="0" w:line="438" w:lineRule="auto"/>
        <w:rPr>
          <w:sz w:val="20"/>
          <w:szCs w:val="20"/>
          <w:color w:val="auto"/>
        </w:rPr>
      </w:pPr>
      <w:r>
        <w:rPr>
          <w:rFonts w:ascii="Arial" w:cs="Arial" w:eastAsia="Arial" w:hAnsi="Arial"/>
          <w:sz w:val="18"/>
          <w:szCs w:val="18"/>
          <w:b w:val="1"/>
          <w:bCs w:val="1"/>
          <w:color w:val="00489A"/>
        </w:rPr>
        <w:t>MEETINGS AND BOARD COMMITTEES Board Meetings and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-64770</wp:posOffset>
            </wp:positionV>
            <wp:extent cx="5349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Board met 8 times in the 12-months ended May 31, 2024. In 2024,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w:t>
      </w:r>
    </w:p>
    <w:p>
      <w:pPr>
        <w:spacing w:after="0" w:line="72" w:lineRule="exact"/>
        <w:rPr>
          <w:sz w:val="20"/>
          <w:szCs w:val="20"/>
          <w:color w:val="auto"/>
        </w:rPr>
      </w:pPr>
    </w:p>
    <w:p>
      <w:pPr>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w:t>
      </w:r>
    </w:p>
    <w:p>
      <w:pPr>
        <w:spacing w:after="0" w:line="56"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Our Board currently has standing Audit, Compensation and Nominating and Corporate Governance Committees. All of the members of these committee meet the applicable independence requirements of the Nasdaq Global Select Market and the SEC. Our Board has the ability to establish special committees, if necessary.</w:t>
      </w:r>
    </w:p>
    <w:p>
      <w:pPr>
        <w:spacing w:after="0" w:line="68"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Each of our standing committees is governed by a written charter, which is subject to annual review by each respective committee and approval by the Board. Committee charters are available on our website https://ir.tilray.com/corporate-governance/governance-overview.</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Board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May 31, 2024, our committee membership was as follows: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5420" w:type="dxa"/>
            <w:vAlign w:val="bottom"/>
            <w:tcBorders>
              <w:bottom w:val="single" w:sz="8" w:color="auto"/>
            </w:tcBorders>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 w:type="dxa"/>
            <w:vAlign w:val="bottom"/>
            <w:shd w:val="clear" w:color="auto" w:fill="C7CDE8"/>
          </w:tcPr>
          <w:p>
            <w:pPr>
              <w:spacing w:after="0"/>
              <w:rPr>
                <w:sz w:val="20"/>
                <w:szCs w:val="20"/>
                <w:color w:val="auto"/>
              </w:rPr>
            </w:pPr>
          </w:p>
        </w:tc>
        <w:tc>
          <w:tcPr>
            <w:tcW w:w="5420" w:type="dxa"/>
            <w:vAlign w:val="bottom"/>
            <w:gridSpan w:val="3"/>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Jodi Butts</w:t>
            </w:r>
          </w:p>
        </w:tc>
        <w:tc>
          <w:tcPr>
            <w:tcW w:w="100" w:type="dxa"/>
            <w:vAlign w:val="bottom"/>
            <w:shd w:val="clear" w:color="auto" w:fill="C7CDE8"/>
          </w:tcPr>
          <w:p>
            <w:pPr>
              <w:spacing w:after="0"/>
              <w:rPr>
                <w:sz w:val="20"/>
                <w:szCs w:val="20"/>
                <w:color w:val="auto"/>
              </w:rPr>
            </w:pPr>
          </w:p>
        </w:tc>
        <w:tc>
          <w:tcPr>
            <w:tcW w:w="700" w:type="dxa"/>
            <w:vAlign w:val="bottom"/>
            <w:shd w:val="clear" w:color="auto" w:fill="C7CDE8"/>
          </w:tcPr>
          <w:p>
            <w:pPr>
              <w:spacing w:after="0"/>
              <w:rPr>
                <w:sz w:val="20"/>
                <w:szCs w:val="20"/>
                <w:color w:val="auto"/>
              </w:rPr>
            </w:pPr>
          </w:p>
        </w:tc>
        <w:tc>
          <w:tcPr>
            <w:tcW w:w="120" w:type="dxa"/>
            <w:vAlign w:val="bottom"/>
            <w:shd w:val="clear" w:color="auto" w:fill="C7CDE8"/>
          </w:tcPr>
          <w:p>
            <w:pPr>
              <w:spacing w:after="0"/>
              <w:rPr>
                <w:sz w:val="20"/>
                <w:szCs w:val="20"/>
                <w:color w:val="auto"/>
              </w:rPr>
            </w:pPr>
          </w:p>
        </w:tc>
        <w:tc>
          <w:tcPr>
            <w:tcW w:w="920" w:type="dxa"/>
            <w:vAlign w:val="bottom"/>
            <w:shd w:val="clear" w:color="auto" w:fill="C7CDE8"/>
          </w:tcPr>
          <w:p>
            <w:pPr>
              <w:spacing w:after="0"/>
              <w:rPr>
                <w:sz w:val="20"/>
                <w:szCs w:val="20"/>
                <w:color w:val="auto"/>
              </w:rPr>
            </w:pPr>
          </w:p>
        </w:tc>
        <w:tc>
          <w:tcPr>
            <w:tcW w:w="100" w:type="dxa"/>
            <w:vAlign w:val="bottom"/>
            <w:shd w:val="clear" w:color="auto" w:fill="C7CDE8"/>
          </w:tcPr>
          <w:p>
            <w:pPr>
              <w:spacing w:after="0"/>
              <w:rPr>
                <w:sz w:val="20"/>
                <w:szCs w:val="20"/>
                <w:color w:val="auto"/>
              </w:rPr>
            </w:pPr>
          </w:p>
        </w:tc>
        <w:tc>
          <w:tcPr>
            <w:tcW w:w="10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Clanachan</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shd w:val="clear" w:color="auto" w:fill="C7CDE8"/>
          </w:tcPr>
          <w:p>
            <w:pPr>
              <w:spacing w:after="0"/>
              <w:rPr>
                <w:sz w:val="21"/>
                <w:szCs w:val="21"/>
                <w:color w:val="auto"/>
              </w:rPr>
            </w:pPr>
          </w:p>
        </w:tc>
        <w:tc>
          <w:tcPr>
            <w:tcW w:w="5420" w:type="dxa"/>
            <w:vAlign w:val="bottom"/>
            <w:gridSpan w:val="3"/>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John M. Herhalt</w:t>
            </w:r>
          </w:p>
        </w:tc>
        <w:tc>
          <w:tcPr>
            <w:tcW w:w="80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20" w:type="dxa"/>
            <w:vAlign w:val="bottom"/>
            <w:shd w:val="clear" w:color="auto" w:fill="C7CDE8"/>
          </w:tcPr>
          <w:p>
            <w:pPr>
              <w:spacing w:after="0"/>
              <w:rPr>
                <w:sz w:val="21"/>
                <w:szCs w:val="21"/>
                <w:color w:val="auto"/>
              </w:rPr>
            </w:pPr>
          </w:p>
        </w:tc>
        <w:tc>
          <w:tcPr>
            <w:tcW w:w="920" w:type="dxa"/>
            <w:vAlign w:val="bottom"/>
            <w:shd w:val="clear" w:color="auto" w:fill="C7CDE8"/>
          </w:tcPr>
          <w:p>
            <w:pPr>
              <w:spacing w:after="0"/>
              <w:rPr>
                <w:sz w:val="21"/>
                <w:szCs w:val="21"/>
                <w:color w:val="auto"/>
              </w:rPr>
            </w:pPr>
          </w:p>
        </w:tc>
        <w:tc>
          <w:tcPr>
            <w:tcW w:w="112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Hopkinson</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shd w:val="clear" w:color="auto" w:fill="C7CDE8"/>
          </w:tcPr>
          <w:p>
            <w:pPr>
              <w:spacing w:after="0"/>
              <w:rPr>
                <w:sz w:val="21"/>
                <w:szCs w:val="21"/>
                <w:color w:val="auto"/>
              </w:rPr>
            </w:pPr>
          </w:p>
        </w:tc>
        <w:tc>
          <w:tcPr>
            <w:tcW w:w="5420" w:type="dxa"/>
            <w:vAlign w:val="bottom"/>
            <w:gridSpan w:val="3"/>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Tom Looney</w:t>
            </w:r>
          </w:p>
        </w:tc>
        <w:tc>
          <w:tcPr>
            <w:tcW w:w="800" w:type="dxa"/>
            <w:vAlign w:val="bottom"/>
            <w:gridSpan w:val="2"/>
            <w:shd w:val="clear" w:color="auto" w:fill="C7CDE8"/>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100" w:type="dxa"/>
            <w:vAlign w:val="bottom"/>
            <w:shd w:val="clear" w:color="auto" w:fill="C7CDE8"/>
          </w:tcPr>
          <w:p>
            <w:pPr>
              <w:spacing w:after="0"/>
              <w:rPr>
                <w:sz w:val="21"/>
                <w:szCs w:val="21"/>
                <w:color w:val="auto"/>
              </w:rPr>
            </w:pPr>
          </w:p>
        </w:tc>
        <w:tc>
          <w:tcPr>
            <w:tcW w:w="1020" w:type="dxa"/>
            <w:vAlign w:val="bottom"/>
            <w:shd w:val="clear" w:color="auto" w:fill="C7CDE8"/>
          </w:tcPr>
          <w:p>
            <w:pPr>
              <w:spacing w:after="0"/>
              <w:rPr>
                <w:sz w:val="21"/>
                <w:szCs w:val="21"/>
                <w:color w:val="auto"/>
              </w:rPr>
            </w:pP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5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Renah Persofsky++</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7CDE8"/>
            </w:tcBorders>
            <w:shd w:val="clear" w:color="auto" w:fill="C7CDE8"/>
          </w:tcPr>
          <w:p>
            <w:pPr>
              <w:spacing w:after="0"/>
              <w:rPr>
                <w:sz w:val="23"/>
                <w:szCs w:val="23"/>
                <w:color w:val="auto"/>
              </w:rPr>
            </w:pPr>
          </w:p>
        </w:tc>
        <w:tc>
          <w:tcPr>
            <w:tcW w:w="5420" w:type="dxa"/>
            <w:vAlign w:val="bottom"/>
            <w:tcBorders>
              <w:bottom w:val="single" w:sz="8" w:color="C7CDE8"/>
            </w:tcBorders>
            <w:gridSpan w:val="3"/>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D. Simon ♦</w:t>
            </w:r>
          </w:p>
        </w:tc>
        <w:tc>
          <w:tcPr>
            <w:tcW w:w="100" w:type="dxa"/>
            <w:vAlign w:val="bottom"/>
            <w:tcBorders>
              <w:bottom w:val="single" w:sz="8" w:color="C7CDE8"/>
            </w:tcBorders>
            <w:shd w:val="clear" w:color="auto" w:fill="C7CDE8"/>
          </w:tcPr>
          <w:p>
            <w:pPr>
              <w:spacing w:after="0"/>
              <w:rPr>
                <w:sz w:val="23"/>
                <w:szCs w:val="23"/>
                <w:color w:val="auto"/>
              </w:rPr>
            </w:pPr>
          </w:p>
        </w:tc>
        <w:tc>
          <w:tcPr>
            <w:tcW w:w="700" w:type="dxa"/>
            <w:vAlign w:val="bottom"/>
            <w:tcBorders>
              <w:bottom w:val="single" w:sz="8" w:color="C7CDE8"/>
            </w:tcBorders>
            <w:shd w:val="clear" w:color="auto" w:fill="C7CDE8"/>
          </w:tcPr>
          <w:p>
            <w:pPr>
              <w:spacing w:after="0"/>
              <w:rPr>
                <w:sz w:val="23"/>
                <w:szCs w:val="23"/>
                <w:color w:val="auto"/>
              </w:rPr>
            </w:pPr>
          </w:p>
        </w:tc>
        <w:tc>
          <w:tcPr>
            <w:tcW w:w="120" w:type="dxa"/>
            <w:vAlign w:val="bottom"/>
            <w:tcBorders>
              <w:bottom w:val="single" w:sz="8" w:color="C7CDE8"/>
            </w:tcBorders>
            <w:shd w:val="clear" w:color="auto" w:fill="C7CDE8"/>
          </w:tcPr>
          <w:p>
            <w:pPr>
              <w:spacing w:after="0"/>
              <w:rPr>
                <w:sz w:val="23"/>
                <w:szCs w:val="23"/>
                <w:color w:val="auto"/>
              </w:rPr>
            </w:pPr>
          </w:p>
        </w:tc>
        <w:tc>
          <w:tcPr>
            <w:tcW w:w="920" w:type="dxa"/>
            <w:vAlign w:val="bottom"/>
            <w:tcBorders>
              <w:bottom w:val="single" w:sz="8" w:color="C7CDE8"/>
            </w:tcBorders>
            <w:shd w:val="clear" w:color="auto" w:fill="C7CDE8"/>
          </w:tcPr>
          <w:p>
            <w:pPr>
              <w:spacing w:after="0"/>
              <w:rPr>
                <w:sz w:val="23"/>
                <w:szCs w:val="23"/>
                <w:color w:val="auto"/>
              </w:rPr>
            </w:pPr>
          </w:p>
        </w:tc>
        <w:tc>
          <w:tcPr>
            <w:tcW w:w="100" w:type="dxa"/>
            <w:vAlign w:val="bottom"/>
            <w:tcBorders>
              <w:bottom w:val="single" w:sz="8" w:color="C7CDE8"/>
            </w:tcBorders>
            <w:shd w:val="clear" w:color="auto" w:fill="C7CDE8"/>
          </w:tcPr>
          <w:p>
            <w:pPr>
              <w:spacing w:after="0"/>
              <w:rPr>
                <w:sz w:val="23"/>
                <w:szCs w:val="23"/>
                <w:color w:val="auto"/>
              </w:rPr>
            </w:pPr>
          </w:p>
        </w:tc>
        <w:tc>
          <w:tcPr>
            <w:tcW w:w="1020" w:type="dxa"/>
            <w:vAlign w:val="bottom"/>
            <w:tcBorders>
              <w:bottom w:val="single" w:sz="8" w:color="C7CDE8"/>
            </w:tcBorders>
            <w:shd w:val="clear" w:color="auto" w:fill="C7CDE8"/>
          </w:tcPr>
          <w:p>
            <w:pPr>
              <w:spacing w:after="0"/>
              <w:rPr>
                <w:sz w:val="23"/>
                <w:szCs w:val="23"/>
                <w:color w:val="auto"/>
              </w:rPr>
            </w:pPr>
          </w:p>
        </w:tc>
        <w:tc>
          <w:tcPr>
            <w:tcW w:w="60" w:type="dxa"/>
            <w:vAlign w:val="bottom"/>
            <w:tcBorders>
              <w:bottom w:val="single" w:sz="8" w:color="C7CDE8"/>
            </w:tcBorders>
            <w:shd w:val="clear" w:color="auto" w:fill="C7CDE8"/>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40" w:type="dxa"/>
            <w:vAlign w:val="bottom"/>
            <w:tcBorders>
              <w:bottom w:val="single" w:sz="8" w:color="auto"/>
            </w:tcBorders>
            <w:gridSpan w:val="2"/>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Committee Member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Committee Chair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Vice Chair (Lead Director)</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2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Chairman of the Board</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 met 4 times in the 12 months ended May 31, 2024. Our Audit Committee currently consists of Messrs. Clanachan, Herhalt, Hopkinson and Looney, with Mr. Herhalt serving as the Chair. Our Board has determined each member of our Audit Committee to be independent under the listing standards and Rule 10A-3(b)(1) of the Exchange Act. Our Board has determined that each of David Clanachan, John Herhalt, David Hopkinson and Tom Looney is an “Audit Committee financial expert” within the meaning of SEC regulations and has the requisite financial expertise required under the applicable requirements of the Nasdaq Global Select Market.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w:t>
      </w:r>
    </w:p>
    <w:p>
      <w:pPr>
        <w:spacing w:after="0" w:line="54" w:lineRule="exact"/>
        <w:rPr>
          <w:sz w:val="20"/>
          <w:szCs w:val="20"/>
          <w:color w:val="auto"/>
        </w:rPr>
      </w:pPr>
    </w:p>
    <w:p>
      <w:pPr>
        <w:ind w:left="1000" w:right="49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retaining a qualified firm to serve as the independent registered public accounting firm to audit our financial statements and continuing to evaluate their performance and qualifications in accordance with the Audit Committee charter;</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03" w:lineRule="exact"/>
        <w:rPr>
          <w:rFonts w:ascii="Times New Roman" w:cs="Times New Roman" w:eastAsia="Times New Roman" w:hAnsi="Times New Roman"/>
          <w:sz w:val="18"/>
          <w:szCs w:val="18"/>
          <w:color w:val="auto"/>
        </w:rPr>
      </w:pPr>
    </w:p>
    <w:p>
      <w:pPr>
        <w:ind w:left="1000" w:right="379" w:hanging="348"/>
        <w:spacing w:after="0" w:line="312"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18" w:lineRule="exact"/>
        <w:rPr>
          <w:rFonts w:ascii="Times New Roman" w:cs="Times New Roman" w:eastAsia="Times New Roman" w:hAnsi="Times New Roman"/>
          <w:sz w:val="17"/>
          <w:szCs w:val="17"/>
          <w:color w:val="auto"/>
        </w:rPr>
      </w:pPr>
    </w:p>
    <w:p>
      <w:pPr>
        <w:ind w:left="1000" w:right="4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6"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Company’s annual and quarterly audits and review of the Company’s financial statements, as appropriate, as well as the Company’s accounting principles and practices;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financial risk assessment and risk management;</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90" w:lineRule="exact"/>
        <w:rPr>
          <w:rFonts w:ascii="Times New Roman" w:cs="Times New Roman" w:eastAsia="Times New Roman" w:hAnsi="Times New Roman"/>
          <w:sz w:val="18"/>
          <w:szCs w:val="18"/>
          <w:color w:val="auto"/>
        </w:rPr>
      </w:pPr>
    </w:p>
    <w:p>
      <w:pPr>
        <w:jc w:val="both"/>
        <w:ind w:left="1000" w:right="47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w:t>
      </w:r>
    </w:p>
    <w:p>
      <w:pPr>
        <w:spacing w:after="0" w:line="54"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 to be performed by the independent registered public accounting firm.</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Audit Committee Report can be found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 xml:space="preserve"> of this Proxy Statement.</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5"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Committee met 5 times in the 12-months ended May 31, 2024. Our Compensation Committee is comprised of Mr. Hopkinson, Ms. Persofsky and Mr. Looney, with Mr. Looney, serving as chair. We have affirmatively determined that each member of the Compensation Committee qualifies as independent under the Nasdaq Global Select Market rules, including the additional independence standards for members of a Compensation Committee, and that each qualifies as a “non-employee director” as defined in Rule 16b-3 of the Exchange Act and “outside directors” within the meaning of Section 162(m) of the Code.</w:t>
      </w:r>
    </w:p>
    <w:p>
      <w:pPr>
        <w:spacing w:after="0" w:line="79"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Compensation Committee charter that is available to stockholders on the Company’s website at https://ir.tilray.com/.</w:t>
      </w:r>
    </w:p>
    <w:p>
      <w:pPr>
        <w:spacing w:after="0" w:line="5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w:t>
      </w:r>
    </w:p>
    <w:p>
      <w:pPr>
        <w:spacing w:after="0" w:line="45" w:lineRule="exact"/>
        <w:rPr>
          <w:sz w:val="20"/>
          <w:szCs w:val="20"/>
          <w:color w:val="auto"/>
        </w:rPr>
      </w:pPr>
    </w:p>
    <w:p>
      <w:pPr>
        <w:ind w:left="1000" w:right="43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for approval the compensation of our executive officers;</w:t>
      </w:r>
    </w:p>
    <w:p>
      <w:pPr>
        <w:spacing w:after="0" w:line="40"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for approval the terms of compensatory arrangements with our executive officers;</w:t>
      </w:r>
    </w:p>
    <w:p>
      <w:pPr>
        <w:spacing w:after="0" w:line="4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90"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advisors and assessing whether there are any conflicts of interest with any of the committee’s compensation advisors;</w:t>
      </w:r>
    </w:p>
    <w:p>
      <w:pPr>
        <w:spacing w:after="0" w:line="40"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our Board for approval of the incentive compensation and equity plans, severance agreements, change-of-control protections and any other compensatory arrangements for our executive officers and other senior management, as appropriate;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w:t>
      </w:r>
    </w:p>
    <w:p>
      <w:pPr>
        <w:spacing w:after="0" w:line="10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Compensation Committee Process and Procedures</w:t>
      </w:r>
    </w:p>
    <w:p>
      <w:pPr>
        <w:spacing w:after="0" w:line="104"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Typically, the Compensation Committee meets at least semiannually and with greater frequency if necessary and appropriate. The agenda for each meeting is usually developed by the Chair of the Compensation Committee, in consultation with management.</w:t>
      </w:r>
    </w:p>
    <w:p>
      <w:pPr>
        <w:spacing w:after="0" w:line="68" w:lineRule="exact"/>
        <w:rPr>
          <w:sz w:val="20"/>
          <w:szCs w:val="20"/>
          <w:color w:val="auto"/>
        </w:rPr>
      </w:pPr>
    </w:p>
    <w:p>
      <w:pPr>
        <w:ind w:left="300" w:right="619" w:firstLine="360"/>
        <w:spacing w:after="0" w:line="255" w:lineRule="auto"/>
        <w:rPr>
          <w:sz w:val="20"/>
          <w:szCs w:val="20"/>
          <w:color w:val="auto"/>
        </w:rPr>
      </w:pPr>
      <w:r>
        <w:rPr>
          <w:rFonts w:ascii="Times New Roman" w:cs="Times New Roman" w:eastAsia="Times New Roman" w:hAnsi="Times New Roman"/>
          <w:sz w:val="18"/>
          <w:szCs w:val="18"/>
          <w:color w:val="auto"/>
        </w:rPr>
        <w:t>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w:t>
      </w:r>
    </w:p>
    <w:p>
      <w:pPr>
        <w:spacing w:after="0" w:line="81" w:lineRule="exact"/>
        <w:rPr>
          <w:sz w:val="20"/>
          <w:szCs w:val="20"/>
          <w:color w:val="auto"/>
        </w:rPr>
      </w:pPr>
    </w:p>
    <w:p>
      <w:pPr>
        <w:ind w:left="300" w:right="559" w:firstLine="360"/>
        <w:spacing w:after="0" w:line="256" w:lineRule="auto"/>
        <w:rPr>
          <w:sz w:val="20"/>
          <w:szCs w:val="20"/>
          <w:color w:val="auto"/>
        </w:rPr>
      </w:pPr>
      <w:r>
        <w:rPr>
          <w:rFonts w:ascii="Times New Roman" w:cs="Times New Roman" w:eastAsia="Times New Roman" w:hAnsi="Times New Roman"/>
          <w:sz w:val="18"/>
          <w:szCs w:val="18"/>
          <w:color w:val="auto"/>
        </w:rPr>
        <w:t>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The Compensation Committee engaged Korn Ferry to provide current benchmarking analysis and to advise it on proposed compensation arrangements.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Compensation Committee Report can be found on page </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 xml:space="preserve"> of this Proxy Statement.</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25"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met 3 times in the 12 months ended May 31, 2024. Our Nominating and Corporate Governance Committee is comprised of Ms. Butts, Ms. Persofsky and Mr. Herhalt, with Ms. Persofsky serving as Chair. We have affirmatively determined that each member of the Nominating and Corporate Governance Committee qualifies as independent under the Nasdaq Global Select Market rules. The Board has adopted a written Nominating and Corporate Governance Committee charter that is available to stockholders on the Company’s website at https://ir.tilray.com/.</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17"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compensation of our directors;</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evaluating director performance on our Board and its applicable committees and recommending to our Board and management areas for improvement;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evaluating, nominating and recommending individuals for membership on our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reviewing our processes and procedures to provide information to our Board and its committees;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any amendments to our corporate governance policies; and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the adequacy of its charter.</w:t>
      </w:r>
    </w:p>
    <w:p>
      <w:pPr>
        <w:spacing w:after="0" w:line="5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300" w:right="339"/>
        <w:spacing w:after="0" w:line="261" w:lineRule="auto"/>
        <w:rPr>
          <w:sz w:val="20"/>
          <w:szCs w:val="20"/>
          <w:color w:val="auto"/>
        </w:rPr>
      </w:pPr>
      <w:r>
        <w:rPr>
          <w:rFonts w:ascii="Times New Roman" w:cs="Times New Roman" w:eastAsia="Times New Roman" w:hAnsi="Times New Roman"/>
          <w:sz w:val="18"/>
          <w:szCs w:val="18"/>
          <w:color w:val="auto"/>
        </w:rPr>
        <w:t>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w:t>
      </w:r>
    </w:p>
    <w:p>
      <w:pPr>
        <w:spacing w:after="0" w:line="72"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Global Select Market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w:t>
      </w:r>
    </w:p>
    <w:p>
      <w:pPr>
        <w:spacing w:after="0" w:line="82"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265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Compensation Committee interlocks in respect of the fiscal year ended May 31, 2024.</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ind w:left="4280"/>
        <w:spacing w:after="0"/>
        <w:rPr>
          <w:sz w:val="20"/>
          <w:szCs w:val="20"/>
          <w:color w:val="auto"/>
        </w:rPr>
      </w:pPr>
      <w:r>
        <w:rPr>
          <w:rFonts w:ascii="Arial" w:cs="Arial" w:eastAsia="Arial" w:hAnsi="Arial"/>
          <w:sz w:val="18"/>
          <w:szCs w:val="18"/>
          <w:b w:val="1"/>
          <w:bCs w:val="1"/>
          <w:color w:val="00489A"/>
        </w:rPr>
        <w:t>DIRECTOR COMPENSATION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489A"/>
        </w:rPr>
        <w:t>NON-EMPLOYEE DIRECTOR COMPENSATION POLICY</w:t>
      </w:r>
    </w:p>
    <w:p>
      <w:pPr>
        <w:spacing w:after="0" w:line="104" w:lineRule="exact"/>
        <w:rPr>
          <w:sz w:val="20"/>
          <w:szCs w:val="20"/>
          <w:color w:val="auto"/>
        </w:rPr>
      </w:pPr>
    </w:p>
    <w:p>
      <w:pPr>
        <w:ind w:left="1300" w:right="1660" w:firstLine="360"/>
        <w:spacing w:after="0" w:line="266" w:lineRule="auto"/>
        <w:rPr>
          <w:sz w:val="20"/>
          <w:szCs w:val="20"/>
          <w:color w:val="auto"/>
        </w:rPr>
      </w:pPr>
      <w:r>
        <w:rPr>
          <w:rFonts w:ascii="Times New Roman" w:cs="Times New Roman" w:eastAsia="Times New Roman" w:hAnsi="Times New Roman"/>
          <w:sz w:val="18"/>
          <w:szCs w:val="18"/>
          <w:color w:val="auto"/>
        </w:rPr>
        <w:t>Our non-employee directors are entitled to receive compensation for their service consisting of annual cash retainers and equity awards, as described below. Our Board may revise the policy as it deems necessary or appropriate.</w:t>
      </w:r>
    </w:p>
    <w:p>
      <w:pPr>
        <w:spacing w:after="0" w:line="64" w:lineRule="exact"/>
        <w:rPr>
          <w:sz w:val="20"/>
          <w:szCs w:val="20"/>
          <w:color w:val="auto"/>
        </w:rPr>
      </w:pPr>
    </w:p>
    <w:p>
      <w:pPr>
        <w:ind w:left="1300" w:right="2260"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All non-employee directors are entitled to receive the following annual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w:t>
      </w:r>
    </w:p>
    <w:p>
      <w:pPr>
        <w:spacing w:after="0" w:line="29" w:lineRule="exact"/>
        <w:rPr>
          <w:sz w:val="20"/>
          <w:szCs w:val="20"/>
          <w:color w:val="auto"/>
        </w:rPr>
      </w:pPr>
    </w:p>
    <w:tbl>
      <w:tblPr>
        <w:tblLayout w:type="fixed"/>
        <w:tblInd w:w="1300" w:type="dxa"/>
        <w:tblCellMar>
          <w:top w:w="0" w:type="dxa"/>
          <w:left w:w="0" w:type="dxa"/>
          <w:bottom w:w="0" w:type="dxa"/>
          <w:right w:w="0" w:type="dxa"/>
        </w:tblCellMar>
      </w:tblPr>
      <w:tr>
        <w:trPr>
          <w:trHeight w:val="344"/>
        </w:trPr>
        <w:tc>
          <w:tcPr>
            <w:tcW w:w="5380" w:type="dxa"/>
            <w:vAlign w:val="bottom"/>
            <w:tcBorders>
              <w:bottom w:val="single" w:sz="8" w:color="C7CDE8"/>
            </w:tcBorders>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Board of Directors</w:t>
            </w:r>
          </w:p>
        </w:tc>
        <w:tc>
          <w:tcPr>
            <w:tcW w:w="3040" w:type="dxa"/>
            <w:vAlign w:val="bottom"/>
            <w:tcBorders>
              <w:bottom w:val="single" w:sz="8" w:color="C7CDE8"/>
            </w:tcBorders>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$140,000</w:t>
            </w:r>
          </w:p>
        </w:tc>
      </w:tr>
      <w:tr>
        <w:trPr>
          <w:trHeight w:val="243"/>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Chair of committee:</w:t>
            </w:r>
          </w:p>
        </w:tc>
        <w:tc>
          <w:tcPr>
            <w:tcW w:w="24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40"/>
        </w:trPr>
        <w:tc>
          <w:tcPr>
            <w:tcW w:w="53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5380" w:type="dxa"/>
            <w:vAlign w:val="bottom"/>
            <w:tcBorders>
              <w:bottom w:val="single" w:sz="8" w:color="C7CDE8"/>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Audit</w:t>
            </w:r>
          </w:p>
        </w:tc>
        <w:tc>
          <w:tcPr>
            <w:tcW w:w="2420" w:type="dxa"/>
            <w:vAlign w:val="bottom"/>
            <w:tcBorders>
              <w:bottom w:val="single" w:sz="8" w:color="C7CDE8"/>
            </w:tcBorders>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7CDE8"/>
            </w:tcBorders>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41"/>
        </w:trPr>
        <w:tc>
          <w:tcPr>
            <w:tcW w:w="538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5380" w:type="dxa"/>
            <w:vAlign w:val="bottom"/>
            <w:tcBorders>
              <w:bottom w:val="single" w:sz="8" w:color="C7CDE8"/>
            </w:tcBorders>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2420" w:type="dxa"/>
            <w:vAlign w:val="bottom"/>
            <w:tcBorders>
              <w:bottom w:val="single" w:sz="8" w:color="C7CDE8"/>
            </w:tcBorders>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7CDE8"/>
            </w:tcBorders>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5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r>
    </w:tbl>
    <w:p>
      <w:pPr>
        <w:spacing w:after="0" w:line="140" w:lineRule="exact"/>
        <w:rPr>
          <w:sz w:val="20"/>
          <w:szCs w:val="20"/>
          <w:color w:val="auto"/>
        </w:rPr>
      </w:pPr>
    </w:p>
    <w:p>
      <w:pPr>
        <w:ind w:left="1300" w:right="1500"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Equity Compensation</w:t>
      </w:r>
      <w:r>
        <w:rPr>
          <w:rFonts w:ascii="Times New Roman" w:cs="Times New Roman" w:eastAsia="Times New Roman" w:hAnsi="Times New Roman"/>
          <w:sz w:val="18"/>
          <w:szCs w:val="18"/>
          <w:color w:val="auto"/>
        </w:rPr>
        <w:t>. On an annual basis, each director is granted an annual RSU grant for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total value of $250,000, subject to 100% “cliff” vesting on the earlier of the (i) one (1) year anniversary of such grant date or (ii) next annual stockholder meeting, assuming continued Board service for such period. The Fiscal Year 2024 annual award was granted to each non-employee director on July 26, 2023.</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489A"/>
        </w:rPr>
        <w:t>DIRECTOR COMPENSATION FOR FISCAL YEAR 2024</w:t>
      </w:r>
    </w:p>
    <w:p>
      <w:pPr>
        <w:spacing w:after="0" w:line="104" w:lineRule="exact"/>
        <w:rPr>
          <w:sz w:val="20"/>
          <w:szCs w:val="20"/>
          <w:color w:val="auto"/>
        </w:rPr>
      </w:pPr>
    </w:p>
    <w:p>
      <w:pPr>
        <w:ind w:left="1300" w:right="17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or paid to our non-employee directors during fiscal year 2024.</w:t>
      </w:r>
    </w:p>
    <w:p>
      <w:pPr>
        <w:spacing w:after="0" w:line="7"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5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2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 ($)</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522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Jodi Butts</w:t>
            </w:r>
          </w:p>
        </w:tc>
        <w:tc>
          <w:tcPr>
            <w:tcW w:w="1220" w:type="dxa"/>
            <w:vAlign w:val="bottom"/>
            <w:tcBorders>
              <w:bottom w:val="single" w:sz="8" w:color="C7CDE8"/>
            </w:tcBorders>
            <w:gridSpan w:val="2"/>
            <w:shd w:val="clear" w:color="auto" w:fill="C7CDE8"/>
          </w:tcPr>
          <w:p>
            <w:pPr>
              <w:jc w:val="center"/>
              <w:ind w:left="110"/>
              <w:spacing w:after="0"/>
              <w:rPr>
                <w:sz w:val="20"/>
                <w:szCs w:val="20"/>
                <w:color w:val="auto"/>
              </w:rPr>
            </w:pPr>
            <w:r>
              <w:rPr>
                <w:rFonts w:ascii="Times New Roman" w:cs="Times New Roman" w:eastAsia="Times New Roman" w:hAnsi="Times New Roman"/>
                <w:sz w:val="18"/>
                <w:szCs w:val="18"/>
                <w:color w:val="auto"/>
                <w:w w:val="99"/>
              </w:rPr>
              <w:t>140,000</w:t>
            </w:r>
          </w:p>
        </w:tc>
        <w:tc>
          <w:tcPr>
            <w:tcW w:w="104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rPr>
              <w:t>390,000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F. Clanachan</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140,000</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390,000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7CDE8"/>
            </w:tcBorders>
            <w:shd w:val="clear" w:color="auto" w:fill="C7CDE8"/>
          </w:tcPr>
          <w:p>
            <w:pPr>
              <w:spacing w:after="0"/>
              <w:rPr>
                <w:sz w:val="22"/>
                <w:szCs w:val="22"/>
                <w:color w:val="auto"/>
              </w:rPr>
            </w:pPr>
          </w:p>
        </w:tc>
        <w:tc>
          <w:tcPr>
            <w:tcW w:w="522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John M. Herhalt</w:t>
            </w:r>
          </w:p>
        </w:tc>
        <w:tc>
          <w:tcPr>
            <w:tcW w:w="1220" w:type="dxa"/>
            <w:vAlign w:val="bottom"/>
            <w:tcBorders>
              <w:bottom w:val="single" w:sz="8" w:color="C7CDE8"/>
            </w:tcBorders>
            <w:gridSpan w:val="2"/>
            <w:shd w:val="clear" w:color="auto" w:fill="C7CDE8"/>
          </w:tcPr>
          <w:p>
            <w:pPr>
              <w:jc w:val="center"/>
              <w:ind w:left="110"/>
              <w:spacing w:after="0"/>
              <w:rPr>
                <w:sz w:val="20"/>
                <w:szCs w:val="20"/>
                <w:color w:val="auto"/>
              </w:rPr>
            </w:pPr>
            <w:r>
              <w:rPr>
                <w:rFonts w:ascii="Times New Roman" w:cs="Times New Roman" w:eastAsia="Times New Roman" w:hAnsi="Times New Roman"/>
                <w:sz w:val="18"/>
                <w:szCs w:val="18"/>
                <w:color w:val="auto"/>
                <w:w w:val="99"/>
              </w:rPr>
              <w:t>160,000</w:t>
            </w:r>
          </w:p>
        </w:tc>
        <w:tc>
          <w:tcPr>
            <w:tcW w:w="104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rPr>
              <w:t>410,000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Hopkinson</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140,000</w:t>
            </w:r>
          </w:p>
        </w:tc>
        <w:tc>
          <w:tcPr>
            <w:tcW w:w="10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390,000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220" w:type="dxa"/>
            <w:vAlign w:val="bottom"/>
          </w:tcPr>
          <w:p>
            <w:pPr>
              <w:spacing w:after="0"/>
              <w:rPr>
                <w:sz w:val="3"/>
                <w:szCs w:val="3"/>
                <w:color w:val="auto"/>
              </w:rPr>
            </w:pPr>
          </w:p>
        </w:tc>
        <w:tc>
          <w:tcPr>
            <w:tcW w:w="1220" w:type="dxa"/>
            <w:vAlign w:val="bottom"/>
            <w:gridSpan w:val="2"/>
          </w:tcPr>
          <w:p>
            <w:pPr>
              <w:spacing w:after="0"/>
              <w:rPr>
                <w:sz w:val="3"/>
                <w:szCs w:val="3"/>
                <w:color w:val="auto"/>
              </w:rPr>
            </w:pPr>
          </w:p>
        </w:tc>
        <w:tc>
          <w:tcPr>
            <w:tcW w:w="1040" w:type="dxa"/>
            <w:vAlign w:val="bottom"/>
            <w:gridSpan w:val="2"/>
          </w:tcPr>
          <w:p>
            <w:pPr>
              <w:spacing w:after="0"/>
              <w:rPr>
                <w:sz w:val="3"/>
                <w:szCs w:val="3"/>
                <w:color w:val="auto"/>
              </w:rPr>
            </w:pPr>
          </w:p>
        </w:tc>
        <w:tc>
          <w:tcPr>
            <w:tcW w:w="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7CDE8"/>
            </w:tcBorders>
            <w:shd w:val="clear" w:color="auto" w:fill="C7CDE8"/>
          </w:tcPr>
          <w:p>
            <w:pPr>
              <w:spacing w:after="0"/>
              <w:rPr>
                <w:sz w:val="22"/>
                <w:szCs w:val="22"/>
                <w:color w:val="auto"/>
              </w:rPr>
            </w:pPr>
          </w:p>
        </w:tc>
        <w:tc>
          <w:tcPr>
            <w:tcW w:w="522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Thomas Looney</w:t>
            </w:r>
          </w:p>
        </w:tc>
        <w:tc>
          <w:tcPr>
            <w:tcW w:w="1220" w:type="dxa"/>
            <w:vAlign w:val="bottom"/>
            <w:tcBorders>
              <w:bottom w:val="single" w:sz="8" w:color="C7CDE8"/>
            </w:tcBorders>
            <w:gridSpan w:val="2"/>
            <w:shd w:val="clear" w:color="auto" w:fill="C7CDE8"/>
          </w:tcPr>
          <w:p>
            <w:pPr>
              <w:jc w:val="center"/>
              <w:ind w:left="110"/>
              <w:spacing w:after="0"/>
              <w:rPr>
                <w:sz w:val="20"/>
                <w:szCs w:val="20"/>
                <w:color w:val="auto"/>
              </w:rPr>
            </w:pPr>
            <w:r>
              <w:rPr>
                <w:rFonts w:ascii="Times New Roman" w:cs="Times New Roman" w:eastAsia="Times New Roman" w:hAnsi="Times New Roman"/>
                <w:sz w:val="18"/>
                <w:szCs w:val="18"/>
                <w:color w:val="auto"/>
                <w:w w:val="99"/>
              </w:rPr>
              <w:t>160,000</w:t>
            </w:r>
          </w:p>
        </w:tc>
        <w:tc>
          <w:tcPr>
            <w:tcW w:w="104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w w:val="99"/>
              </w:rPr>
              <w:t>250,000</w:t>
            </w:r>
          </w:p>
        </w:tc>
        <w:tc>
          <w:tcPr>
            <w:tcW w:w="820" w:type="dxa"/>
            <w:vAlign w:val="bottom"/>
            <w:tcBorders>
              <w:bottom w:val="single" w:sz="8" w:color="C7CDE8"/>
            </w:tcBorders>
            <w:gridSpan w:val="2"/>
            <w:shd w:val="clear" w:color="auto" w:fill="C7CDE8"/>
          </w:tcPr>
          <w:p>
            <w:pPr>
              <w:jc w:val="center"/>
              <w:ind w:left="90"/>
              <w:spacing w:after="0"/>
              <w:rPr>
                <w:sz w:val="20"/>
                <w:szCs w:val="20"/>
                <w:color w:val="auto"/>
              </w:rPr>
            </w:pPr>
            <w:r>
              <w:rPr>
                <w:rFonts w:ascii="Times New Roman" w:cs="Times New Roman" w:eastAsia="Times New Roman" w:hAnsi="Times New Roman"/>
                <w:sz w:val="18"/>
                <w:szCs w:val="18"/>
                <w:color w:val="auto"/>
              </w:rPr>
              <w:t>410,000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Renah Persofsky</w:t>
            </w:r>
          </w:p>
        </w:tc>
        <w:tc>
          <w:tcPr>
            <w:tcW w:w="12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250,000</w:t>
            </w:r>
          </w:p>
        </w:tc>
        <w:tc>
          <w:tcPr>
            <w:tcW w:w="10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1640" w:hanging="348"/>
        <w:spacing w:after="0"/>
        <w:tabs>
          <w:tab w:leader="none" w:pos="1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includes FY 2024 RSU equity grants. Ms. Persofsky voluntarily waived her right to an annual RSU equity grant in respect of FY 2024.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3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Subject to Outstanding</w:t>
            </w: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as of May 31,</w:t>
            </w:r>
          </w:p>
        </w:tc>
        <w:tc>
          <w:tcPr>
            <w:tcW w:w="3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 as of May 31,</w:t>
            </w: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4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3760" w:type="dxa"/>
            <w:vAlign w:val="bottom"/>
            <w:gridSpan w:val="3"/>
          </w:tcPr>
          <w:p>
            <w:pPr>
              <w:jc w:val="center"/>
              <w:ind w:left="20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80" w:type="dxa"/>
            <w:vAlign w:val="bottom"/>
            <w:gridSpan w:val="2"/>
          </w:tcPr>
          <w:p>
            <w:pPr>
              <w:jc w:val="center"/>
              <w:ind w:lef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40" w:type="dxa"/>
            <w:vAlign w:val="bottom"/>
            <w:tcBorders>
              <w:right w:val="single" w:sz="8" w:color="C7CDE8"/>
            </w:tcBorders>
          </w:tcPr>
          <w:p>
            <w:pPr>
              <w:spacing w:after="0"/>
              <w:rPr>
                <w:sz w:val="22"/>
                <w:szCs w:val="22"/>
                <w:color w:val="auto"/>
              </w:rPr>
            </w:pPr>
          </w:p>
        </w:tc>
        <w:tc>
          <w:tcPr>
            <w:tcW w:w="276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Jodi Butts</w:t>
            </w:r>
          </w:p>
        </w:tc>
        <w:tc>
          <w:tcPr>
            <w:tcW w:w="178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1660" w:type="dxa"/>
            <w:vAlign w:val="bottom"/>
            <w:tcBorders>
              <w:bottom w:val="single" w:sz="8" w:color="C7CDE8"/>
            </w:tcBorders>
            <w:shd w:val="clear" w:color="auto" w:fill="C7CDE8"/>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7CDE8"/>
            </w:tcBorders>
            <w:gridSpan w:val="2"/>
            <w:shd w:val="clear" w:color="auto" w:fill="C7CDE8"/>
          </w:tcPr>
          <w:p>
            <w:pPr>
              <w:jc w:val="right"/>
              <w:ind w:right="348"/>
              <w:spacing w:after="0"/>
              <w:rPr>
                <w:sz w:val="20"/>
                <w:szCs w:val="20"/>
                <w:color w:val="auto"/>
              </w:rPr>
            </w:pPr>
            <w:r>
              <w:rPr>
                <w:rFonts w:ascii="Times New Roman" w:cs="Times New Roman" w:eastAsia="Times New Roman" w:hAnsi="Times New Roman"/>
                <w:sz w:val="18"/>
                <w:szCs w:val="18"/>
                <w:color w:val="auto"/>
              </w:rPr>
              <w:t>166,668</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F. Clanachan</w:t>
            </w: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133,392</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340" w:type="dxa"/>
            <w:vAlign w:val="bottom"/>
            <w:tcBorders>
              <w:right w:val="single" w:sz="8" w:color="C7CDE8"/>
            </w:tcBorders>
          </w:tcPr>
          <w:p>
            <w:pPr>
              <w:spacing w:after="0"/>
              <w:rPr>
                <w:sz w:val="22"/>
                <w:szCs w:val="22"/>
                <w:color w:val="auto"/>
              </w:rPr>
            </w:pPr>
          </w:p>
        </w:tc>
        <w:tc>
          <w:tcPr>
            <w:tcW w:w="276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John M. Herhalt</w:t>
            </w:r>
          </w:p>
        </w:tc>
        <w:tc>
          <w:tcPr>
            <w:tcW w:w="178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1660" w:type="dxa"/>
            <w:vAlign w:val="bottom"/>
            <w:tcBorders>
              <w:bottom w:val="single" w:sz="8" w:color="C7CDE8"/>
            </w:tcBorders>
            <w:shd w:val="clear" w:color="auto" w:fill="C7CDE8"/>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7CDE8"/>
            </w:tcBorders>
            <w:gridSpan w:val="2"/>
            <w:shd w:val="clear" w:color="auto" w:fill="C7CDE8"/>
          </w:tcPr>
          <w:p>
            <w:pPr>
              <w:jc w:val="right"/>
              <w:ind w:right="348"/>
              <w:spacing w:after="0"/>
              <w:rPr>
                <w:sz w:val="20"/>
                <w:szCs w:val="20"/>
                <w:color w:val="auto"/>
              </w:rPr>
            </w:pPr>
            <w:r>
              <w:rPr>
                <w:rFonts w:ascii="Times New Roman" w:cs="Times New Roman" w:eastAsia="Times New Roman" w:hAnsi="Times New Roman"/>
                <w:sz w:val="18"/>
                <w:szCs w:val="18"/>
                <w:color w:val="auto"/>
              </w:rPr>
              <w:t>178,581</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Hopkinson</w:t>
            </w:r>
          </w:p>
        </w:tc>
        <w:tc>
          <w:tcPr>
            <w:tcW w:w="1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176,143</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34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7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1340" w:type="dxa"/>
            <w:vAlign w:val="bottom"/>
            <w:tcBorders>
              <w:right w:val="single" w:sz="8" w:color="C7CDE8"/>
            </w:tcBorders>
          </w:tcPr>
          <w:p>
            <w:pPr>
              <w:spacing w:after="0"/>
              <w:rPr>
                <w:sz w:val="22"/>
                <w:szCs w:val="22"/>
                <w:color w:val="auto"/>
              </w:rPr>
            </w:pPr>
          </w:p>
        </w:tc>
        <w:tc>
          <w:tcPr>
            <w:tcW w:w="276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Thomas Looney</w:t>
            </w:r>
          </w:p>
        </w:tc>
        <w:tc>
          <w:tcPr>
            <w:tcW w:w="178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1660" w:type="dxa"/>
            <w:vAlign w:val="bottom"/>
            <w:tcBorders>
              <w:bottom w:val="single" w:sz="8" w:color="C7CDE8"/>
            </w:tcBorders>
            <w:shd w:val="clear" w:color="auto" w:fill="C7CDE8"/>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7CDE8"/>
            </w:tcBorders>
            <w:gridSpan w:val="2"/>
            <w:shd w:val="clear" w:color="auto" w:fill="C7CDE8"/>
          </w:tcPr>
          <w:p>
            <w:pPr>
              <w:jc w:val="right"/>
              <w:ind w:right="348"/>
              <w:spacing w:after="0"/>
              <w:rPr>
                <w:sz w:val="20"/>
                <w:szCs w:val="20"/>
                <w:color w:val="auto"/>
              </w:rPr>
            </w:pPr>
            <w:r>
              <w:rPr>
                <w:rFonts w:ascii="Times New Roman" w:cs="Times New Roman" w:eastAsia="Times New Roman" w:hAnsi="Times New Roman"/>
                <w:sz w:val="18"/>
                <w:szCs w:val="18"/>
                <w:color w:val="auto"/>
              </w:rPr>
              <w:t>178,581</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Renah Persofsky</w:t>
            </w:r>
          </w:p>
        </w:tc>
        <w:tc>
          <w:tcPr>
            <w:tcW w:w="3760" w:type="dxa"/>
            <w:vAlign w:val="bottom"/>
            <w:gridSpan w:val="3"/>
          </w:tcPr>
          <w:p>
            <w:pPr>
              <w:jc w:val="right"/>
              <w:ind w:right="477"/>
              <w:spacing w:after="0"/>
              <w:rPr>
                <w:sz w:val="20"/>
                <w:szCs w:val="20"/>
                <w:color w:val="auto"/>
              </w:rPr>
            </w:pPr>
            <w:r>
              <w:rPr>
                <w:rFonts w:ascii="Times New Roman" w:cs="Times New Roman" w:eastAsia="Times New Roman" w:hAnsi="Times New Roman"/>
                <w:sz w:val="18"/>
                <w:szCs w:val="18"/>
                <w:color w:val="auto"/>
              </w:rPr>
              <w:t>30,710</w:t>
            </w:r>
          </w:p>
        </w:tc>
        <w:tc>
          <w:tcPr>
            <w:tcW w:w="178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63,386</w:t>
            </w: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4"/>
        </w:trPr>
        <w:tc>
          <w:tcPr>
            <w:tcW w:w="13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7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25" w:name="page26"/>
    <w:bookmarkEnd w:id="25"/>
    <w:p>
      <w:pPr>
        <w:ind w:left="300" w:right="2519" w:firstLine="2221"/>
        <w:spacing w:after="0" w:line="438" w:lineRule="auto"/>
        <w:rPr>
          <w:sz w:val="20"/>
          <w:szCs w:val="20"/>
          <w:color w:val="auto"/>
        </w:rPr>
      </w:pPr>
      <w:r>
        <w:rPr>
          <w:rFonts w:ascii="Arial" w:cs="Arial" w:eastAsia="Arial" w:hAnsi="Arial"/>
          <w:sz w:val="18"/>
          <w:szCs w:val="18"/>
          <w:b w:val="1"/>
          <w:bCs w:val="1"/>
          <w:color w:val="00489A"/>
        </w:rPr>
        <w:t>CERTAIN BENEFICIAL OWNERSHIP MATTERS Security Ownership of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-64770</wp:posOffset>
            </wp:positionV>
            <wp:extent cx="5349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capital stock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14, 2024, by:</w:t>
      </w:r>
    </w:p>
    <w:p>
      <w:pPr>
        <w:spacing w:after="0" w:line="99" w:lineRule="exact"/>
        <w:rPr>
          <w:sz w:val="20"/>
          <w:szCs w:val="20"/>
          <w:color w:val="auto"/>
        </w:rPr>
      </w:pPr>
    </w:p>
    <w:p>
      <w:pPr>
        <w:ind w:left="1000" w:right="99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117"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percentage of shares beneficially owned shown in the table is based on shares of Common Stock outstanding as of September 14, 2024.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14, 2024 or restricted stock units that will vest within 60 days of September 14, 2024.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w:t>
      </w:r>
    </w:p>
    <w:p>
      <w:pPr>
        <w:spacing w:after="0" w:line="82"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Tilray Brands, Inc., 265 Talbot Street West, Leamington, Ontario N8H 4H3, Canada.</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9"/>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6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6020" w:type="dxa"/>
            <w:vAlign w:val="bottom"/>
            <w:tcBorders>
              <w:bottom w:val="single" w:sz="8" w:color="C7CDE8"/>
            </w:tcBorders>
            <w:gridSpan w:val="2"/>
            <w:shd w:val="clear" w:color="auto" w:fill="C7CDE8"/>
          </w:tcPr>
          <w:p>
            <w:pPr>
              <w:ind w:left="4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40" w:type="dxa"/>
            <w:vAlign w:val="bottom"/>
            <w:tcBorders>
              <w:bottom w:val="single" w:sz="8" w:color="C7CDE8"/>
            </w:tcBorders>
            <w:shd w:val="clear" w:color="auto" w:fill="C7CDE8"/>
          </w:tcPr>
          <w:p>
            <w:pPr>
              <w:spacing w:after="0"/>
              <w:rPr>
                <w:sz w:val="22"/>
                <w:szCs w:val="22"/>
                <w:color w:val="auto"/>
              </w:rPr>
            </w:pPr>
          </w:p>
        </w:tc>
        <w:tc>
          <w:tcPr>
            <w:tcW w:w="20" w:type="dxa"/>
            <w:vAlign w:val="bottom"/>
            <w:tcBorders>
              <w:bottom w:val="single" w:sz="8" w:color="C7CDE8"/>
            </w:tcBorders>
            <w:shd w:val="clear" w:color="auto" w:fill="C7CDE8"/>
          </w:tcPr>
          <w:p>
            <w:pPr>
              <w:spacing w:after="0"/>
              <w:rPr>
                <w:sz w:val="22"/>
                <w:szCs w:val="22"/>
                <w:color w:val="auto"/>
              </w:rPr>
            </w:pPr>
          </w:p>
        </w:tc>
        <w:tc>
          <w:tcPr>
            <w:tcW w:w="900" w:type="dxa"/>
            <w:vAlign w:val="bottom"/>
            <w:tcBorders>
              <w:bottom w:val="single" w:sz="8" w:color="C7CDE8"/>
            </w:tcBorders>
            <w:gridSpan w:val="3"/>
            <w:shd w:val="clear" w:color="auto" w:fill="C7CDE8"/>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640" w:type="dxa"/>
            <w:vAlign w:val="bottom"/>
            <w:tcBorders>
              <w:bottom w:val="single" w:sz="8" w:color="C7CDE8"/>
            </w:tcBorders>
            <w:gridSpan w:val="2"/>
            <w:shd w:val="clear" w:color="auto" w:fill="C7CDE8"/>
          </w:tcPr>
          <w:p>
            <w:pPr>
              <w:jc w:val="right"/>
              <w:ind w:right="280"/>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602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Irwin D. Simon</w:t>
            </w:r>
            <w:r>
              <w:rPr>
                <w:rFonts w:ascii="Times New Roman" w:cs="Times New Roman" w:eastAsia="Times New Roman" w:hAnsi="Times New Roman"/>
                <w:sz w:val="29"/>
                <w:szCs w:val="29"/>
                <w:color w:val="auto"/>
                <w:vertAlign w:val="superscript"/>
              </w:rPr>
              <w:t>(1)</w:t>
            </w:r>
          </w:p>
        </w:tc>
        <w:tc>
          <w:tcPr>
            <w:tcW w:w="96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3,246,484</w:t>
            </w:r>
          </w:p>
        </w:tc>
        <w:tc>
          <w:tcPr>
            <w:tcW w:w="20" w:type="dxa"/>
            <w:vAlign w:val="bottom"/>
            <w:shd w:val="clear" w:color="auto" w:fill="C7CDE8"/>
          </w:tcPr>
          <w:p>
            <w:pPr>
              <w:spacing w:after="0"/>
              <w:rPr>
                <w:sz w:val="24"/>
                <w:szCs w:val="24"/>
                <w:color w:val="auto"/>
              </w:rPr>
            </w:pPr>
          </w:p>
        </w:tc>
        <w:tc>
          <w:tcPr>
            <w:tcW w:w="180" w:type="dxa"/>
            <w:vAlign w:val="bottom"/>
            <w:shd w:val="clear" w:color="auto" w:fill="C7CDE8"/>
          </w:tcPr>
          <w:p>
            <w:pPr>
              <w:spacing w:after="0"/>
              <w:rPr>
                <w:sz w:val="24"/>
                <w:szCs w:val="24"/>
                <w:color w:val="auto"/>
              </w:rPr>
            </w:pPr>
          </w:p>
        </w:tc>
        <w:tc>
          <w:tcPr>
            <w:tcW w:w="1120" w:type="dxa"/>
            <w:vAlign w:val="bottom"/>
            <w:gridSpan w:val="4"/>
            <w:shd w:val="clear" w:color="auto" w:fill="C7CD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gridSpan w:val="2"/>
          </w:tcPr>
          <w:p>
            <w:pPr>
              <w:ind w:left="40"/>
              <w:spacing w:after="0" w:line="324" w:lineRule="exact"/>
              <w:rPr>
                <w:sz w:val="20"/>
                <w:szCs w:val="20"/>
                <w:color w:val="auto"/>
              </w:rPr>
            </w:pPr>
            <w:r>
              <w:rPr>
                <w:rFonts w:ascii="Times New Roman" w:cs="Times New Roman" w:eastAsia="Times New Roman" w:hAnsi="Times New Roman"/>
                <w:sz w:val="18"/>
                <w:szCs w:val="18"/>
                <w:color w:val="auto"/>
              </w:rPr>
              <w:t>Renah Persofsky</w:t>
            </w:r>
            <w:r>
              <w:rPr>
                <w:rFonts w:ascii="Times New Roman" w:cs="Times New Roman" w:eastAsia="Times New Roman" w:hAnsi="Times New Roman"/>
                <w:sz w:val="29"/>
                <w:szCs w:val="29"/>
                <w:color w:val="auto"/>
                <w:vertAlign w:val="superscript"/>
              </w:rPr>
              <w:t>(2)</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153,628</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Jodi Butts</w:t>
            </w:r>
            <w:r>
              <w:rPr>
                <w:rFonts w:ascii="Times New Roman" w:cs="Times New Roman" w:eastAsia="Times New Roman" w:hAnsi="Times New Roman"/>
                <w:sz w:val="29"/>
                <w:szCs w:val="29"/>
                <w:color w:val="auto"/>
                <w:vertAlign w:val="superscript"/>
              </w:rPr>
              <w:t>(3)</w:t>
            </w:r>
          </w:p>
        </w:tc>
        <w:tc>
          <w:tcPr>
            <w:tcW w:w="1160" w:type="dxa"/>
            <w:vAlign w:val="bottom"/>
            <w:gridSpan w:val="5"/>
            <w:shd w:val="clear" w:color="auto" w:fill="C7CDE8"/>
          </w:tcPr>
          <w:p>
            <w:pPr>
              <w:jc w:val="right"/>
              <w:ind w:right="180"/>
              <w:spacing w:after="0"/>
              <w:rPr>
                <w:sz w:val="20"/>
                <w:szCs w:val="20"/>
                <w:color w:val="auto"/>
              </w:rPr>
            </w:pPr>
            <w:r>
              <w:rPr>
                <w:rFonts w:ascii="Times New Roman" w:cs="Times New Roman" w:eastAsia="Times New Roman" w:hAnsi="Times New Roman"/>
                <w:sz w:val="18"/>
                <w:szCs w:val="18"/>
                <w:color w:val="auto"/>
              </w:rPr>
              <w:t>145,778</w:t>
            </w:r>
          </w:p>
        </w:tc>
        <w:tc>
          <w:tcPr>
            <w:tcW w:w="1120" w:type="dxa"/>
            <w:vAlign w:val="bottom"/>
            <w:gridSpan w:val="4"/>
            <w:shd w:val="clear" w:color="auto" w:fill="C7CD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gridSpan w:val="2"/>
          </w:tcPr>
          <w:p>
            <w:pPr>
              <w:ind w:left="40"/>
              <w:spacing w:after="0" w:line="324" w:lineRule="exact"/>
              <w:rPr>
                <w:sz w:val="20"/>
                <w:szCs w:val="20"/>
                <w:color w:val="auto"/>
              </w:rPr>
            </w:pPr>
            <w:r>
              <w:rPr>
                <w:rFonts w:ascii="Times New Roman" w:cs="Times New Roman" w:eastAsia="Times New Roman" w:hAnsi="Times New Roman"/>
                <w:sz w:val="18"/>
                <w:szCs w:val="18"/>
                <w:color w:val="auto"/>
              </w:rPr>
              <w:t>David Clanachan</w:t>
            </w:r>
            <w:r>
              <w:rPr>
                <w:rFonts w:ascii="Times New Roman" w:cs="Times New Roman" w:eastAsia="Times New Roman" w:hAnsi="Times New Roman"/>
                <w:sz w:val="29"/>
                <w:szCs w:val="29"/>
                <w:color w:val="auto"/>
                <w:vertAlign w:val="superscript"/>
              </w:rPr>
              <w:t>(4)</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112,502</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John M. Herhalt</w:t>
            </w:r>
            <w:r>
              <w:rPr>
                <w:rFonts w:ascii="Times New Roman" w:cs="Times New Roman" w:eastAsia="Times New Roman" w:hAnsi="Times New Roman"/>
                <w:sz w:val="29"/>
                <w:szCs w:val="29"/>
                <w:color w:val="auto"/>
                <w:vertAlign w:val="superscript"/>
              </w:rPr>
              <w:t>(5)</w:t>
            </w:r>
          </w:p>
        </w:tc>
        <w:tc>
          <w:tcPr>
            <w:tcW w:w="1160" w:type="dxa"/>
            <w:vAlign w:val="bottom"/>
            <w:gridSpan w:val="5"/>
            <w:shd w:val="clear" w:color="auto" w:fill="C7CDE8"/>
          </w:tcPr>
          <w:p>
            <w:pPr>
              <w:jc w:val="right"/>
              <w:ind w:right="180"/>
              <w:spacing w:after="0"/>
              <w:rPr>
                <w:sz w:val="20"/>
                <w:szCs w:val="20"/>
                <w:color w:val="auto"/>
              </w:rPr>
            </w:pPr>
            <w:r>
              <w:rPr>
                <w:rFonts w:ascii="Times New Roman" w:cs="Times New Roman" w:eastAsia="Times New Roman" w:hAnsi="Times New Roman"/>
                <w:sz w:val="18"/>
                <w:szCs w:val="18"/>
                <w:color w:val="auto"/>
              </w:rPr>
              <w:t>160,741</w:t>
            </w:r>
          </w:p>
        </w:tc>
        <w:tc>
          <w:tcPr>
            <w:tcW w:w="1120" w:type="dxa"/>
            <w:vAlign w:val="bottom"/>
            <w:gridSpan w:val="4"/>
            <w:shd w:val="clear" w:color="auto" w:fill="C7CD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gridSpan w:val="2"/>
          </w:tcPr>
          <w:p>
            <w:pPr>
              <w:ind w:left="40"/>
              <w:spacing w:after="0" w:line="324" w:lineRule="exact"/>
              <w:rPr>
                <w:sz w:val="20"/>
                <w:szCs w:val="20"/>
                <w:color w:val="auto"/>
              </w:rPr>
            </w:pPr>
            <w:r>
              <w:rPr>
                <w:rFonts w:ascii="Times New Roman" w:cs="Times New Roman" w:eastAsia="Times New Roman" w:hAnsi="Times New Roman"/>
                <w:sz w:val="18"/>
                <w:szCs w:val="18"/>
                <w:color w:val="auto"/>
              </w:rPr>
              <w:t>David Hopkinson</w:t>
            </w:r>
            <w:r>
              <w:rPr>
                <w:rFonts w:ascii="Times New Roman" w:cs="Times New Roman" w:eastAsia="Times New Roman" w:hAnsi="Times New Roman"/>
                <w:sz w:val="29"/>
                <w:szCs w:val="29"/>
                <w:color w:val="auto"/>
                <w:vertAlign w:val="superscript"/>
              </w:rPr>
              <w:t>(6)</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253,936</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Tom Looney</w:t>
            </w:r>
            <w:r>
              <w:rPr>
                <w:rFonts w:ascii="Times New Roman" w:cs="Times New Roman" w:eastAsia="Times New Roman" w:hAnsi="Times New Roman"/>
                <w:sz w:val="29"/>
                <w:szCs w:val="29"/>
                <w:color w:val="auto"/>
                <w:vertAlign w:val="superscript"/>
              </w:rPr>
              <w:t>(7)</w:t>
            </w:r>
          </w:p>
        </w:tc>
        <w:tc>
          <w:tcPr>
            <w:tcW w:w="1160" w:type="dxa"/>
            <w:vAlign w:val="bottom"/>
            <w:gridSpan w:val="5"/>
            <w:shd w:val="clear" w:color="auto" w:fill="C7CDE8"/>
          </w:tcPr>
          <w:p>
            <w:pPr>
              <w:jc w:val="right"/>
              <w:ind w:right="180"/>
              <w:spacing w:after="0"/>
              <w:rPr>
                <w:sz w:val="20"/>
                <w:szCs w:val="20"/>
                <w:color w:val="auto"/>
              </w:rPr>
            </w:pPr>
            <w:r>
              <w:rPr>
                <w:rFonts w:ascii="Times New Roman" w:cs="Times New Roman" w:eastAsia="Times New Roman" w:hAnsi="Times New Roman"/>
                <w:sz w:val="18"/>
                <w:szCs w:val="18"/>
                <w:color w:val="auto"/>
              </w:rPr>
              <w:t>275,227</w:t>
            </w:r>
          </w:p>
        </w:tc>
        <w:tc>
          <w:tcPr>
            <w:tcW w:w="1120" w:type="dxa"/>
            <w:vAlign w:val="bottom"/>
            <w:gridSpan w:val="4"/>
            <w:shd w:val="clear" w:color="auto" w:fill="C7CD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gridSpan w:val="2"/>
          </w:tcPr>
          <w:p>
            <w:pPr>
              <w:ind w:left="40"/>
              <w:spacing w:after="0" w:line="324" w:lineRule="exact"/>
              <w:rPr>
                <w:sz w:val="20"/>
                <w:szCs w:val="20"/>
                <w:color w:val="auto"/>
              </w:rPr>
            </w:pPr>
            <w:r>
              <w:rPr>
                <w:rFonts w:ascii="Times New Roman" w:cs="Times New Roman" w:eastAsia="Times New Roman" w:hAnsi="Times New Roman"/>
                <w:sz w:val="18"/>
                <w:szCs w:val="18"/>
                <w:color w:val="auto"/>
              </w:rPr>
              <w:t>Carl Merton</w:t>
            </w:r>
            <w:r>
              <w:rPr>
                <w:rFonts w:ascii="Times New Roman" w:cs="Times New Roman" w:eastAsia="Times New Roman" w:hAnsi="Times New Roman"/>
                <w:sz w:val="29"/>
                <w:szCs w:val="29"/>
                <w:color w:val="auto"/>
                <w:vertAlign w:val="superscript"/>
              </w:rPr>
              <w:t>(8)</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699,065</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Denise Faltischek</w:t>
            </w:r>
            <w:r>
              <w:rPr>
                <w:rFonts w:ascii="Times New Roman" w:cs="Times New Roman" w:eastAsia="Times New Roman" w:hAnsi="Times New Roman"/>
                <w:sz w:val="29"/>
                <w:szCs w:val="29"/>
                <w:color w:val="auto"/>
                <w:vertAlign w:val="superscript"/>
              </w:rPr>
              <w:t>(9)</w:t>
            </w:r>
          </w:p>
        </w:tc>
        <w:tc>
          <w:tcPr>
            <w:tcW w:w="1160" w:type="dxa"/>
            <w:vAlign w:val="bottom"/>
            <w:gridSpan w:val="5"/>
            <w:shd w:val="clear" w:color="auto" w:fill="C7CDE8"/>
          </w:tcPr>
          <w:p>
            <w:pPr>
              <w:jc w:val="right"/>
              <w:ind w:right="180"/>
              <w:spacing w:after="0"/>
              <w:rPr>
                <w:sz w:val="20"/>
                <w:szCs w:val="20"/>
                <w:color w:val="auto"/>
              </w:rPr>
            </w:pPr>
            <w:r>
              <w:rPr>
                <w:rFonts w:ascii="Times New Roman" w:cs="Times New Roman" w:eastAsia="Times New Roman" w:hAnsi="Times New Roman"/>
                <w:sz w:val="18"/>
                <w:szCs w:val="18"/>
                <w:color w:val="auto"/>
              </w:rPr>
              <w:t>784,693</w:t>
            </w:r>
          </w:p>
        </w:tc>
        <w:tc>
          <w:tcPr>
            <w:tcW w:w="1120" w:type="dxa"/>
            <w:vAlign w:val="bottom"/>
            <w:gridSpan w:val="4"/>
            <w:shd w:val="clear" w:color="auto" w:fill="C7CDE8"/>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020" w:type="dxa"/>
            <w:vAlign w:val="bottom"/>
            <w:gridSpan w:val="2"/>
          </w:tcPr>
          <w:p>
            <w:pPr>
              <w:ind w:left="40"/>
              <w:spacing w:after="0" w:line="324" w:lineRule="exact"/>
              <w:rPr>
                <w:sz w:val="20"/>
                <w:szCs w:val="20"/>
                <w:color w:val="auto"/>
              </w:rPr>
            </w:pPr>
            <w:r>
              <w:rPr>
                <w:rFonts w:ascii="Times New Roman" w:cs="Times New Roman" w:eastAsia="Times New Roman" w:hAnsi="Times New Roman"/>
                <w:sz w:val="18"/>
                <w:szCs w:val="18"/>
                <w:color w:val="auto"/>
              </w:rPr>
              <w:t>Mitchell Gendel</w:t>
            </w:r>
            <w:r>
              <w:rPr>
                <w:rFonts w:ascii="Times New Roman" w:cs="Times New Roman" w:eastAsia="Times New Roman" w:hAnsi="Times New Roman"/>
                <w:sz w:val="29"/>
                <w:szCs w:val="29"/>
                <w:color w:val="auto"/>
                <w:vertAlign w:val="superscript"/>
              </w:rPr>
              <w:t>(10)</w:t>
            </w:r>
          </w:p>
        </w:tc>
        <w:tc>
          <w:tcPr>
            <w:tcW w:w="11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420,268</w:t>
            </w:r>
          </w:p>
        </w:tc>
        <w:tc>
          <w:tcPr>
            <w:tcW w:w="11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shd w:val="clear" w:color="auto" w:fill="C7CDE8"/>
          </w:tcPr>
          <w:p>
            <w:pPr>
              <w:spacing w:after="0"/>
              <w:rPr>
                <w:sz w:val="24"/>
                <w:szCs w:val="24"/>
                <w:color w:val="auto"/>
              </w:rPr>
            </w:pPr>
          </w:p>
        </w:tc>
        <w:tc>
          <w:tcPr>
            <w:tcW w:w="6020" w:type="dxa"/>
            <w:vAlign w:val="bottom"/>
            <w:gridSpan w:val="2"/>
            <w:shd w:val="clear" w:color="auto" w:fill="C7CDE8"/>
          </w:tcPr>
          <w:p>
            <w:pPr>
              <w:ind w:left="40"/>
              <w:spacing w:after="0" w:line="324" w:lineRule="exact"/>
              <w:rPr>
                <w:sz w:val="20"/>
                <w:szCs w:val="20"/>
                <w:color w:val="auto"/>
              </w:rPr>
            </w:pPr>
            <w:r>
              <w:rPr>
                <w:rFonts w:ascii="Times New Roman" w:cs="Times New Roman" w:eastAsia="Times New Roman" w:hAnsi="Times New Roman"/>
                <w:sz w:val="18"/>
                <w:szCs w:val="18"/>
                <w:color w:val="auto"/>
              </w:rPr>
              <w:t>Roger Savell</w:t>
            </w:r>
            <w:r>
              <w:rPr>
                <w:rFonts w:ascii="Times New Roman" w:cs="Times New Roman" w:eastAsia="Times New Roman" w:hAnsi="Times New Roman"/>
                <w:sz w:val="29"/>
                <w:szCs w:val="29"/>
                <w:color w:val="auto"/>
                <w:vertAlign w:val="superscript"/>
              </w:rPr>
              <w:t>(11)</w:t>
            </w:r>
          </w:p>
        </w:tc>
        <w:tc>
          <w:tcPr>
            <w:tcW w:w="1160" w:type="dxa"/>
            <w:vAlign w:val="bottom"/>
            <w:gridSpan w:val="5"/>
            <w:shd w:val="clear" w:color="auto" w:fill="C7CDE8"/>
          </w:tcPr>
          <w:p>
            <w:pPr>
              <w:jc w:val="right"/>
              <w:ind w:right="180"/>
              <w:spacing w:after="0"/>
              <w:rPr>
                <w:sz w:val="20"/>
                <w:szCs w:val="20"/>
                <w:color w:val="auto"/>
              </w:rPr>
            </w:pPr>
            <w:r>
              <w:rPr>
                <w:rFonts w:ascii="Times New Roman" w:cs="Times New Roman" w:eastAsia="Times New Roman" w:hAnsi="Times New Roman"/>
                <w:sz w:val="18"/>
                <w:szCs w:val="18"/>
                <w:color w:val="auto"/>
              </w:rPr>
              <w:t>326,839</w:t>
            </w:r>
          </w:p>
        </w:tc>
        <w:tc>
          <w:tcPr>
            <w:tcW w:w="800" w:type="dxa"/>
            <w:vAlign w:val="bottom"/>
            <w:gridSpan w:val="3"/>
            <w:shd w:val="clear" w:color="auto" w:fill="C7CDE8"/>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7CDE8"/>
          </w:tcPr>
          <w:p>
            <w:pPr>
              <w:spacing w:after="0"/>
              <w:rPr>
                <w:sz w:val="24"/>
                <w:szCs w:val="24"/>
                <w:color w:val="auto"/>
              </w:rPr>
            </w:pP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(11 individuals)</w:t>
            </w: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60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6,579,161</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one percent of the outstanding Common Stock.</w:t>
      </w:r>
    </w:p>
    <w:p>
      <w:pPr>
        <w:spacing w:after="0" w:line="42" w:lineRule="exact"/>
        <w:rPr>
          <w:sz w:val="20"/>
          <w:szCs w:val="20"/>
          <w:color w:val="auto"/>
        </w:rPr>
      </w:pP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3,246,484 shares of Common Stock held directly by Mr. Simon.</w:t>
      </w:r>
    </w:p>
    <w:p>
      <w:pPr>
        <w:spacing w:after="0" w:line="41" w:lineRule="exact"/>
        <w:rPr>
          <w:rFonts w:ascii="Times New Roman" w:cs="Times New Roman" w:eastAsia="Times New Roman" w:hAnsi="Times New Roman"/>
          <w:sz w:val="14"/>
          <w:szCs w:val="14"/>
          <w:color w:val="auto"/>
        </w:rPr>
      </w:pPr>
    </w:p>
    <w:p>
      <w:pPr>
        <w:ind w:left="640" w:right="359"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63,390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640" w:right="4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112,502 shares of Common Stock held directly by Ms. Butts, and (b) 33,276 restricted (deferred) stock units that have fully vested, which will convert into an equivalent number of shares of Common Stock when Ms. Butts ceases to serve as a director of the Company.</w:t>
      </w:r>
    </w:p>
    <w:p>
      <w:pPr>
        <w:spacing w:after="0" w:line="13"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112,502 shares of Common Stock held directly by Mr. Clanachan.</w:t>
      </w:r>
    </w:p>
    <w:p>
      <w:pPr>
        <w:spacing w:after="0" w:line="41"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115,552 shares of Common Stock held directly by Mr. Herhalt, and (b) 45,189 restricted (deferred) stock units that have fully vested, which will convert into an equivalent number of shares of Common Stock when Mr. Herhalt ceases to serve as a director of the Company.</w:t>
      </w:r>
    </w:p>
    <w:p>
      <w:pPr>
        <w:spacing w:after="0" w:line="14"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211,185 shares of Common Stock held directly by Mr. Hopkinson and (b) 42,751 restricted (deferred) stock units that have fully vested, which will convert into an equivalent number of shares of Common Stock when Mr. Hopkinson ceases to serve as a director of the Company.</w:t>
      </w:r>
    </w:p>
    <w:p>
      <w:pPr>
        <w:spacing w:after="0" w:line="14" w:lineRule="exact"/>
        <w:rPr>
          <w:rFonts w:ascii="Times New Roman" w:cs="Times New Roman" w:eastAsia="Times New Roman" w:hAnsi="Times New Roman"/>
          <w:sz w:val="14"/>
          <w:szCs w:val="14"/>
          <w:color w:val="auto"/>
        </w:rPr>
      </w:pPr>
    </w:p>
    <w:p>
      <w:pPr>
        <w:ind w:left="640" w:right="299" w:hanging="348"/>
        <w:spacing w:after="0" w:line="24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230,038 shares of Common Stock held directly by Mr. Looney, and (b) 45,189 restricted (deferred) stock units that have fully vested, which will convert into an equivalent number of shares of Common Stock when Mr. Looney ceases to serve as a director of the Company.</w:t>
      </w:r>
    </w:p>
    <w:p>
      <w:pPr>
        <w:spacing w:after="0" w:line="14" w:lineRule="exact"/>
        <w:rPr>
          <w:rFonts w:ascii="Times New Roman" w:cs="Times New Roman" w:eastAsia="Times New Roman" w:hAnsi="Times New Roman"/>
          <w:sz w:val="14"/>
          <w:szCs w:val="14"/>
          <w:color w:val="auto"/>
        </w:rPr>
      </w:pPr>
    </w:p>
    <w:p>
      <w:pPr>
        <w:ind w:left="640" w:right="579" w:hanging="348"/>
        <w:spacing w:after="0" w:line="23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660,055 shares of Common Stock held directly by Mr. Merton, (b) 20,750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w:t>
      </w:r>
    </w:p>
    <w:p>
      <w:pPr>
        <w:spacing w:after="0" w:line="14"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535,693 shares of Common Stock held directly by Ms. Faltischek and (b) 249,000 shares of Common Stock that are issuable upon the exercise of options held directly by Ms. Faltischek that have fully vested.</w:t>
      </w: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420,268 shares of Common Stock held directly by Mr. Gendel.</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326,839 shares of Common Stock held directly by Mr. Savell.</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111"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2024. In making this statement, we have relied upon the written representations of our directors and executive officers and copies of reports that have been filed with the SEC.</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00489A"/>
        </w:rPr>
        <w:t>COMPENSATION DISCUSSION &amp; ANALYSIS</w:t>
      </w:r>
    </w:p>
    <w:p>
      <w:pPr>
        <w:spacing w:after="0" w:line="99" w:lineRule="exact"/>
        <w:rPr>
          <w:sz w:val="20"/>
          <w:szCs w:val="20"/>
          <w:color w:val="auto"/>
        </w:rPr>
      </w:pPr>
    </w:p>
    <w:p>
      <w:pPr>
        <w:ind w:left="300" w:right="359" w:firstLine="360"/>
        <w:spacing w:after="0" w:line="259" w:lineRule="auto"/>
        <w:rPr>
          <w:sz w:val="20"/>
          <w:szCs w:val="20"/>
          <w:color w:val="auto"/>
        </w:rPr>
      </w:pPr>
      <w:r>
        <w:rPr>
          <w:rFonts w:ascii="Times New Roman" w:cs="Times New Roman" w:eastAsia="Times New Roman" w:hAnsi="Times New Roman"/>
          <w:sz w:val="18"/>
          <w:szCs w:val="18"/>
          <w:color w:val="auto"/>
        </w:rPr>
        <w:t>This compensation discussion and analysis (“</w:t>
      </w:r>
      <w:r>
        <w:rPr>
          <w:rFonts w:ascii="Times New Roman" w:cs="Times New Roman" w:eastAsia="Times New Roman" w:hAnsi="Times New Roman"/>
          <w:sz w:val="18"/>
          <w:szCs w:val="18"/>
          <w:b w:val="1"/>
          <w:bCs w:val="1"/>
          <w:i w:val="1"/>
          <w:iCs w:val="1"/>
          <w:color w:val="auto"/>
        </w:rPr>
        <w:t>CD&amp;A</w:t>
      </w:r>
      <w:r>
        <w:rPr>
          <w:rFonts w:ascii="Times New Roman" w:cs="Times New Roman" w:eastAsia="Times New Roman" w:hAnsi="Times New Roman"/>
          <w:sz w:val="18"/>
          <w:szCs w:val="18"/>
          <w:color w:val="auto"/>
        </w:rPr>
        <w:t>”) describes our executive compensation philosophy and objectives and the decisions of the Compensation Committee from June 1, 2023, through May 31, 2024 (the “</w:t>
      </w:r>
      <w:r>
        <w:rPr>
          <w:rFonts w:ascii="Times New Roman" w:cs="Times New Roman" w:eastAsia="Times New Roman" w:hAnsi="Times New Roman"/>
          <w:sz w:val="18"/>
          <w:szCs w:val="18"/>
          <w:b w:val="1"/>
          <w:bCs w:val="1"/>
          <w:i w:val="1"/>
          <w:i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Year 2024</w:t>
      </w:r>
      <w:r>
        <w:rPr>
          <w:rFonts w:ascii="Times New Roman" w:cs="Times New Roman" w:eastAsia="Times New Roman" w:hAnsi="Times New Roman"/>
          <w:sz w:val="18"/>
          <w:szCs w:val="18"/>
          <w:color w:val="auto"/>
        </w:rPr>
        <w:t>”). The purpose of the CD&amp;A is to provide stockholders with an understanding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philosophy and objectives as well as an overview of the analysis that the Compensation Committee performed in setting Tilray’s executive compensation.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Executive Summary: Compensation Program and FY 2024 Awards</w:t>
      </w:r>
    </w:p>
    <w:p>
      <w:pPr>
        <w:spacing w:after="0" w:line="104"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of our Board has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w:t>
      </w:r>
    </w:p>
    <w:p>
      <w:pPr>
        <w:spacing w:after="0" w:line="7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Our compensation approach is tied to our key strategic initiatives. In particular, performance goals are set with the objectives of increasing our revenues and adjusted EBITDA; diversifying our revenue base with accretive and strategic acquisitions; strengthening the balance sheet through ongoing debt reductions; and advancing our product innovation and development. We have created a compensation program that combines short-term and long-term components, cash, equity, fixed compensation and performance-based contingent payments that we believe achieve the following four guiding principles:</w:t>
      </w:r>
    </w:p>
    <w:p>
      <w:pPr>
        <w:spacing w:after="0" w:line="79"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stockholder value by aligning the financial interests of our NEOs with those of our stockholders;</w:t>
      </w:r>
    </w:p>
    <w:p>
      <w:pPr>
        <w:spacing w:after="0" w:line="117" w:lineRule="exact"/>
        <w:rPr>
          <w:rFonts w:ascii="Times New Roman" w:cs="Times New Roman" w:eastAsia="Times New Roman" w:hAnsi="Times New Roman"/>
          <w:sz w:val="18"/>
          <w:szCs w:val="18"/>
          <w:color w:val="auto"/>
        </w:rPr>
      </w:pPr>
    </w:p>
    <w:p>
      <w:pPr>
        <w:ind w:left="1000" w:right="8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 us to attract, motivate and retain the people needed to support our long-term goal of being an industry leader;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compensation closely with the achievement of our business and performance objectives;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the individual performance that contributes to our short-term and long-term successes.</w:t>
      </w:r>
    </w:p>
    <w:p>
      <w:pPr>
        <w:spacing w:after="0" w:line="117" w:lineRule="exact"/>
        <w:rPr>
          <w:sz w:val="20"/>
          <w:szCs w:val="20"/>
          <w:color w:val="auto"/>
        </w:rPr>
      </w:pPr>
    </w:p>
    <w:p>
      <w:pPr>
        <w:ind w:left="300" w:right="459" w:firstLine="360"/>
        <w:spacing w:after="0" w:line="254" w:lineRule="auto"/>
        <w:rPr>
          <w:sz w:val="20"/>
          <w:szCs w:val="20"/>
          <w:color w:val="auto"/>
        </w:rPr>
      </w:pPr>
      <w:r>
        <w:rPr>
          <w:rFonts w:ascii="Times New Roman" w:cs="Times New Roman" w:eastAsia="Times New Roman" w:hAnsi="Times New Roman"/>
          <w:sz w:val="18"/>
          <w:szCs w:val="18"/>
          <w:color w:val="auto"/>
        </w:rPr>
        <w:t>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w:t>
      </w:r>
    </w:p>
    <w:p>
      <w:pPr>
        <w:spacing w:after="0" w:line="84"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Objectives of Fiscal Year 2024 Compensation Program</w:t>
      </w:r>
    </w:p>
    <w:p>
      <w:pPr>
        <w:spacing w:after="0" w:line="102"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program structure to attract, motivate and retain a highly qualified executive management team.</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executive compensation to key corporate objectives, including near-term product development and business development goals, as well as to define individual management objectives established by the Compensation Committee;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competitively with the practices of similarly staged companies;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management incentives designed to enhance stockholder value.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Partial Achievement of Fiscal Year 2024 Performance Targets; Transaction Bonus Payments</w:t>
      </w:r>
    </w:p>
    <w:p>
      <w:pPr>
        <w:spacing w:after="0" w:line="101" w:lineRule="exact"/>
        <w:rPr>
          <w:sz w:val="20"/>
          <w:szCs w:val="20"/>
          <w:color w:val="auto"/>
        </w:rPr>
      </w:pPr>
    </w:p>
    <w:p>
      <w:pPr>
        <w:ind w:left="1000" w:right="479" w:hanging="348"/>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identified, completed and integrated three (3) strategic acquisition targets, including HEXO Corp. in Canada (acquisition closed July 2023); eight (8) AB craft beverages in the U.S. (acquisition closed in October 2023); and Truss beverages in Canada (acquisition of controlling interest closed in September 2023 and subsequent sale closed in May 2024). Management effectively consolidated and integrated each of these acquired businesses and exceeded all applicable cost-saving targets and facility optimization goals.</w:t>
      </w:r>
    </w:p>
    <w:p>
      <w:pPr>
        <w:spacing w:after="0" w:line="79"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a reduction of net leverage ratio at Fiscal Year-end 2024 equal to 1.73, significantly better than the applicable financial target of 2.50 net leverage ratio at Fiscal Year-end 2024.</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26% net revenue growth and net revenues of $789 million for Fiscal Year 2024, as compared to revenue target of $715 million. The applicable financial revenue target was not fully achieved if acquisitions were excluded from the applicable calculation.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13" w:lineRule="auto"/>
        <w:tabs>
          <w:tab w:leader="none" w:pos="1000" w:val="left"/>
        </w:tabs>
        <w:numPr>
          <w:ilvl w:val="0"/>
          <w:numId w:val="2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Fiscal Year 2024 was equal to $60.5 million, as compared to the adjusted EBITDA target of $65 million and investor guidance of $60–63 million. Therefore, despite improved adjusted EBITDA performance in 2024 as compared to Fiscal Year 2023, and despite achieving revised investor guidance, this performance target was determined not to be fully achieved.</w:t>
      </w:r>
    </w:p>
    <w:p>
      <w:pPr>
        <w:spacing w:after="0" w:line="90"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making incentive award determinations, the Committee also considered other impactful initiatives implemented by management, including operational improvements and improved facility utilization levels; expanded distribution opportunities; product innovations and improved production efficiencies; and successful resolution of litigation claims for significantly less than projected amounts. As a result of the Company’s partial achievement of the Company’s financial and operational targets, together with these other significant accomplishments, the Compensation Committee determined to pay annual cash bonus awards in an amount equal to 20-30% of the applicable bonus targets to the NEOs in respect of the Fiscal Year 2024.</w:t>
      </w:r>
    </w:p>
    <w:p>
      <w:pPr>
        <w:spacing w:after="0" w:line="8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annual bonus payments for partial achievement of financial performance targets in respect of Fiscal Year 2024, our NEOs received transaction bonus payments in August 2023 in recognition of their successful efforts in structuring and completing the acquisition of HEXO Corp., which closed in June 2023. This acquisition resulted in meaningful financial and operational benefits to Tilray. These HEXO transaction bonus payments are disclosed in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in respect of Fiscal Year 2024.</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Summary of Executive Compensation Philosophy and Objectives</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240" w:type="dxa"/>
            <w:vAlign w:val="bottom"/>
          </w:tcPr>
          <w:p>
            <w:pPr>
              <w:spacing w:after="0"/>
              <w:rPr>
                <w:sz w:val="16"/>
                <w:szCs w:val="16"/>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8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18"/>
        </w:trPr>
        <w:tc>
          <w:tcPr>
            <w:tcW w:w="40" w:type="dxa"/>
            <w:vAlign w:val="bottom"/>
            <w:shd w:val="clear" w:color="auto" w:fill="C7CDE8"/>
          </w:tcPr>
          <w:p>
            <w:pPr>
              <w:spacing w:after="0"/>
              <w:rPr>
                <w:sz w:val="18"/>
                <w:szCs w:val="18"/>
                <w:color w:val="auto"/>
              </w:rPr>
            </w:pPr>
          </w:p>
        </w:tc>
        <w:tc>
          <w:tcPr>
            <w:tcW w:w="320" w:type="dxa"/>
            <w:vAlign w:val="bottom"/>
            <w:shd w:val="clear" w:color="auto" w:fill="C7CDE8"/>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Pay for Performance – majority of</w:t>
            </w:r>
          </w:p>
        </w:tc>
        <w:tc>
          <w:tcPr>
            <w:tcW w:w="240" w:type="dxa"/>
            <w:vAlign w:val="bottom"/>
            <w:shd w:val="clear" w:color="auto" w:fill="C7CDE8"/>
          </w:tcPr>
          <w:p>
            <w:pPr>
              <w:spacing w:after="0"/>
              <w:rPr>
                <w:sz w:val="18"/>
                <w:szCs w:val="18"/>
                <w:color w:val="auto"/>
              </w:rPr>
            </w:pPr>
          </w:p>
        </w:tc>
        <w:tc>
          <w:tcPr>
            <w:tcW w:w="320" w:type="dxa"/>
            <w:vAlign w:val="bottom"/>
            <w:shd w:val="clear" w:color="auto" w:fill="C7CDE8"/>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Permit short sales by directors, officers or employees</w:t>
            </w:r>
          </w:p>
        </w:tc>
        <w:tc>
          <w:tcPr>
            <w:tcW w:w="80" w:type="dxa"/>
            <w:vAlign w:val="bottom"/>
            <w:shd w:val="clear" w:color="auto" w:fill="C7CDE8"/>
          </w:tcPr>
          <w:p>
            <w:pPr>
              <w:spacing w:after="0"/>
              <w:rPr>
                <w:sz w:val="18"/>
                <w:szCs w:val="18"/>
                <w:color w:val="auto"/>
              </w:rPr>
            </w:pPr>
          </w:p>
        </w:tc>
      </w:tr>
      <w:tr>
        <w:trPr>
          <w:trHeight w:val="255"/>
        </w:trPr>
        <w:tc>
          <w:tcPr>
            <w:tcW w:w="4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3380" w:type="dxa"/>
            <w:vAlign w:val="bottom"/>
            <w:tcBorders>
              <w:bottom w:val="single" w:sz="8" w:color="C7CDE8"/>
            </w:tcBorders>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compensation “at risk”</w:t>
            </w:r>
          </w:p>
        </w:tc>
        <w:tc>
          <w:tcPr>
            <w:tcW w:w="240" w:type="dxa"/>
            <w:vAlign w:val="bottom"/>
            <w:tcBorders>
              <w:bottom w:val="single" w:sz="8" w:color="C7CDE8"/>
            </w:tcBorders>
            <w:shd w:val="clear" w:color="auto" w:fill="C7CDE8"/>
          </w:tcPr>
          <w:p>
            <w:pPr>
              <w:spacing w:after="0"/>
              <w:rPr>
                <w:sz w:val="22"/>
                <w:szCs w:val="22"/>
                <w:color w:val="auto"/>
              </w:rPr>
            </w:pPr>
          </w:p>
        </w:tc>
        <w:tc>
          <w:tcPr>
            <w:tcW w:w="320" w:type="dxa"/>
            <w:vAlign w:val="bottom"/>
            <w:tcBorders>
              <w:bottom w:val="single" w:sz="8" w:color="C7CDE8"/>
            </w:tcBorders>
            <w:shd w:val="clear" w:color="auto" w:fill="C7CDE8"/>
          </w:tcPr>
          <w:p>
            <w:pPr>
              <w:spacing w:after="0"/>
              <w:rPr>
                <w:sz w:val="22"/>
                <w:szCs w:val="22"/>
                <w:color w:val="auto"/>
              </w:rPr>
            </w:pPr>
          </w:p>
        </w:tc>
        <w:tc>
          <w:tcPr>
            <w:tcW w:w="4040" w:type="dxa"/>
            <w:vAlign w:val="bottom"/>
            <w:tcBorders>
              <w:bottom w:val="single" w:sz="8" w:color="C7CDE8"/>
            </w:tcBorders>
            <w:shd w:val="clear" w:color="auto" w:fill="C7CDE8"/>
          </w:tcPr>
          <w:p>
            <w:pPr>
              <w:spacing w:after="0"/>
              <w:rPr>
                <w:sz w:val="22"/>
                <w:szCs w:val="22"/>
                <w:color w:val="auto"/>
              </w:rPr>
            </w:pPr>
          </w:p>
        </w:tc>
        <w:tc>
          <w:tcPr>
            <w:tcW w:w="80" w:type="dxa"/>
            <w:vAlign w:val="bottom"/>
            <w:tcBorders>
              <w:bottom w:val="single" w:sz="8" w:color="C7CDE8"/>
            </w:tcBorders>
            <w:shd w:val="clear" w:color="auto" w:fill="C7CDE8"/>
          </w:tcPr>
          <w:p>
            <w:pPr>
              <w:spacing w:after="0"/>
              <w:rPr>
                <w:sz w:val="22"/>
                <w:szCs w:val="22"/>
                <w:color w:val="auto"/>
              </w:rPr>
            </w:pPr>
          </w:p>
        </w:tc>
      </w:tr>
      <w:tr>
        <w:trPr>
          <w:trHeight w:val="225"/>
        </w:trPr>
        <w:tc>
          <w:tcPr>
            <w:tcW w:w="40" w:type="dxa"/>
            <w:vAlign w:val="bottom"/>
          </w:tcPr>
          <w:p>
            <w:pPr>
              <w:spacing w:after="0"/>
              <w:rPr>
                <w:sz w:val="19"/>
                <w:szCs w:val="19"/>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Reasonable post-employment and change in</w:t>
            </w:r>
          </w:p>
        </w:tc>
        <w:tc>
          <w:tcPr>
            <w:tcW w:w="240" w:type="dxa"/>
            <w:vAlign w:val="bottom"/>
          </w:tcPr>
          <w:p>
            <w:pPr>
              <w:spacing w:after="0"/>
              <w:rPr>
                <w:sz w:val="19"/>
                <w:szCs w:val="19"/>
                <w:color w:val="auto"/>
              </w:rPr>
            </w:pPr>
          </w:p>
        </w:tc>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 hedging or pledging of Company stock</w:t>
            </w:r>
          </w:p>
        </w:tc>
        <w:tc>
          <w:tcPr>
            <w:tcW w:w="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 provisions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83"/>
        </w:trPr>
        <w:tc>
          <w:tcPr>
            <w:tcW w:w="40" w:type="dxa"/>
            <w:vAlign w:val="bottom"/>
            <w:shd w:val="clear" w:color="auto" w:fill="C7CDE8"/>
          </w:tcPr>
          <w:p>
            <w:pPr>
              <w:spacing w:after="0"/>
              <w:rPr>
                <w:sz w:val="24"/>
                <w:szCs w:val="24"/>
                <w:color w:val="auto"/>
              </w:rPr>
            </w:pPr>
          </w:p>
        </w:tc>
        <w:tc>
          <w:tcPr>
            <w:tcW w:w="320" w:type="dxa"/>
            <w:vAlign w:val="bottom"/>
            <w:shd w:val="clear" w:color="auto" w:fill="C7CDE8"/>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Stock ownership guidelines</w:t>
            </w:r>
          </w:p>
        </w:tc>
        <w:tc>
          <w:tcPr>
            <w:tcW w:w="240" w:type="dxa"/>
            <w:vAlign w:val="bottom"/>
            <w:shd w:val="clear" w:color="auto" w:fill="C7CDE8"/>
          </w:tcPr>
          <w:p>
            <w:pPr>
              <w:spacing w:after="0"/>
              <w:rPr>
                <w:sz w:val="24"/>
                <w:szCs w:val="24"/>
                <w:color w:val="auto"/>
              </w:rPr>
            </w:pPr>
          </w:p>
        </w:tc>
        <w:tc>
          <w:tcPr>
            <w:tcW w:w="320" w:type="dxa"/>
            <w:vAlign w:val="bottom"/>
            <w:shd w:val="clear" w:color="auto" w:fill="C7CDE8"/>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Offer change in control tax gross-ups</w:t>
            </w:r>
          </w:p>
        </w:tc>
        <w:tc>
          <w:tcPr>
            <w:tcW w:w="80" w:type="dxa"/>
            <w:vAlign w:val="bottom"/>
            <w:shd w:val="clear" w:color="auto" w:fill="C7CDE8"/>
          </w:tcPr>
          <w:p>
            <w:pPr>
              <w:spacing w:after="0"/>
              <w:rPr>
                <w:sz w:val="24"/>
                <w:szCs w:val="24"/>
                <w:color w:val="auto"/>
              </w:rPr>
            </w:pPr>
          </w:p>
        </w:tc>
      </w:tr>
      <w:tr>
        <w:trPr>
          <w:trHeight w:val="225"/>
        </w:trPr>
        <w:tc>
          <w:tcPr>
            <w:tcW w:w="40" w:type="dxa"/>
            <w:vAlign w:val="bottom"/>
          </w:tcPr>
          <w:p>
            <w:pPr>
              <w:spacing w:after="0"/>
              <w:rPr>
                <w:sz w:val="19"/>
                <w:szCs w:val="19"/>
                <w:color w:val="auto"/>
              </w:rPr>
            </w:pPr>
          </w:p>
        </w:tc>
        <w:tc>
          <w:tcPr>
            <w:tcW w:w="3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Multiple Performance Metrics</w:t>
            </w:r>
          </w:p>
        </w:tc>
        <w:tc>
          <w:tcPr>
            <w:tcW w:w="240" w:type="dxa"/>
            <w:vAlign w:val="bottom"/>
          </w:tcPr>
          <w:p>
            <w:pPr>
              <w:spacing w:after="0"/>
              <w:rPr>
                <w:sz w:val="19"/>
                <w:szCs w:val="19"/>
                <w:color w:val="auto"/>
              </w:rPr>
            </w:pPr>
          </w:p>
        </w:tc>
        <w:tc>
          <w:tcPr>
            <w:tcW w:w="3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 repricing of underwater options without</w:t>
            </w:r>
          </w:p>
        </w:tc>
        <w:tc>
          <w:tcPr>
            <w:tcW w:w="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approval</w:t>
            </w:r>
          </w:p>
        </w:tc>
        <w:tc>
          <w:tcPr>
            <w:tcW w:w="80" w:type="dxa"/>
            <w:vAlign w:val="bottom"/>
          </w:tcPr>
          <w:p>
            <w:pPr>
              <w:spacing w:after="0"/>
              <w:rPr>
                <w:sz w:val="20"/>
                <w:szCs w:val="20"/>
                <w:color w:val="auto"/>
              </w:rPr>
            </w:pPr>
          </w:p>
        </w:tc>
      </w:tr>
      <w:tr>
        <w:trPr>
          <w:trHeight w:val="40"/>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25"/>
        </w:trPr>
        <w:tc>
          <w:tcPr>
            <w:tcW w:w="40" w:type="dxa"/>
            <w:vAlign w:val="bottom"/>
            <w:shd w:val="clear" w:color="auto" w:fill="C7CDE8"/>
          </w:tcPr>
          <w:p>
            <w:pPr>
              <w:spacing w:after="0"/>
              <w:rPr>
                <w:sz w:val="19"/>
                <w:szCs w:val="19"/>
                <w:color w:val="auto"/>
              </w:rPr>
            </w:pPr>
          </w:p>
        </w:tc>
        <w:tc>
          <w:tcPr>
            <w:tcW w:w="320" w:type="dxa"/>
            <w:vAlign w:val="bottom"/>
            <w:shd w:val="clear" w:color="auto" w:fill="C7CDE8"/>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w w:val="99"/>
              </w:rPr>
              <w:t>Clawback Policy for equity incentive awards</w:t>
            </w:r>
          </w:p>
        </w:tc>
        <w:tc>
          <w:tcPr>
            <w:tcW w:w="240" w:type="dxa"/>
            <w:vAlign w:val="bottom"/>
            <w:shd w:val="clear" w:color="auto" w:fill="C7CDE8"/>
          </w:tcPr>
          <w:p>
            <w:pPr>
              <w:spacing w:after="0"/>
              <w:rPr>
                <w:sz w:val="19"/>
                <w:szCs w:val="19"/>
                <w:color w:val="auto"/>
              </w:rPr>
            </w:pPr>
          </w:p>
        </w:tc>
        <w:tc>
          <w:tcPr>
            <w:tcW w:w="320" w:type="dxa"/>
            <w:vAlign w:val="bottom"/>
            <w:shd w:val="clear" w:color="auto" w:fill="C7CDE8"/>
          </w:tcPr>
          <w:p>
            <w:pPr>
              <w:spacing w:after="0" w:line="181" w:lineRule="exact"/>
              <w:rPr>
                <w:sz w:val="20"/>
                <w:szCs w:val="20"/>
                <w:color w:val="auto"/>
              </w:rPr>
            </w:pPr>
            <w:r>
              <w:rPr>
                <w:rFonts w:ascii="MS PGothic" w:cs="MS PGothic" w:eastAsia="MS PGothic" w:hAnsi="MS PGothic"/>
                <w:sz w:val="18"/>
                <w:szCs w:val="18"/>
                <w:color w:val="auto"/>
              </w:rPr>
              <w:t>✘</w:t>
            </w:r>
          </w:p>
        </w:tc>
        <w:tc>
          <w:tcPr>
            <w:tcW w:w="404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Offer unreasonable perquisites</w:t>
            </w:r>
          </w:p>
        </w:tc>
        <w:tc>
          <w:tcPr>
            <w:tcW w:w="80" w:type="dxa"/>
            <w:vAlign w:val="bottom"/>
            <w:shd w:val="clear" w:color="auto" w:fill="C7CDE8"/>
          </w:tcPr>
          <w:p>
            <w:pPr>
              <w:spacing w:after="0"/>
              <w:rPr>
                <w:sz w:val="19"/>
                <w:szCs w:val="19"/>
                <w:color w:val="auto"/>
              </w:rPr>
            </w:pPr>
          </w:p>
        </w:tc>
      </w:tr>
      <w:tr>
        <w:trPr>
          <w:trHeight w:val="216"/>
        </w:trPr>
        <w:tc>
          <w:tcPr>
            <w:tcW w:w="40" w:type="dxa"/>
            <w:vAlign w:val="bottom"/>
            <w:shd w:val="clear" w:color="auto" w:fill="C7CDE8"/>
          </w:tcPr>
          <w:p>
            <w:pPr>
              <w:spacing w:after="0"/>
              <w:rPr>
                <w:sz w:val="18"/>
                <w:szCs w:val="18"/>
                <w:color w:val="auto"/>
              </w:rPr>
            </w:pPr>
          </w:p>
        </w:tc>
        <w:tc>
          <w:tcPr>
            <w:tcW w:w="320" w:type="dxa"/>
            <w:vAlign w:val="bottom"/>
            <w:shd w:val="clear" w:color="auto" w:fill="C7CDE8"/>
          </w:tcPr>
          <w:p>
            <w:pPr>
              <w:spacing w:after="0"/>
              <w:rPr>
                <w:sz w:val="18"/>
                <w:szCs w:val="18"/>
                <w:color w:val="auto"/>
              </w:rPr>
            </w:pPr>
          </w:p>
        </w:tc>
        <w:tc>
          <w:tcPr>
            <w:tcW w:w="338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and cash bonuses in the event of restatement</w:t>
            </w:r>
          </w:p>
        </w:tc>
        <w:tc>
          <w:tcPr>
            <w:tcW w:w="240" w:type="dxa"/>
            <w:vAlign w:val="bottom"/>
            <w:shd w:val="clear" w:color="auto" w:fill="C7CDE8"/>
          </w:tcPr>
          <w:p>
            <w:pPr>
              <w:spacing w:after="0"/>
              <w:rPr>
                <w:sz w:val="18"/>
                <w:szCs w:val="18"/>
                <w:color w:val="auto"/>
              </w:rPr>
            </w:pPr>
          </w:p>
        </w:tc>
        <w:tc>
          <w:tcPr>
            <w:tcW w:w="320" w:type="dxa"/>
            <w:vAlign w:val="bottom"/>
            <w:shd w:val="clear" w:color="auto" w:fill="C7CDE8"/>
          </w:tcPr>
          <w:p>
            <w:pPr>
              <w:spacing w:after="0"/>
              <w:rPr>
                <w:sz w:val="18"/>
                <w:szCs w:val="18"/>
                <w:color w:val="auto"/>
              </w:rPr>
            </w:pPr>
          </w:p>
        </w:tc>
        <w:tc>
          <w:tcPr>
            <w:tcW w:w="40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r>
      <w:tr>
        <w:trPr>
          <w:trHeight w:val="234"/>
        </w:trPr>
        <w:tc>
          <w:tcPr>
            <w:tcW w:w="40" w:type="dxa"/>
            <w:vAlign w:val="bottom"/>
            <w:shd w:val="clear" w:color="auto" w:fill="C7CDE8"/>
          </w:tcPr>
          <w:p>
            <w:pPr>
              <w:spacing w:after="0"/>
              <w:rPr>
                <w:sz w:val="20"/>
                <w:szCs w:val="20"/>
                <w:color w:val="auto"/>
              </w:rPr>
            </w:pPr>
          </w:p>
        </w:tc>
        <w:tc>
          <w:tcPr>
            <w:tcW w:w="320" w:type="dxa"/>
            <w:vAlign w:val="bottom"/>
            <w:shd w:val="clear" w:color="auto" w:fill="C7CDE8"/>
          </w:tcPr>
          <w:p>
            <w:pPr>
              <w:spacing w:after="0"/>
              <w:rPr>
                <w:sz w:val="20"/>
                <w:szCs w:val="20"/>
                <w:color w:val="auto"/>
              </w:rPr>
            </w:pPr>
          </w:p>
        </w:tc>
        <w:tc>
          <w:tcPr>
            <w:tcW w:w="3380" w:type="dxa"/>
            <w:vAlign w:val="bottom"/>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of financial results</w:t>
            </w:r>
          </w:p>
        </w:tc>
        <w:tc>
          <w:tcPr>
            <w:tcW w:w="240" w:type="dxa"/>
            <w:vAlign w:val="bottom"/>
            <w:shd w:val="clear" w:color="auto" w:fill="C7CDE8"/>
          </w:tcPr>
          <w:p>
            <w:pPr>
              <w:spacing w:after="0"/>
              <w:rPr>
                <w:sz w:val="20"/>
                <w:szCs w:val="20"/>
                <w:color w:val="auto"/>
              </w:rPr>
            </w:pPr>
          </w:p>
        </w:tc>
        <w:tc>
          <w:tcPr>
            <w:tcW w:w="320" w:type="dxa"/>
            <w:vAlign w:val="bottom"/>
            <w:shd w:val="clear" w:color="auto" w:fill="C7CDE8"/>
          </w:tcPr>
          <w:p>
            <w:pPr>
              <w:spacing w:after="0"/>
              <w:rPr>
                <w:sz w:val="20"/>
                <w:szCs w:val="20"/>
                <w:color w:val="auto"/>
              </w:rPr>
            </w:pPr>
          </w:p>
        </w:tc>
        <w:tc>
          <w:tcPr>
            <w:tcW w:w="4040" w:type="dxa"/>
            <w:vAlign w:val="bottom"/>
            <w:shd w:val="clear" w:color="auto" w:fill="C7CDE8"/>
          </w:tcPr>
          <w:p>
            <w:pPr>
              <w:spacing w:after="0"/>
              <w:rPr>
                <w:sz w:val="20"/>
                <w:szCs w:val="20"/>
                <w:color w:val="auto"/>
              </w:rPr>
            </w:pPr>
          </w:p>
        </w:tc>
        <w:tc>
          <w:tcPr>
            <w:tcW w:w="80" w:type="dxa"/>
            <w:vAlign w:val="bottom"/>
            <w:shd w:val="clear" w:color="auto" w:fill="C7CDE8"/>
          </w:tcPr>
          <w:p>
            <w:pPr>
              <w:spacing w:after="0"/>
              <w:rPr>
                <w:sz w:val="20"/>
                <w:szCs w:val="20"/>
                <w:color w:val="auto"/>
              </w:rPr>
            </w:pPr>
          </w:p>
        </w:tc>
      </w:tr>
      <w:tr>
        <w:trPr>
          <w:trHeight w:val="40"/>
        </w:trPr>
        <w:tc>
          <w:tcPr>
            <w:tcW w:w="40" w:type="dxa"/>
            <w:vAlign w:val="bottom"/>
            <w:shd w:val="clear" w:color="auto" w:fill="C7CDE8"/>
          </w:tcPr>
          <w:p>
            <w:pPr>
              <w:spacing w:after="0"/>
              <w:rPr>
                <w:sz w:val="3"/>
                <w:szCs w:val="3"/>
                <w:color w:val="auto"/>
              </w:rPr>
            </w:pPr>
          </w:p>
        </w:tc>
        <w:tc>
          <w:tcPr>
            <w:tcW w:w="320" w:type="dxa"/>
            <w:vAlign w:val="bottom"/>
            <w:shd w:val="clear" w:color="auto" w:fill="C7CDE8"/>
          </w:tcPr>
          <w:p>
            <w:pPr>
              <w:spacing w:after="0"/>
              <w:rPr>
                <w:sz w:val="3"/>
                <w:szCs w:val="3"/>
                <w:color w:val="auto"/>
              </w:rPr>
            </w:pPr>
          </w:p>
        </w:tc>
        <w:tc>
          <w:tcPr>
            <w:tcW w:w="3380" w:type="dxa"/>
            <w:vAlign w:val="bottom"/>
            <w:shd w:val="clear" w:color="auto" w:fill="C7CDE8"/>
          </w:tcPr>
          <w:p>
            <w:pPr>
              <w:spacing w:after="0"/>
              <w:rPr>
                <w:sz w:val="3"/>
                <w:szCs w:val="3"/>
                <w:color w:val="auto"/>
              </w:rPr>
            </w:pPr>
          </w:p>
        </w:tc>
        <w:tc>
          <w:tcPr>
            <w:tcW w:w="240" w:type="dxa"/>
            <w:vAlign w:val="bottom"/>
            <w:shd w:val="clear" w:color="auto" w:fill="C7CDE8"/>
          </w:tcPr>
          <w:p>
            <w:pPr>
              <w:spacing w:after="0"/>
              <w:rPr>
                <w:sz w:val="3"/>
                <w:szCs w:val="3"/>
                <w:color w:val="auto"/>
              </w:rPr>
            </w:pPr>
          </w:p>
        </w:tc>
        <w:tc>
          <w:tcPr>
            <w:tcW w:w="320" w:type="dxa"/>
            <w:vAlign w:val="bottom"/>
            <w:shd w:val="clear" w:color="auto" w:fill="C7CDE8"/>
          </w:tcPr>
          <w:p>
            <w:pPr>
              <w:spacing w:after="0"/>
              <w:rPr>
                <w:sz w:val="3"/>
                <w:szCs w:val="3"/>
                <w:color w:val="auto"/>
              </w:rPr>
            </w:pPr>
          </w:p>
        </w:tc>
        <w:tc>
          <w:tcPr>
            <w:tcW w:w="4040" w:type="dxa"/>
            <w:vAlign w:val="bottom"/>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r>
    </w:tbl>
    <w:p>
      <w:pPr>
        <w:spacing w:after="0" w:line="9" w:lineRule="exact"/>
        <w:rPr>
          <w:sz w:val="20"/>
          <w:szCs w:val="20"/>
          <w:color w:val="auto"/>
        </w:rPr>
      </w:pPr>
    </w:p>
    <w:p>
      <w:pPr>
        <w:ind w:left="4740" w:right="659" w:hanging="452"/>
        <w:spacing w:after="0" w:line="282" w:lineRule="auto"/>
        <w:tabs>
          <w:tab w:leader="none" w:pos="4740" w:val="left"/>
        </w:tabs>
        <w:numPr>
          <w:ilvl w:val="1"/>
          <w:numId w:val="2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single trigger cash severance based solely on a change in control of the Company</w:t>
      </w:r>
    </w:p>
    <w:p>
      <w:pPr>
        <w:spacing w:after="0" w:line="71" w:lineRule="exact"/>
        <w:rPr>
          <w:rFonts w:ascii="MS PGothic" w:cs="MS PGothic" w:eastAsia="MS PGothic" w:hAnsi="MS PGothic"/>
          <w:sz w:val="18"/>
          <w:szCs w:val="18"/>
          <w:color w:val="auto"/>
        </w:rPr>
      </w:pPr>
    </w:p>
    <w:p>
      <w:pPr>
        <w:ind w:left="460" w:right="339" w:hanging="175"/>
        <w:spacing w:after="0" w:line="225" w:lineRule="auto"/>
        <w:rPr>
          <w:rFonts w:ascii="MS PGothic" w:cs="MS PGothic" w:eastAsia="MS PGothic" w:hAnsi="MS PGothic"/>
          <w:sz w:val="18"/>
          <w:szCs w:val="18"/>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Adjusted EBITDA is a non-GAAP financial measure. Please see “Reconciliation of Non-GAAP Financial Measures to GAAP Measures” in our Annual Report on Form 10-K for the fiscal year ended May 31, 2024 for a reconciliation of such non-GAAP Measures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-334645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29" w:name="page30"/>
    <w:bookmarkEnd w:id="29"/>
    <w:p>
      <w:pPr>
        <w:ind w:left="300"/>
        <w:spacing w:after="0"/>
        <w:rPr>
          <w:sz w:val="20"/>
          <w:szCs w:val="20"/>
          <w:color w:val="auto"/>
        </w:rPr>
      </w:pPr>
      <w:r>
        <w:rPr>
          <w:rFonts w:ascii="Arial" w:cs="Arial" w:eastAsia="Arial" w:hAnsi="Arial"/>
          <w:sz w:val="18"/>
          <w:szCs w:val="18"/>
          <w:b w:val="1"/>
          <w:bCs w:val="1"/>
          <w:color w:val="00489A"/>
        </w:rPr>
        <w:t>Identification of Named Executive Officers</w:t>
      </w:r>
    </w:p>
    <w:p>
      <w:pPr>
        <w:spacing w:after="0" w:line="99"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color w:val="auto"/>
        </w:rPr>
        <w:t>Our named executive officers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consist of all persons who served as (i) our Chief Executive Officer or Chief Financial Officer during Fiscal Year 2024; and (ii) the next three most highly compensated executive officers who were serving as of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5349240" cy="13290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132905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Tilray Named Executive Officers as of May 31, 2024</w:t>
      </w:r>
    </w:p>
    <w:p>
      <w:pPr>
        <w:spacing w:after="0" w:line="68"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1900" w:type="dxa"/>
            <w:vAlign w:val="bottom"/>
            <w:tcBorders>
              <w:bottom w:val="single" w:sz="8" w:color="auto"/>
            </w:tcBorders>
            <w:shd w:val="clear" w:color="auto" w:fill="CCCCCC"/>
          </w:tcPr>
          <w:p>
            <w:pPr>
              <w:ind w:left="1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860" w:type="dxa"/>
            <w:vAlign w:val="bottom"/>
            <w:tcBorders>
              <w:bottom w:val="single" w:sz="8" w:color="auto"/>
            </w:tcBorders>
            <w:shd w:val="clear" w:color="auto" w:fill="CCCCCC"/>
          </w:tcPr>
          <w:p>
            <w:pPr>
              <w:ind w:left="54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40" w:type="dxa"/>
            <w:vAlign w:val="bottom"/>
            <w:tcBorders>
              <w:bottom w:val="single" w:sz="8" w:color="auto"/>
            </w:tcBorders>
            <w:shd w:val="clear" w:color="auto" w:fill="CCCCCC"/>
          </w:tcPr>
          <w:p>
            <w:pPr>
              <w:ind w:left="160"/>
              <w:spacing w:after="0"/>
              <w:rPr>
                <w:sz w:val="20"/>
                <w:szCs w:val="20"/>
                <w:color w:val="auto"/>
              </w:rPr>
            </w:pPr>
            <w:r>
              <w:rPr>
                <w:rFonts w:ascii="Times New Roman" w:cs="Times New Roman" w:eastAsia="Times New Roman" w:hAnsi="Times New Roman"/>
                <w:sz w:val="18"/>
                <w:szCs w:val="18"/>
                <w:b w:val="1"/>
                <w:bCs w:val="1"/>
                <w:color w:val="auto"/>
              </w:rPr>
              <w:t>Age</w:t>
            </w:r>
          </w:p>
        </w:tc>
        <w:tc>
          <w:tcPr>
            <w:tcW w:w="20" w:type="dxa"/>
            <w:vAlign w:val="bottom"/>
            <w:tcBorders>
              <w:bottom w:val="single" w:sz="8" w:color="auto"/>
            </w:tcBorders>
          </w:tcPr>
          <w:p>
            <w:pPr>
              <w:spacing w:after="0"/>
              <w:rPr>
                <w:sz w:val="22"/>
                <w:szCs w:val="22"/>
                <w:color w:val="auto"/>
              </w:rPr>
            </w:pPr>
          </w:p>
        </w:tc>
      </w:tr>
      <w:tr>
        <w:trPr>
          <w:trHeight w:val="269"/>
        </w:trPr>
        <w:tc>
          <w:tcPr>
            <w:tcW w:w="1900" w:type="dxa"/>
            <w:vAlign w:val="bottom"/>
            <w:tcBorders>
              <w:bottom w:val="single" w:sz="8" w:color="C7CDE8"/>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Irwin Simon</w:t>
            </w:r>
          </w:p>
        </w:tc>
        <w:tc>
          <w:tcPr>
            <w:tcW w:w="5860" w:type="dxa"/>
            <w:vAlign w:val="bottom"/>
            <w:tcBorders>
              <w:bottom w:val="single" w:sz="8" w:color="C7CDE8"/>
            </w:tcBorders>
            <w:shd w:val="clear" w:color="auto" w:fill="C7CDE8"/>
          </w:tcPr>
          <w:p>
            <w:pPr>
              <w:ind w:left="54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w:t>
            </w:r>
            <w:r>
              <w:rPr>
                <w:rFonts w:ascii="Times New Roman" w:cs="Times New Roman" w:eastAsia="Times New Roman" w:hAnsi="Times New Roman"/>
                <w:sz w:val="18"/>
                <w:szCs w:val="18"/>
                <w:i w:val="1"/>
                <w:iCs w:val="1"/>
                <w:color w:val="auto"/>
              </w:rPr>
              <w:t>CEO</w:t>
            </w:r>
            <w:r>
              <w:rPr>
                <w:rFonts w:ascii="Times New Roman" w:cs="Times New Roman" w:eastAsia="Times New Roman" w:hAnsi="Times New Roman"/>
                <w:sz w:val="18"/>
                <w:szCs w:val="18"/>
                <w:color w:val="auto"/>
              </w:rPr>
              <w:t>”)</w:t>
            </w:r>
          </w:p>
        </w:tc>
        <w:tc>
          <w:tcPr>
            <w:tcW w:w="640" w:type="dxa"/>
            <w:vAlign w:val="bottom"/>
            <w:tcBorders>
              <w:bottom w:val="single" w:sz="8" w:color="C7CDE8"/>
            </w:tcBorders>
            <w:shd w:val="clear" w:color="auto" w:fill="C7CDE8"/>
          </w:tcPr>
          <w:p>
            <w:pPr>
              <w:ind w:left="16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23"/>
                <w:szCs w:val="23"/>
                <w:color w:val="auto"/>
              </w:rPr>
            </w:pPr>
          </w:p>
        </w:tc>
      </w:tr>
      <w:tr>
        <w:trPr>
          <w:trHeight w:val="237"/>
        </w:trPr>
        <w:tc>
          <w:tcPr>
            <w:tcW w:w="1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Carl Merton</w:t>
            </w:r>
          </w:p>
        </w:tc>
        <w:tc>
          <w:tcPr>
            <w:tcW w:w="5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Chief Financial Officer</w:t>
            </w:r>
          </w:p>
        </w:tc>
        <w:tc>
          <w:tcPr>
            <w:tcW w:w="6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Borders>
              <w:top w:val="single" w:sz="8" w:color="auto"/>
            </w:tcBorders>
          </w:tcPr>
          <w:p>
            <w:pPr>
              <w:spacing w:after="0"/>
              <w:rPr>
                <w:sz w:val="20"/>
                <w:szCs w:val="20"/>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1900" w:type="dxa"/>
            <w:vAlign w:val="bottom"/>
            <w:tcBorders>
              <w:bottom w:val="single" w:sz="8" w:color="C7CDE8"/>
            </w:tcBorders>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Denise Faltischek</w:t>
            </w:r>
          </w:p>
        </w:tc>
        <w:tc>
          <w:tcPr>
            <w:tcW w:w="5860" w:type="dxa"/>
            <w:vAlign w:val="bottom"/>
            <w:tcBorders>
              <w:bottom w:val="single" w:sz="8" w:color="C7CDE8"/>
            </w:tcBorders>
            <w:shd w:val="clear" w:color="auto" w:fill="C7CDE8"/>
          </w:tcPr>
          <w:p>
            <w:pPr>
              <w:ind w:left="540"/>
              <w:spacing w:after="0"/>
              <w:rPr>
                <w:sz w:val="20"/>
                <w:szCs w:val="20"/>
                <w:color w:val="auto"/>
              </w:rPr>
            </w:pPr>
            <w:r>
              <w:rPr>
                <w:rFonts w:ascii="Times New Roman" w:cs="Times New Roman" w:eastAsia="Times New Roman" w:hAnsi="Times New Roman"/>
                <w:sz w:val="18"/>
                <w:szCs w:val="18"/>
                <w:color w:val="auto"/>
              </w:rPr>
              <w:t>Chief Strategy Officer and Head of International</w:t>
            </w:r>
          </w:p>
        </w:tc>
        <w:tc>
          <w:tcPr>
            <w:tcW w:w="640" w:type="dxa"/>
            <w:vAlign w:val="bottom"/>
            <w:tcBorders>
              <w:bottom w:val="single" w:sz="8" w:color="C7CDE8"/>
            </w:tcBorders>
            <w:shd w:val="clear" w:color="auto" w:fill="C7CDE8"/>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2"/>
                <w:szCs w:val="22"/>
                <w:color w:val="auto"/>
              </w:rPr>
            </w:pPr>
          </w:p>
        </w:tc>
      </w:tr>
      <w:tr>
        <w:trPr>
          <w:trHeight w:val="237"/>
        </w:trPr>
        <w:tc>
          <w:tcPr>
            <w:tcW w:w="19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Mitchell Gendel</w:t>
            </w:r>
          </w:p>
        </w:tc>
        <w:tc>
          <w:tcPr>
            <w:tcW w:w="58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Global General Counsel and Corporate Secretary</w:t>
            </w:r>
          </w:p>
        </w:tc>
        <w:tc>
          <w:tcPr>
            <w:tcW w:w="6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top w:val="single" w:sz="8" w:color="auto"/>
            </w:tcBorders>
          </w:tcPr>
          <w:p>
            <w:pPr>
              <w:spacing w:after="0"/>
              <w:rPr>
                <w:sz w:val="20"/>
                <w:szCs w:val="20"/>
                <w:color w:val="auto"/>
              </w:rPr>
            </w:pPr>
          </w:p>
        </w:tc>
      </w:tr>
      <w:tr>
        <w:trPr>
          <w:trHeight w:val="27"/>
        </w:trPr>
        <w:tc>
          <w:tcPr>
            <w:tcW w:w="1900" w:type="dxa"/>
            <w:vAlign w:val="bottom"/>
            <w:tcBorders>
              <w:bottom w:val="single" w:sz="8" w:color="auto"/>
            </w:tcBorders>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900" w:type="dxa"/>
            <w:vAlign w:val="bottom"/>
            <w:shd w:val="clear" w:color="auto" w:fill="C7CDE8"/>
          </w:tcPr>
          <w:p>
            <w:pPr>
              <w:ind w:left="100"/>
              <w:spacing w:after="0"/>
              <w:rPr>
                <w:sz w:val="20"/>
                <w:szCs w:val="20"/>
                <w:color w:val="auto"/>
              </w:rPr>
            </w:pPr>
            <w:r>
              <w:rPr>
                <w:rFonts w:ascii="Times New Roman" w:cs="Times New Roman" w:eastAsia="Times New Roman" w:hAnsi="Times New Roman"/>
                <w:sz w:val="18"/>
                <w:szCs w:val="18"/>
                <w:color w:val="auto"/>
              </w:rPr>
              <w:t>Roger Savell</w:t>
            </w:r>
          </w:p>
        </w:tc>
        <w:tc>
          <w:tcPr>
            <w:tcW w:w="5860" w:type="dxa"/>
            <w:vAlign w:val="bottom"/>
            <w:shd w:val="clear" w:color="auto" w:fill="C7CDE8"/>
          </w:tcPr>
          <w:p>
            <w:pPr>
              <w:ind w:left="540"/>
              <w:spacing w:after="0"/>
              <w:rPr>
                <w:sz w:val="20"/>
                <w:szCs w:val="20"/>
                <w:color w:val="auto"/>
              </w:rPr>
            </w:pPr>
            <w:r>
              <w:rPr>
                <w:rFonts w:ascii="Times New Roman" w:cs="Times New Roman" w:eastAsia="Times New Roman" w:hAnsi="Times New Roman"/>
                <w:sz w:val="18"/>
                <w:szCs w:val="18"/>
                <w:color w:val="auto"/>
              </w:rPr>
              <w:t>Chief Administrative Officer</w:t>
            </w:r>
          </w:p>
        </w:tc>
        <w:tc>
          <w:tcPr>
            <w:tcW w:w="640" w:type="dxa"/>
            <w:vAlign w:val="bottom"/>
            <w:shd w:val="clear" w:color="auto" w:fill="C7CDE8"/>
          </w:tcPr>
          <w:p>
            <w:pPr>
              <w:ind w:left="16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20"/>
                <w:szCs w:val="20"/>
                <w:color w:val="auto"/>
              </w:rPr>
            </w:pPr>
          </w:p>
        </w:tc>
      </w:tr>
    </w:tbl>
    <w:p>
      <w:pPr>
        <w:spacing w:after="0" w:line="140"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Mr. Simon </w:t>
      </w:r>
      <w:r>
        <w:rPr>
          <w:rFonts w:ascii="Times New Roman" w:cs="Times New Roman" w:eastAsia="Times New Roman" w:hAnsi="Times New Roman"/>
          <w:sz w:val="17"/>
          <w:szCs w:val="17"/>
          <w:color w:val="auto"/>
        </w:rPr>
        <w:t>is Chairman, President and Chief Executive officer at Tilray. Mr. Simon is an executive with over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30 years of experience building industry-leading, disruptive consumer packaged goods companies from organic and natural foods, dietary supplements, personal care, and cannabis. Before Tilray, Mr. Simon transformed Aphria Inc. into a successful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w:t>
      </w:r>
    </w:p>
    <w:p>
      <w:pPr>
        <w:spacing w:after="0" w:line="4" w:lineRule="exact"/>
        <w:rPr>
          <w:sz w:val="20"/>
          <w:szCs w:val="20"/>
          <w:color w:val="auto"/>
        </w:rPr>
      </w:pPr>
    </w:p>
    <w:p>
      <w:pPr>
        <w:ind w:left="300" w:right="419"/>
        <w:spacing w:after="0" w:line="253" w:lineRule="auto"/>
        <w:rPr>
          <w:sz w:val="20"/>
          <w:szCs w:val="20"/>
          <w:color w:val="auto"/>
        </w:rPr>
      </w:pPr>
      <w:r>
        <w:rPr>
          <w:rFonts w:ascii="Times New Roman" w:cs="Times New Roman" w:eastAsia="Times New Roman" w:hAnsi="Times New Roman"/>
          <w:sz w:val="18"/>
          <w:szCs w:val="18"/>
          <w:color w:val="auto"/>
        </w:rPr>
        <w:t>$3 billion in net sales with operations in North America, Europe, Asia, and the Middle East, providing consumers with A Healthier Way of Life™. Mr. Simon was previously the Executive Chairman of Whole Earth Brands, Inc. (NASDAQ: FREE), a global industry-leading platform focused on the “better for you” consumer packaged goods and ingredients space, until August 2024. Mr. Simon continues to serve as the Presiding Director at Stagwell Inc., a provider of marketing, activation and communications solutions and services.</w:t>
      </w:r>
    </w:p>
    <w:p>
      <w:pPr>
        <w:spacing w:after="0" w:line="75" w:lineRule="exact"/>
        <w:rPr>
          <w:sz w:val="20"/>
          <w:szCs w:val="20"/>
          <w:color w:val="auto"/>
        </w:rPr>
      </w:pPr>
    </w:p>
    <w:p>
      <w:pPr>
        <w:ind w:left="300" w:right="37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Mr. Merton </w:t>
      </w:r>
      <w:r>
        <w:rPr>
          <w:rFonts w:ascii="Times New Roman" w:cs="Times New Roman" w:eastAsia="Times New Roman" w:hAnsi="Times New Roman"/>
          <w:sz w:val="18"/>
          <w:szCs w:val="18"/>
          <w:color w:val="auto"/>
        </w:rPr>
        <w:t>joined Tilray in May 2021, and currently serves as Chief Financial Officer. Prior to joining Tilray,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w:t>
      </w:r>
    </w:p>
    <w:p>
      <w:pPr>
        <w:spacing w:after="0" w:line="71" w:lineRule="exact"/>
        <w:rPr>
          <w:sz w:val="20"/>
          <w:szCs w:val="20"/>
          <w:color w:val="auto"/>
        </w:rPr>
      </w:pPr>
    </w:p>
    <w:p>
      <w:pPr>
        <w:ind w:left="300" w:right="47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Ms. Faltischek </w:t>
      </w:r>
      <w:r>
        <w:rPr>
          <w:rFonts w:ascii="Times New Roman" w:cs="Times New Roman" w:eastAsia="Times New Roman" w:hAnsi="Times New Roman"/>
          <w:sz w:val="18"/>
          <w:szCs w:val="18"/>
          <w:color w:val="auto"/>
        </w:rPr>
        <w:t>joined Tilray in May 2021, and currently serves as Chief Strategy Officer and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w:t>
      </w:r>
    </w:p>
    <w:p>
      <w:pPr>
        <w:spacing w:after="0" w:line="80"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Mr. Gendel </w:t>
      </w:r>
      <w:r>
        <w:rPr>
          <w:rFonts w:ascii="Times New Roman" w:cs="Times New Roman" w:eastAsia="Times New Roman" w:hAnsi="Times New Roman"/>
          <w:sz w:val="18"/>
          <w:szCs w:val="18"/>
          <w:color w:val="auto"/>
        </w:rPr>
        <w:t>joined Tilray in July 2021, as General Counsel and Corporate Secretary. Prior to joining Tilray,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Gendel served as General Counsel of Emerald Holding, Inc, from April 2020 until July 2021. At Emerald, he was responsible for all legal affairs including corporate governance, securities and compliance and litigation matters. Mitch also served as Chief Restructuring Officer of Steel Partners LLP, from November 2019 until June 2020. From 2004 through August 2019, Mr. Gendel was General Counsel of MDC Partners, Inc., a global, publicly-held advertising and communications company.</w:t>
      </w:r>
    </w:p>
    <w:p>
      <w:pPr>
        <w:spacing w:after="0" w:line="74" w:lineRule="exact"/>
        <w:rPr>
          <w:sz w:val="20"/>
          <w:szCs w:val="20"/>
          <w:color w:val="auto"/>
        </w:rPr>
      </w:pPr>
    </w:p>
    <w:p>
      <w:pPr>
        <w:ind w:left="300" w:right="3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Mr. Savell </w:t>
      </w:r>
      <w:r>
        <w:rPr>
          <w:rFonts w:ascii="Times New Roman" w:cs="Times New Roman" w:eastAsia="Times New Roman" w:hAnsi="Times New Roman"/>
          <w:sz w:val="18"/>
          <w:szCs w:val="18"/>
          <w:color w:val="auto"/>
        </w:rPr>
        <w:t>joined Tilray in March 2022 as Chief Administrative Officer. Prior to joining Tilray, Mr. Savell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employed by Ernst &amp; Young for thirty-nine years in multiple executive roles. He most recently served as an Audit Partner managing corporate governance, Sarbanes-Oxley, accounting, and auditing issues, for a variety of public and private companies on behalf of Ernst &amp; Young.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Engagement of Independent Compensation Consultant</w:t>
      </w:r>
    </w:p>
    <w:p>
      <w:pPr>
        <w:spacing w:after="0" w:line="102"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In respect of compensation amounts for Fiscal Year 2023, the Compensation Committee consulted with an independent compensation consultant, Korn Ferry that provided advisory services.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ind w:left="1300" w:right="1440" w:firstLine="360"/>
        <w:spacing w:after="0" w:line="258" w:lineRule="auto"/>
        <w:rPr>
          <w:sz w:val="20"/>
          <w:szCs w:val="20"/>
          <w:color w:val="auto"/>
        </w:rPr>
      </w:pPr>
      <w:r>
        <w:rPr>
          <w:rFonts w:ascii="Times New Roman" w:cs="Times New Roman" w:eastAsia="Times New Roman" w:hAnsi="Times New Roman"/>
          <w:sz w:val="18"/>
          <w:szCs w:val="18"/>
          <w:color w:val="auto"/>
        </w:rPr>
        <w:t>During the Fiscal Year 2023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489A"/>
        </w:rPr>
        <w:t>Peer Group Composition</w:t>
      </w:r>
    </w:p>
    <w:p>
      <w:pPr>
        <w:spacing w:after="0" w:line="104" w:lineRule="exact"/>
        <w:rPr>
          <w:sz w:val="20"/>
          <w:szCs w:val="20"/>
          <w:color w:val="auto"/>
        </w:rPr>
      </w:pPr>
    </w:p>
    <w:p>
      <w:pPr>
        <w:ind w:left="1300" w:right="1400"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Committee’s review and determination of the applicable peer group appropriately balanced the following four relevant spectrums:</w:t>
      </w:r>
    </w:p>
    <w:p>
      <w:pPr>
        <w:spacing w:after="0" w:line="50" w:lineRule="exact"/>
        <w:rPr>
          <w:sz w:val="20"/>
          <w:szCs w:val="20"/>
          <w:color w:val="auto"/>
        </w:rPr>
      </w:pPr>
    </w:p>
    <w:p>
      <w:pPr>
        <w:ind w:left="2000" w:right="1320" w:hanging="348"/>
        <w:spacing w:after="0" w:line="268" w:lineRule="auto"/>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Industry</w:t>
      </w:r>
      <w:r>
        <w:rPr>
          <w:rFonts w:ascii="Times New Roman" w:cs="Times New Roman" w:eastAsia="Times New Roman" w:hAnsi="Times New Roman"/>
          <w:sz w:val="18"/>
          <w:szCs w:val="18"/>
          <w:color w:val="auto"/>
        </w:rPr>
        <w:t>: Focus was given to companies in the cannabis industry as this best represents the main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labor and capital markets in which Tilray competes; however, given Tilray is larger than other cannabis companies, it was important to assess other industries as well.</w:t>
      </w:r>
    </w:p>
    <w:p>
      <w:pPr>
        <w:spacing w:after="0" w:line="66" w:lineRule="exact"/>
        <w:rPr>
          <w:rFonts w:ascii="Times New Roman" w:cs="Times New Roman" w:eastAsia="Times New Roman" w:hAnsi="Times New Roman"/>
          <w:sz w:val="18"/>
          <w:szCs w:val="18"/>
          <w:color w:val="auto"/>
        </w:rPr>
      </w:pPr>
    </w:p>
    <w:p>
      <w:pPr>
        <w:ind w:left="2360" w:right="1860" w:hanging="348"/>
        <w:spacing w:after="0" w:line="282" w:lineRule="auto"/>
        <w:tabs>
          <w:tab w:leader="none" w:pos="2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biotechnology / pharmaceuticals companies were included because they are similar to Tilray’s medical cannabis business in many respects.</w:t>
      </w:r>
    </w:p>
    <w:p>
      <w:pPr>
        <w:spacing w:after="0" w:line="53" w:lineRule="exact"/>
        <w:rPr>
          <w:rFonts w:ascii="Times New Roman" w:cs="Times New Roman" w:eastAsia="Times New Roman" w:hAnsi="Times New Roman"/>
          <w:sz w:val="18"/>
          <w:szCs w:val="18"/>
          <w:color w:val="auto"/>
        </w:rPr>
      </w:pPr>
    </w:p>
    <w:p>
      <w:pPr>
        <w:ind w:left="2360" w:right="1360" w:hanging="348"/>
        <w:spacing w:after="0" w:line="266" w:lineRule="auto"/>
        <w:tabs>
          <w:tab w:leader="none" w:pos="2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in the consumer-packaged goods industry were also considered due to Tilray’s consumer-product based business model, and Tilray’s expansion of products and services in the brewery and distillery industry.</w:t>
      </w:r>
    </w:p>
    <w:p>
      <w:pPr>
        <w:spacing w:after="0" w:line="67" w:lineRule="exact"/>
        <w:rPr>
          <w:rFonts w:ascii="Times New Roman" w:cs="Times New Roman" w:eastAsia="Times New Roman" w:hAnsi="Times New Roman"/>
          <w:sz w:val="18"/>
          <w:szCs w:val="18"/>
          <w:color w:val="auto"/>
        </w:rPr>
      </w:pPr>
    </w:p>
    <w:p>
      <w:pPr>
        <w:ind w:left="2360" w:right="1400" w:hanging="348"/>
        <w:spacing w:after="0" w:line="281" w:lineRule="auto"/>
        <w:tabs>
          <w:tab w:leader="none" w:pos="23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w:t>
      </w:r>
    </w:p>
    <w:p>
      <w:pPr>
        <w:spacing w:after="0" w:line="52" w:lineRule="exact"/>
        <w:rPr>
          <w:rFonts w:ascii="Times New Roman" w:cs="Times New Roman" w:eastAsia="Times New Roman" w:hAnsi="Times New Roman"/>
          <w:sz w:val="17"/>
          <w:szCs w:val="17"/>
          <w:color w:val="auto"/>
        </w:rPr>
      </w:pPr>
    </w:p>
    <w:p>
      <w:pPr>
        <w:ind w:left="2000" w:hanging="348"/>
        <w:spacing w:after="0"/>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Size</w:t>
      </w:r>
      <w:r>
        <w:rPr>
          <w:rFonts w:ascii="Times New Roman" w:cs="Times New Roman" w:eastAsia="Times New Roman" w:hAnsi="Times New Roman"/>
          <w:sz w:val="18"/>
          <w:szCs w:val="18"/>
          <w:color w:val="auto"/>
        </w:rPr>
        <w:t>: Company size is a strong indicator of organizational complexity and drives scope of accountability.</w:t>
      </w:r>
    </w:p>
    <w:p>
      <w:pPr>
        <w:spacing w:after="0" w:line="121" w:lineRule="exact"/>
        <w:rPr>
          <w:rFonts w:ascii="Times New Roman" w:cs="Times New Roman" w:eastAsia="Times New Roman" w:hAnsi="Times New Roman"/>
          <w:sz w:val="18"/>
          <w:szCs w:val="18"/>
          <w:color w:val="auto"/>
        </w:rPr>
      </w:pPr>
    </w:p>
    <w:p>
      <w:pPr>
        <w:jc w:val="both"/>
        <w:ind w:left="2360" w:right="1500" w:hanging="348"/>
        <w:spacing w:after="0" w:line="266" w:lineRule="auto"/>
        <w:tabs>
          <w:tab w:leader="none" w:pos="23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anticipated growth of Tilray following the Business Combination and the cannabis sector overall, a wider financial lens was applied by Korn Ferry, and revenue was the primary indicator of size. Total assets and market capitalization were used as secondary reference points.</w:t>
      </w:r>
    </w:p>
    <w:p>
      <w:pPr>
        <w:spacing w:after="0" w:line="63" w:lineRule="exact"/>
        <w:rPr>
          <w:rFonts w:ascii="Times New Roman" w:cs="Times New Roman" w:eastAsia="Times New Roman" w:hAnsi="Times New Roman"/>
          <w:sz w:val="18"/>
          <w:szCs w:val="18"/>
          <w:color w:val="auto"/>
        </w:rPr>
      </w:pPr>
    </w:p>
    <w:p>
      <w:pPr>
        <w:ind w:left="2000" w:right="1420" w:hanging="348"/>
        <w:spacing w:after="0" w:line="286" w:lineRule="auto"/>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Operations</w:t>
      </w:r>
      <w:r>
        <w:rPr>
          <w:rFonts w:ascii="Times New Roman" w:cs="Times New Roman" w:eastAsia="Times New Roman" w:hAnsi="Times New Roman"/>
          <w:sz w:val="18"/>
          <w:szCs w:val="18"/>
          <w:color w:val="auto"/>
        </w:rPr>
        <w:t>: As Tilray is an established international operator in the cannabis industry, focus was given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that are based in North America and have international operations.</w:t>
      </w:r>
    </w:p>
    <w:p>
      <w:pPr>
        <w:spacing w:after="0" w:line="46" w:lineRule="exact"/>
        <w:rPr>
          <w:rFonts w:ascii="Times New Roman" w:cs="Times New Roman" w:eastAsia="Times New Roman" w:hAnsi="Times New Roman"/>
          <w:sz w:val="18"/>
          <w:szCs w:val="18"/>
          <w:color w:val="auto"/>
        </w:rPr>
      </w:pPr>
    </w:p>
    <w:p>
      <w:pPr>
        <w:ind w:left="2000" w:right="1480" w:hanging="348"/>
        <w:spacing w:after="0" w:line="286" w:lineRule="auto"/>
        <w:tabs>
          <w:tab w:leader="none" w:pos="2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Location</w:t>
      </w:r>
      <w:r>
        <w:rPr>
          <w:rFonts w:ascii="Times New Roman" w:cs="Times New Roman" w:eastAsia="Times New Roman" w:hAnsi="Times New Roman"/>
          <w:sz w:val="18"/>
          <w:szCs w:val="18"/>
          <w:color w:val="auto"/>
        </w:rPr>
        <w:t>: The regions or countries where Tilray competes for talent. Our approach proposes to focus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compensation analysis primarily to Canadian and U.S.-based companies.</w:t>
      </w:r>
    </w:p>
    <w:p>
      <w:pPr>
        <w:spacing w:after="0" w:line="50" w:lineRule="exact"/>
        <w:rPr>
          <w:rFonts w:ascii="Times New Roman" w:cs="Times New Roman" w:eastAsia="Times New Roman" w:hAnsi="Times New Roman"/>
          <w:sz w:val="18"/>
          <w:szCs w:val="18"/>
          <w:color w:val="auto"/>
        </w:rPr>
      </w:pPr>
    </w:p>
    <w:p>
      <w:pPr>
        <w:ind w:left="2360" w:right="1600" w:hanging="348"/>
        <w:spacing w:after="0" w:line="289" w:lineRule="auto"/>
        <w:tabs>
          <w:tab w:leader="none" w:pos="236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Tilray is U.S.-based with Canadian and U.S.-sourced executives, the Canadian and U.S. markets are both relevant sources of data. Should other markets become relevant in the future, consideration will be given to including companies from those geographies in Tilray’s peer group.</w:t>
      </w:r>
    </w:p>
    <w:p>
      <w:pPr>
        <w:spacing w:after="0" w:line="5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It was important to the Compensation Committee that the peer group reflect high revenue growth companies.</w:t>
      </w:r>
    </w:p>
    <w:p>
      <w:pPr>
        <w:spacing w:after="0" w:line="117" w:lineRule="exact"/>
        <w:rPr>
          <w:sz w:val="20"/>
          <w:szCs w:val="20"/>
          <w:color w:val="auto"/>
        </w:rPr>
      </w:pPr>
    </w:p>
    <w:p>
      <w:pPr>
        <w:jc w:val="both"/>
        <w:ind w:left="1300" w:right="1460" w:firstLine="360"/>
        <w:spacing w:after="0" w:line="266" w:lineRule="auto"/>
        <w:rPr>
          <w:sz w:val="20"/>
          <w:szCs w:val="20"/>
          <w:color w:val="auto"/>
        </w:rPr>
      </w:pPr>
      <w:r>
        <w:rPr>
          <w:rFonts w:ascii="Times New Roman" w:cs="Times New Roman" w:eastAsia="Times New Roman" w:hAnsi="Times New Roman"/>
          <w:sz w:val="18"/>
          <w:szCs w:val="18"/>
          <w:color w:val="auto"/>
        </w:rPr>
        <w:t>In March 2021, the ultimate outcome of this peer group review was the creation of the following 18-company peer group for Fiscal Year 2022 and subsequent years, for purposes of determining the compensation arrangements for Tilray’s senior 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1300" w:type="dxa"/>
            <w:vAlign w:val="bottom"/>
          </w:tcPr>
          <w:p>
            <w:pPr>
              <w:spacing w:after="0"/>
              <w:rPr>
                <w:sz w:val="24"/>
                <w:szCs w:val="24"/>
                <w:color w:val="auto"/>
              </w:rPr>
            </w:pPr>
          </w:p>
        </w:tc>
        <w:tc>
          <w:tcPr>
            <w:tcW w:w="33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Cannabis Companies</w:t>
            </w:r>
          </w:p>
        </w:tc>
        <w:tc>
          <w:tcPr>
            <w:tcW w:w="2440" w:type="dxa"/>
            <w:vAlign w:val="bottom"/>
            <w:shd w:val="clear" w:color="auto" w:fill="C7CDE8"/>
          </w:tcPr>
          <w:p>
            <w:pPr>
              <w:spacing w:after="0"/>
              <w:rPr>
                <w:sz w:val="24"/>
                <w:szCs w:val="24"/>
                <w:color w:val="auto"/>
              </w:rPr>
            </w:pPr>
          </w:p>
        </w:tc>
        <w:tc>
          <w:tcPr>
            <w:tcW w:w="2600" w:type="dxa"/>
            <w:vAlign w:val="bottom"/>
            <w:shd w:val="clear" w:color="auto" w:fill="C7CDE8"/>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3380" w:type="dxa"/>
            <w:vAlign w:val="bottom"/>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Canopy Growth Corporation</w:t>
            </w:r>
          </w:p>
        </w:tc>
        <w:tc>
          <w:tcPr>
            <w:tcW w:w="2440" w:type="dxa"/>
            <w:vAlign w:val="bottom"/>
            <w:shd w:val="clear" w:color="auto" w:fill="C7CDE8"/>
          </w:tcPr>
          <w:p>
            <w:pPr>
              <w:ind w:left="120"/>
              <w:spacing w:after="0"/>
              <w:rPr>
                <w:sz w:val="20"/>
                <w:szCs w:val="20"/>
                <w:color w:val="auto"/>
              </w:rPr>
            </w:pPr>
            <w:r>
              <w:rPr>
                <w:rFonts w:ascii="Times New Roman" w:cs="Times New Roman" w:eastAsia="Times New Roman" w:hAnsi="Times New Roman"/>
                <w:sz w:val="18"/>
                <w:szCs w:val="18"/>
                <w:color w:val="auto"/>
              </w:rPr>
              <w:t>Cresco Labs, Inc.</w:t>
            </w:r>
          </w:p>
        </w:tc>
        <w:tc>
          <w:tcPr>
            <w:tcW w:w="2600" w:type="dxa"/>
            <w:vAlign w:val="bottom"/>
            <w:shd w:val="clear" w:color="auto" w:fill="C7CDE8"/>
          </w:tcPr>
          <w:p>
            <w:pPr>
              <w:ind w:left="200"/>
              <w:spacing w:after="0"/>
              <w:rPr>
                <w:sz w:val="20"/>
                <w:szCs w:val="20"/>
                <w:color w:val="auto"/>
              </w:rPr>
            </w:pPr>
            <w:r>
              <w:rPr>
                <w:rFonts w:ascii="Times New Roman" w:cs="Times New Roman" w:eastAsia="Times New Roman" w:hAnsi="Times New Roman"/>
                <w:sz w:val="18"/>
                <w:szCs w:val="18"/>
                <w:color w:val="auto"/>
              </w:rPr>
              <w:t>GW Pharmaceuticals plc</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380" w:type="dxa"/>
            <w:vAlign w:val="bottom"/>
            <w:shd w:val="clear" w:color="auto" w:fill="C7CDE8"/>
          </w:tcPr>
          <w:p>
            <w:pPr>
              <w:ind w:left="260"/>
              <w:spacing w:after="0"/>
              <w:rPr>
                <w:sz w:val="20"/>
                <w:szCs w:val="20"/>
                <w:color w:val="auto"/>
              </w:rPr>
            </w:pPr>
            <w:r>
              <w:rPr>
                <w:rFonts w:ascii="Times New Roman" w:cs="Times New Roman" w:eastAsia="Times New Roman" w:hAnsi="Times New Roman"/>
                <w:sz w:val="18"/>
                <w:szCs w:val="18"/>
                <w:color w:val="auto"/>
              </w:rPr>
              <w:t>Curaleaf Holdings, Inc.</w:t>
            </w:r>
          </w:p>
        </w:tc>
        <w:tc>
          <w:tcPr>
            <w:tcW w:w="2440" w:type="dxa"/>
            <w:vAlign w:val="bottom"/>
            <w:shd w:val="clear" w:color="auto" w:fill="C7CDE8"/>
          </w:tcPr>
          <w:p>
            <w:pPr>
              <w:ind w:left="120"/>
              <w:spacing w:after="0"/>
              <w:rPr>
                <w:sz w:val="20"/>
                <w:szCs w:val="20"/>
                <w:color w:val="auto"/>
              </w:rPr>
            </w:pPr>
            <w:r>
              <w:rPr>
                <w:rFonts w:ascii="Times New Roman" w:cs="Times New Roman" w:eastAsia="Times New Roman" w:hAnsi="Times New Roman"/>
                <w:sz w:val="18"/>
                <w:szCs w:val="18"/>
                <w:color w:val="auto"/>
              </w:rPr>
              <w:t>Green Thumb Industries, Inc.</w:t>
            </w:r>
          </w:p>
        </w:tc>
        <w:tc>
          <w:tcPr>
            <w:tcW w:w="2600" w:type="dxa"/>
            <w:vAlign w:val="bottom"/>
            <w:shd w:val="clear" w:color="auto" w:fill="C7CDE8"/>
          </w:tcPr>
          <w:p>
            <w:pPr>
              <w:ind w:left="200"/>
              <w:spacing w:after="0"/>
              <w:rPr>
                <w:sz w:val="20"/>
                <w:szCs w:val="20"/>
                <w:color w:val="auto"/>
              </w:rPr>
            </w:pPr>
            <w:r>
              <w:rPr>
                <w:rFonts w:ascii="Times New Roman" w:cs="Times New Roman" w:eastAsia="Times New Roman" w:hAnsi="Times New Roman"/>
                <w:sz w:val="18"/>
                <w:szCs w:val="18"/>
                <w:color w:val="auto"/>
              </w:rPr>
              <w:t>Trulieve Cannabis Corp.</w:t>
            </w:r>
          </w:p>
        </w:tc>
        <w:tc>
          <w:tcPr>
            <w:tcW w:w="1300" w:type="dxa"/>
            <w:vAlign w:val="bottom"/>
          </w:tcPr>
          <w:p>
            <w:pPr>
              <w:spacing w:after="0"/>
              <w:rPr>
                <w:sz w:val="20"/>
                <w:szCs w:val="20"/>
                <w:color w:val="auto"/>
              </w:rPr>
            </w:pPr>
          </w:p>
        </w:tc>
      </w:tr>
      <w:tr>
        <w:trPr>
          <w:trHeight w:val="194"/>
        </w:trPr>
        <w:tc>
          <w:tcPr>
            <w:tcW w:w="1300" w:type="dxa"/>
            <w:vAlign w:val="bottom"/>
          </w:tcPr>
          <w:p>
            <w:pPr>
              <w:spacing w:after="0"/>
              <w:rPr>
                <w:sz w:val="16"/>
                <w:szCs w:val="16"/>
                <w:color w:val="auto"/>
              </w:rPr>
            </w:pPr>
          </w:p>
        </w:tc>
        <w:tc>
          <w:tcPr>
            <w:tcW w:w="338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Biotechnology/Pharmaceutical/Technology</w:t>
            </w:r>
          </w:p>
        </w:tc>
        <w:tc>
          <w:tcPr>
            <w:tcW w:w="2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0"/>
        </w:trPr>
        <w:tc>
          <w:tcPr>
            <w:tcW w:w="1300" w:type="dxa"/>
            <w:vAlign w:val="bottom"/>
          </w:tcPr>
          <w:p>
            <w:pPr>
              <w:spacing w:after="0"/>
              <w:rPr>
                <w:sz w:val="19"/>
                <w:szCs w:val="19"/>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Companies</w:t>
            </w:r>
          </w:p>
        </w:tc>
        <w:tc>
          <w:tcPr>
            <w:tcW w:w="2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Catalent, Inc.</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Etsy, Inc.</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Neurocrine Biosciences, Inc.</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3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DocuSign, Inc.</w:t>
            </w: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Incyte Corporation</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Unity Software Inc.</w:t>
            </w:r>
          </w:p>
        </w:tc>
        <w:tc>
          <w:tcPr>
            <w:tcW w:w="1300" w:type="dxa"/>
            <w:vAlign w:val="bottom"/>
          </w:tcPr>
          <w:p>
            <w:pPr>
              <w:spacing w:after="0"/>
              <w:rPr>
                <w:sz w:val="20"/>
                <w:szCs w:val="20"/>
                <w:color w:val="auto"/>
              </w:rPr>
            </w:pPr>
          </w:p>
        </w:tc>
      </w:tr>
      <w:tr>
        <w:trPr>
          <w:trHeight w:val="194"/>
        </w:trPr>
        <w:tc>
          <w:tcPr>
            <w:tcW w:w="1300" w:type="dxa"/>
            <w:vAlign w:val="bottom"/>
          </w:tcPr>
          <w:p>
            <w:pPr>
              <w:spacing w:after="0"/>
              <w:rPr>
                <w:sz w:val="16"/>
                <w:szCs w:val="16"/>
                <w:color w:val="auto"/>
              </w:rPr>
            </w:pPr>
          </w:p>
        </w:tc>
        <w:tc>
          <w:tcPr>
            <w:tcW w:w="3380" w:type="dxa"/>
            <w:vAlign w:val="bottom"/>
            <w:shd w:val="clear" w:color="auto" w:fill="C7CDE8"/>
          </w:tcPr>
          <w:p>
            <w:pPr>
              <w:ind w:left="80"/>
              <w:spacing w:after="0" w:line="194" w:lineRule="exact"/>
              <w:rPr>
                <w:sz w:val="20"/>
                <w:szCs w:val="20"/>
                <w:color w:val="auto"/>
              </w:rPr>
            </w:pPr>
            <w:r>
              <w:rPr>
                <w:rFonts w:ascii="Times New Roman" w:cs="Times New Roman" w:eastAsia="Times New Roman" w:hAnsi="Times New Roman"/>
                <w:sz w:val="18"/>
                <w:szCs w:val="18"/>
                <w:b w:val="1"/>
                <w:bCs w:val="1"/>
                <w:i w:val="1"/>
                <w:iCs w:val="1"/>
                <w:color w:val="auto"/>
              </w:rPr>
              <w:t>Consumer Packaged Goods/Alcohol</w:t>
            </w:r>
          </w:p>
        </w:tc>
        <w:tc>
          <w:tcPr>
            <w:tcW w:w="2440" w:type="dxa"/>
            <w:vAlign w:val="bottom"/>
            <w:shd w:val="clear" w:color="auto" w:fill="C7CDE8"/>
          </w:tcPr>
          <w:p>
            <w:pPr>
              <w:spacing w:after="0"/>
              <w:rPr>
                <w:sz w:val="16"/>
                <w:szCs w:val="16"/>
                <w:color w:val="auto"/>
              </w:rPr>
            </w:pPr>
          </w:p>
        </w:tc>
        <w:tc>
          <w:tcPr>
            <w:tcW w:w="2600" w:type="dxa"/>
            <w:vAlign w:val="bottom"/>
            <w:shd w:val="clear" w:color="auto" w:fill="C7CDE8"/>
          </w:tcPr>
          <w:p>
            <w:pPr>
              <w:spacing w:after="0"/>
              <w:rPr>
                <w:sz w:val="16"/>
                <w:szCs w:val="16"/>
                <w:color w:val="auto"/>
              </w:rPr>
            </w:pPr>
          </w:p>
        </w:tc>
        <w:tc>
          <w:tcPr>
            <w:tcW w:w="1300" w:type="dxa"/>
            <w:vAlign w:val="bottom"/>
          </w:tcPr>
          <w:p>
            <w:pPr>
              <w:spacing w:after="0"/>
              <w:rPr>
                <w:sz w:val="16"/>
                <w:szCs w:val="16"/>
                <w:color w:val="auto"/>
              </w:rPr>
            </w:pPr>
          </w:p>
        </w:tc>
      </w:tr>
      <w:tr>
        <w:trPr>
          <w:trHeight w:val="220"/>
        </w:trPr>
        <w:tc>
          <w:tcPr>
            <w:tcW w:w="1300" w:type="dxa"/>
            <w:vAlign w:val="bottom"/>
          </w:tcPr>
          <w:p>
            <w:pPr>
              <w:spacing w:after="0"/>
              <w:rPr>
                <w:sz w:val="19"/>
                <w:szCs w:val="19"/>
                <w:color w:val="auto"/>
              </w:rPr>
            </w:pPr>
          </w:p>
        </w:tc>
        <w:tc>
          <w:tcPr>
            <w:tcW w:w="33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Companies</w:t>
            </w:r>
          </w:p>
        </w:tc>
        <w:tc>
          <w:tcPr>
            <w:tcW w:w="2440" w:type="dxa"/>
            <w:vAlign w:val="bottom"/>
            <w:shd w:val="clear" w:color="auto" w:fill="C7CDE8"/>
          </w:tcPr>
          <w:p>
            <w:pPr>
              <w:spacing w:after="0"/>
              <w:rPr>
                <w:sz w:val="19"/>
                <w:szCs w:val="19"/>
                <w:color w:val="auto"/>
              </w:rPr>
            </w:pPr>
          </w:p>
        </w:tc>
        <w:tc>
          <w:tcPr>
            <w:tcW w:w="2600" w:type="dxa"/>
            <w:vAlign w:val="bottom"/>
            <w:shd w:val="clear" w:color="auto" w:fill="C7CDE8"/>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33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   Beyond Meat</w:t>
            </w:r>
          </w:p>
        </w:tc>
        <w:tc>
          <w:tcPr>
            <w:tcW w:w="2440" w:type="dxa"/>
            <w:vAlign w:val="bottom"/>
            <w:shd w:val="clear" w:color="auto" w:fill="C7CDE8"/>
          </w:tcPr>
          <w:p>
            <w:pPr>
              <w:ind w:left="120"/>
              <w:spacing w:after="0"/>
              <w:rPr>
                <w:sz w:val="20"/>
                <w:szCs w:val="20"/>
                <w:color w:val="auto"/>
              </w:rPr>
            </w:pPr>
            <w:r>
              <w:rPr>
                <w:rFonts w:ascii="Times New Roman" w:cs="Times New Roman" w:eastAsia="Times New Roman" w:hAnsi="Times New Roman"/>
                <w:sz w:val="18"/>
                <w:szCs w:val="18"/>
                <w:color w:val="auto"/>
              </w:rPr>
              <w:t>Monster Beverage</w:t>
            </w:r>
          </w:p>
        </w:tc>
        <w:tc>
          <w:tcPr>
            <w:tcW w:w="2600" w:type="dxa"/>
            <w:vAlign w:val="bottom"/>
            <w:shd w:val="clear" w:color="auto" w:fill="C7CDE8"/>
          </w:tcPr>
          <w:p>
            <w:pPr>
              <w:ind w:left="200"/>
              <w:spacing w:after="0"/>
              <w:rPr>
                <w:sz w:val="20"/>
                <w:szCs w:val="20"/>
                <w:color w:val="auto"/>
              </w:rPr>
            </w:pPr>
            <w:r>
              <w:rPr>
                <w:rFonts w:ascii="Times New Roman" w:cs="Times New Roman" w:eastAsia="Times New Roman" w:hAnsi="Times New Roman"/>
                <w:sz w:val="18"/>
                <w:szCs w:val="18"/>
                <w:color w:val="auto"/>
              </w:rPr>
              <w:t>The Boston Beer Company, Inc.</w:t>
            </w: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3380" w:type="dxa"/>
            <w:vAlign w:val="bottom"/>
            <w:tcBorders>
              <w:bottom w:val="single" w:sz="8" w:color="C7CDE8"/>
            </w:tcBorders>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Constellation Brands, Inc.</w:t>
            </w:r>
          </w:p>
        </w:tc>
        <w:tc>
          <w:tcPr>
            <w:tcW w:w="2440" w:type="dxa"/>
            <w:vAlign w:val="bottom"/>
            <w:tcBorders>
              <w:bottom w:val="single" w:sz="8" w:color="C7CDE8"/>
            </w:tcBorders>
            <w:shd w:val="clear" w:color="auto" w:fill="C7CDE8"/>
          </w:tcPr>
          <w:p>
            <w:pPr>
              <w:ind w:left="120"/>
              <w:spacing w:after="0"/>
              <w:rPr>
                <w:sz w:val="20"/>
                <w:szCs w:val="20"/>
                <w:color w:val="auto"/>
              </w:rPr>
            </w:pPr>
            <w:r>
              <w:rPr>
                <w:rFonts w:ascii="Times New Roman" w:cs="Times New Roman" w:eastAsia="Times New Roman" w:hAnsi="Times New Roman"/>
                <w:sz w:val="18"/>
                <w:szCs w:val="18"/>
                <w:color w:val="auto"/>
              </w:rPr>
              <w:t>National Beverage</w:t>
            </w:r>
          </w:p>
        </w:tc>
        <w:tc>
          <w:tcPr>
            <w:tcW w:w="2600" w:type="dxa"/>
            <w:vAlign w:val="bottom"/>
            <w:tcBorders>
              <w:bottom w:val="single" w:sz="8" w:color="C7CDE8"/>
            </w:tcBorders>
            <w:shd w:val="clear" w:color="auto" w:fill="C7CDE8"/>
          </w:tcPr>
          <w:p>
            <w:pPr>
              <w:ind w:left="200"/>
              <w:spacing w:after="0"/>
              <w:rPr>
                <w:sz w:val="20"/>
                <w:szCs w:val="20"/>
                <w:color w:val="auto"/>
              </w:rPr>
            </w:pPr>
            <w:r>
              <w:rPr>
                <w:rFonts w:ascii="Times New Roman" w:cs="Times New Roman" w:eastAsia="Times New Roman" w:hAnsi="Times New Roman"/>
                <w:sz w:val="18"/>
                <w:szCs w:val="18"/>
                <w:color w:val="auto"/>
              </w:rPr>
              <w:t>The Simply Good Food Co.</w:t>
            </w:r>
          </w:p>
        </w:tc>
        <w:tc>
          <w:tcPr>
            <w:tcW w:w="1300" w:type="dxa"/>
            <w:vAlign w:val="bottom"/>
          </w:tcPr>
          <w:p>
            <w:pPr>
              <w:spacing w:after="0"/>
              <w:rPr>
                <w:sz w:val="23"/>
                <w:szCs w:val="23"/>
                <w:color w:val="auto"/>
              </w:rPr>
            </w:pPr>
          </w:p>
        </w:tc>
      </w:tr>
      <w:tr>
        <w:trPr>
          <w:trHeight w:val="540"/>
        </w:trPr>
        <w:tc>
          <w:tcPr>
            <w:tcW w:w="13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4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27</w:t>
            </w:r>
          </w:p>
        </w:tc>
        <w:tc>
          <w:tcPr>
            <w:tcW w:w="26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6"/>
        </w:trPr>
        <w:tc>
          <w:tcPr>
            <w:tcW w:w="13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21" w:right="439" w:bottom="1440" w:gutter="0" w:footer="0" w:header="0"/>
        </w:sectPr>
      </w:pPr>
    </w:p>
    <w:bookmarkStart w:id="31" w:name="page32"/>
    <w:bookmarkEnd w:id="31"/>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Based on Korn Ferry’s guidance, no changes were made to this peer group for purposes of Fiscal Year 2024 compensation. As the cannabis industry and our business evolves and diversifies, the Compensation Committee will continue to evaluate the appropriateness of each peer annually and make any necessary changes for Fiscal Year 2025.</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Elements of Compensation for Fiscal Year 2024 Compensation</w:t>
      </w:r>
    </w:p>
    <w:p>
      <w:pPr>
        <w:spacing w:after="0" w:line="10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and historically stock options,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w:t>
      </w:r>
    </w:p>
    <w:p>
      <w:pPr>
        <w:spacing w:after="0" w:line="81"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In reviewing our senior executive compensation, the Compensation Committee considers data regarding the competitive market for senior executive talent. Relevant comparisons among executives at these companies are identified and are then compared to the comparable executive at Tilray.</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Key Components of Tilray Compensation Plan</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Primary Purpose</w:t>
            </w:r>
          </w:p>
        </w:tc>
      </w:tr>
      <w:tr>
        <w:trPr>
          <w:trHeight w:val="23"/>
        </w:trPr>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5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8"/>
              </w:rPr>
              <w:t>Cash Compensation</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Pr>
          <w:p>
            <w:pPr>
              <w:spacing w:after="0"/>
              <w:rPr>
                <w:sz w:val="17"/>
                <w:szCs w:val="17"/>
                <w:color w:val="auto"/>
              </w:rPr>
            </w:pPr>
          </w:p>
        </w:tc>
      </w:tr>
      <w:tr>
        <w:trPr>
          <w:trHeight w:val="286"/>
        </w:trPr>
        <w:tc>
          <w:tcPr>
            <w:tcW w:w="4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annual compensation for</w:t>
            </w:r>
          </w:p>
        </w:tc>
      </w:tr>
      <w:tr>
        <w:trPr>
          <w:trHeight w:val="216"/>
        </w:trPr>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ongoing services performed,</w:t>
            </w:r>
          </w:p>
        </w:tc>
      </w:tr>
      <w:tr>
        <w:trPr>
          <w:trHeight w:val="234"/>
        </w:trPr>
        <w:tc>
          <w:tcPr>
            <w:tcW w:w="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tenure, and role</w:t>
            </w:r>
          </w:p>
        </w:tc>
      </w:tr>
      <w:tr>
        <w:trPr>
          <w:trHeight w:val="283"/>
        </w:trPr>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Continuity</w:t>
            </w:r>
          </w:p>
        </w:tc>
      </w:tr>
      <w:tr>
        <w:trPr>
          <w:trHeight w:val="261"/>
        </w:trPr>
        <w:tc>
          <w:tcPr>
            <w:tcW w:w="40" w:type="dxa"/>
            <w:vAlign w:val="bottom"/>
          </w:tcPr>
          <w:p>
            <w:pPr>
              <w:spacing w:after="0"/>
              <w:rPr>
                <w:sz w:val="22"/>
                <w:szCs w:val="22"/>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Annual Performance-based</w:t>
            </w:r>
          </w:p>
        </w:tc>
        <w:tc>
          <w:tcPr>
            <w:tcW w:w="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Reinforce and drive short-term</w:t>
            </w:r>
          </w:p>
        </w:tc>
      </w:tr>
      <w:tr>
        <w:trPr>
          <w:trHeight w:val="238"/>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priorities and business results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-1104900</wp:posOffset>
            </wp:positionV>
            <wp:extent cx="5349240"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Recognize and reward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business, and</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individual performance,</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including for awards for</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material transactions</w:t>
            </w:r>
          </w:p>
        </w:tc>
      </w:tr>
      <w:tr>
        <w:trPr>
          <w:trHeight w:val="459"/>
        </w:trPr>
        <w:tc>
          <w:tcPr>
            <w:tcW w:w="2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 Award Compensation</w:t>
            </w:r>
          </w:p>
        </w:tc>
        <w:tc>
          <w:tcPr>
            <w:tcW w:w="2280" w:type="dxa"/>
            <w:vAlign w:val="bottom"/>
          </w:tcPr>
          <w:p>
            <w:pPr>
              <w:spacing w:after="0"/>
              <w:rPr>
                <w:sz w:val="24"/>
                <w:szCs w:val="24"/>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PSU Awards</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Reinforce and drive long-term</w:t>
            </w: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described below)</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value</w:t>
            </w:r>
          </w:p>
        </w:tc>
      </w:tr>
      <w:tr>
        <w:trPr>
          <w:trHeight w:val="265"/>
        </w:trPr>
        <w:tc>
          <w:tcPr>
            <w:tcW w:w="2000" w:type="dxa"/>
            <w:vAlign w:val="bottom"/>
          </w:tcPr>
          <w:p>
            <w:pPr>
              <w:spacing w:after="0"/>
              <w:rPr>
                <w:sz w:val="23"/>
                <w:szCs w:val="23"/>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At risk equity awards based on</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achievement of Company’s</w:t>
            </w:r>
          </w:p>
        </w:tc>
      </w:tr>
      <w:tr>
        <w:trPr>
          <w:trHeight w:val="216"/>
        </w:trPr>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performance and</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w:t>
            </w:r>
          </w:p>
        </w:tc>
      </w:tr>
      <w:tr>
        <w:trPr>
          <w:trHeight w:val="261"/>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Annual Long-term</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Reinforce and drive long-term</w:t>
            </w:r>
          </w:p>
        </w:tc>
      </w:tr>
      <w:tr>
        <w:trPr>
          <w:trHeight w:val="238"/>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incentives (LTIP RSUs)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stockholder value</w:t>
            </w:r>
          </w:p>
        </w:tc>
      </w:tr>
      <w:tr>
        <w:trPr>
          <w:trHeight w:val="265"/>
        </w:trPr>
        <w:tc>
          <w:tcPr>
            <w:tcW w:w="2000" w:type="dxa"/>
            <w:vAlign w:val="bottom"/>
          </w:tcPr>
          <w:p>
            <w:pPr>
              <w:spacing w:after="0"/>
              <w:rPr>
                <w:sz w:val="23"/>
                <w:szCs w:val="23"/>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Retention of key employees</w:t>
            </w:r>
          </w:p>
        </w:tc>
      </w:tr>
      <w:tr>
        <w:trPr>
          <w:trHeight w:val="234"/>
        </w:trPr>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during applicable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-1696720</wp:posOffset>
            </wp:positionV>
            <wp:extent cx="534924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8"/>
          <w:szCs w:val="18"/>
          <w:color w:val="auto"/>
        </w:rPr>
        <w:t>periods</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61"/>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60" w:type="dxa"/>
            <w:vAlign w:val="bottom"/>
          </w:tcPr>
          <w:p>
            <w:pPr>
              <w:spacing w:after="0"/>
              <w:rPr>
                <w:sz w:val="13"/>
                <w:szCs w:val="13"/>
                <w:color w:val="auto"/>
              </w:rPr>
            </w:pPr>
          </w:p>
        </w:tc>
        <w:tc>
          <w:tcPr>
            <w:tcW w:w="25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Details</w:t>
            </w:r>
          </w:p>
        </w:tc>
        <w:tc>
          <w:tcPr>
            <w:tcW w:w="0" w:type="dxa"/>
            <w:vAlign w:val="bottom"/>
          </w:tcPr>
          <w:p>
            <w:pPr>
              <w:spacing w:after="0"/>
              <w:rPr>
                <w:sz w:val="1"/>
                <w:szCs w:val="1"/>
                <w:color w:val="auto"/>
              </w:rPr>
            </w:pPr>
          </w:p>
        </w:tc>
      </w:tr>
      <w:tr>
        <w:trPr>
          <w:trHeight w:val="190"/>
        </w:trPr>
        <w:tc>
          <w:tcPr>
            <w:tcW w:w="8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60" w:type="dxa"/>
            <w:vAlign w:val="bottom"/>
          </w:tcPr>
          <w:p>
            <w:pPr>
              <w:spacing w:after="0"/>
              <w:rPr>
                <w:sz w:val="16"/>
                <w:szCs w:val="16"/>
                <w:color w:val="auto"/>
              </w:rPr>
            </w:pP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Ongoing</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 Provided in cash each pay</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 Intended to be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competitive in marketplace and</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retain key employees</w:t>
            </w:r>
          </w:p>
        </w:tc>
        <w:tc>
          <w:tcPr>
            <w:tcW w:w="0" w:type="dxa"/>
            <w:vAlign w:val="bottom"/>
          </w:tcPr>
          <w:p>
            <w:pPr>
              <w:spacing w:after="0"/>
              <w:rPr>
                <w:sz w:val="1"/>
                <w:szCs w:val="1"/>
                <w:color w:val="auto"/>
              </w:rPr>
            </w:pPr>
          </w:p>
        </w:tc>
      </w:tr>
      <w:tr>
        <w:trPr>
          <w:trHeight w:val="33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 1 year</w:t>
            </w:r>
          </w:p>
        </w:tc>
        <w:tc>
          <w:tcPr>
            <w:tcW w:w="60" w:type="dxa"/>
            <w:vAlign w:val="bottom"/>
          </w:tcPr>
          <w:p>
            <w:pPr>
              <w:spacing w:after="0"/>
              <w:rPr>
                <w:sz w:val="24"/>
                <w:szCs w:val="24"/>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 Target award based on a</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percentage of salary; limited to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 of base salary for senior</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executives (except for the CEO</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whose percentages range from</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 to 350% of salary)</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088" w:right="419" w:hanging="143"/>
        <w:spacing w:after="0" w:line="256" w:lineRule="auto"/>
        <w:tabs>
          <w:tab w:leader="none" w:pos="108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Incentivizes and rewards the achievement of predetermined corporate and business short-term objectives that are aligned with our strategic plan as well as individual performance</w:t>
      </w:r>
    </w:p>
    <w:p>
      <w:pPr>
        <w:spacing w:after="0" w:line="322" w:lineRule="exact"/>
        <w:rPr>
          <w:rFonts w:ascii="Times New Roman" w:cs="Times New Roman" w:eastAsia="Times New Roman" w:hAnsi="Times New Roman"/>
          <w:sz w:val="18"/>
          <w:szCs w:val="18"/>
          <w:color w:val="auto"/>
        </w:rPr>
      </w:pPr>
    </w:p>
    <w:p>
      <w:pPr>
        <w:ind w:left="128" w:hanging="128"/>
        <w:spacing w:after="0"/>
        <w:tabs>
          <w:tab w:leader="none" w:pos="12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 The Compensation Committee</w:t>
      </w:r>
    </w:p>
    <w:p>
      <w:pPr>
        <w:spacing w:after="0" w:line="1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 years</w:t>
            </w: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issued at-risk grants to the NEOs</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 July 2023 and April 2024 that</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included both time and</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8"/>
              </w:rPr>
              <w:t>performance-based vesting terms</w:t>
            </w:r>
          </w:p>
        </w:tc>
      </w:tr>
      <w:tr>
        <w:trPr>
          <w:trHeight w:val="234"/>
        </w:trPr>
        <w:tc>
          <w:tcPr>
            <w:tcW w:w="78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conditions</w:t>
            </w:r>
          </w:p>
        </w:tc>
      </w:tr>
      <w:tr>
        <w:trPr>
          <w:trHeight w:val="333"/>
        </w:trPr>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 2 years</w:t>
            </w: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Annual grants of LTIP RSUs:</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grant value is based on</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applicable market-driven metrics</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level and percentage of salary</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with 50% of the shares vesting</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one year from the vesting</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commencement date and the</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remaining 50% of the shares</w:t>
            </w:r>
          </w:p>
        </w:tc>
      </w:tr>
      <w:tr>
        <w:trPr>
          <w:trHeight w:val="216"/>
        </w:trPr>
        <w:tc>
          <w:tcPr>
            <w:tcW w:w="78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vesting on the second</w:t>
            </w:r>
          </w:p>
        </w:tc>
      </w:tr>
      <w:tr>
        <w:trPr>
          <w:trHeight w:val="234"/>
        </w:trPr>
        <w:tc>
          <w:tcPr>
            <w:tcW w:w="780" w:type="dxa"/>
            <w:vAlign w:val="bottom"/>
          </w:tcPr>
          <w:p>
            <w:pPr>
              <w:spacing w:after="0"/>
              <w:rPr>
                <w:sz w:val="20"/>
                <w:szCs w:val="20"/>
                <w:color w:val="auto"/>
              </w:rPr>
            </w:pPr>
          </w:p>
        </w:tc>
        <w:tc>
          <w:tcPr>
            <w:tcW w:w="2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anniversary of the grant date.</w:t>
            </w:r>
          </w:p>
        </w:tc>
      </w:tr>
    </w:tbl>
    <w:p>
      <w:pPr>
        <w:spacing w:after="0" w:line="200" w:lineRule="exact"/>
        <w:rPr>
          <w:sz w:val="20"/>
          <w:szCs w:val="20"/>
          <w:color w:val="auto"/>
        </w:rPr>
      </w:pPr>
    </w:p>
    <w:p>
      <w:pPr>
        <w:sectPr>
          <w:pgSz w:w="11900" w:h="16838" w:orient="portrait"/>
          <w:cols w:equalWidth="0" w:num="2">
            <w:col w:w="5100" w:space="52"/>
            <w:col w:w="3867"/>
          </w:cols>
          <w:pgMar w:left="1440" w:top="124" w:right="1440" w:bottom="1440" w:gutter="0" w:footer="0" w:header="0"/>
        </w:sectPr>
      </w:pPr>
    </w:p>
    <w:p>
      <w:pPr>
        <w:spacing w:after="0" w:line="26" w:lineRule="exact"/>
        <w:rPr>
          <w:sz w:val="20"/>
          <w:szCs w:val="20"/>
          <w:color w:val="auto"/>
        </w:rPr>
      </w:pPr>
    </w:p>
    <w:p>
      <w:pPr>
        <w:ind w:left="660" w:right="519"/>
        <w:spacing w:after="0" w:line="278" w:lineRule="auto"/>
        <w:rPr>
          <w:sz w:val="20"/>
          <w:szCs w:val="20"/>
          <w:color w:val="auto"/>
        </w:rPr>
      </w:pPr>
      <w:r>
        <w:rPr>
          <w:rFonts w:ascii="Arial" w:cs="Arial" w:eastAsia="Arial" w:hAnsi="Arial"/>
          <w:sz w:val="18"/>
          <w:szCs w:val="18"/>
          <w:b w:val="1"/>
          <w:bCs w:val="1"/>
          <w:i w:val="1"/>
          <w:iCs w:val="1"/>
          <w:color w:val="auto"/>
        </w:rPr>
        <w:t>Shareholder Engagement in Response to Say-on-Pay Vote: Improvements to Compensation Practices and Governance Initiatives</w:t>
      </w:r>
    </w:p>
    <w:p>
      <w:pPr>
        <w:spacing w:after="0" w:line="32"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In the Company’s most recent “say-on-pay” advisory vote under the Company’s 2023 Proxy Statement, approximately 75% of the shareholder votes cast were voted in favor of our executive compensation program. In response to these disappointing voting results, management and the Board engaged in shareholder outreach and solicitation of feedback, including through multiple “Ask Me Anything” (AMA) forums on Reddit. Following these discussions, and to ensure we understood shareholder concerns, management and the Board undertook the following initiatives to improve our compensation practices and corporate governance.</w:t>
      </w:r>
    </w:p>
    <w:p>
      <w:pPr>
        <w:spacing w:after="0" w:line="79"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First, the Compensation Committee engaged Korn Ferry as an independent consultant to provide an extensive competitive analysis and to advise it on new potential compensation arrangements that were implemented in July 2023.</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type w:val="continuous"/>
        </w:sectPr>
      </w:pPr>
    </w:p>
    <w:bookmarkStart w:id="33" w:name="page34"/>
    <w:bookmarkEnd w:id="33"/>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Third, the Board adopted and implemented a “clawback policy” in 2023, pursuant to which the Company will be entitled to recover erroneously awarded incentive-based compensation from its executive officers in the event the Company is required to prepare an accounting restatement to correct previously-issued financial statements.</w:t>
      </w:r>
    </w:p>
    <w:p>
      <w:pPr>
        <w:spacing w:after="0" w:line="68"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As a Large Accelerated Filer, the Nasdaq Global Select Market requires the Company to periodically hold a nonbinding advisory vote on our NEO compensation. Pursuant to an advisory vote at the Fiscal Year 2021 annual meeting, the Company adopted a frequency of every two years for solicitation of an advisory vote on our NEO compensation. Accordingly, the most recent vote occurred at the 2023 annual meeting, and the next such vote is expected to be solicited at our 2025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Risk Management Considerations</w:t>
      </w:r>
    </w:p>
    <w:p>
      <w:pPr>
        <w:spacing w:after="0" w:line="10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believes that the following features of performance-based bonus and equity programs appropriately incentivize the creation of long-term stockholder value while discouraging behavior that could lead to excessive risk:</w:t>
      </w:r>
    </w:p>
    <w:p>
      <w:pPr>
        <w:spacing w:after="0" w:line="66" w:lineRule="exact"/>
        <w:rPr>
          <w:sz w:val="20"/>
          <w:szCs w:val="20"/>
          <w:color w:val="auto"/>
        </w:rPr>
      </w:pPr>
    </w:p>
    <w:p>
      <w:pPr>
        <w:jc w:val="both"/>
        <w:ind w:left="1000" w:right="539" w:hanging="348"/>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Performance Measures. </w:t>
      </w:r>
      <w:r>
        <w:rPr>
          <w:rFonts w:ascii="Times New Roman" w:cs="Times New Roman" w:eastAsia="Times New Roman" w:hAnsi="Times New Roman"/>
          <w:sz w:val="18"/>
          <w:szCs w:val="18"/>
          <w:color w:val="auto"/>
        </w:rPr>
        <w:t>The financial metrics used to determine the amount of an executive’s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are measures the Committee believes drive long-term stockholder value. The ranges set for these measures are intended to reward success without encouraging excessive risk-taking.</w:t>
      </w:r>
    </w:p>
    <w:p>
      <w:pPr>
        <w:spacing w:after="0" w:line="65" w:lineRule="exact"/>
        <w:rPr>
          <w:rFonts w:ascii="Times New Roman" w:cs="Times New Roman" w:eastAsia="Times New Roman" w:hAnsi="Times New Roman"/>
          <w:sz w:val="18"/>
          <w:szCs w:val="18"/>
          <w:color w:val="auto"/>
        </w:rPr>
      </w:pPr>
    </w:p>
    <w:p>
      <w:pPr>
        <w:ind w:left="1000" w:right="519" w:hanging="348"/>
        <w:spacing w:after="0" w:line="25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Hedging or Pledging</w:t>
      </w:r>
      <w:r>
        <w:rPr>
          <w:rFonts w:ascii="Times New Roman" w:cs="Times New Roman" w:eastAsia="Times New Roman" w:hAnsi="Times New Roman"/>
          <w:sz w:val="18"/>
          <w:szCs w:val="18"/>
          <w:color w:val="auto"/>
        </w:rPr>
        <w:t>. The Company’s insider trading compliance program prohibits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w:t>
      </w:r>
    </w:p>
    <w:p>
      <w:pPr>
        <w:spacing w:after="0" w:line="75" w:lineRule="exact"/>
        <w:rPr>
          <w:rFonts w:ascii="Times New Roman" w:cs="Times New Roman" w:eastAsia="Times New Roman" w:hAnsi="Times New Roman"/>
          <w:sz w:val="18"/>
          <w:szCs w:val="18"/>
          <w:color w:val="auto"/>
        </w:rPr>
      </w:pPr>
    </w:p>
    <w:p>
      <w:pPr>
        <w:ind w:left="1000" w:right="359" w:hanging="348"/>
        <w:spacing w:after="0" w:line="253"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Policies and Procedures</w:t>
      </w:r>
      <w:r>
        <w:rPr>
          <w:rFonts w:ascii="Times New Roman" w:cs="Times New Roman" w:eastAsia="Times New Roman" w:hAnsi="Times New Roman"/>
          <w:sz w:val="18"/>
          <w:szCs w:val="18"/>
          <w:color w:val="auto"/>
        </w:rPr>
        <w:t>. The Board has adopted an insider trading and trading window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(the “Insider Trading Policy”)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amended (“Rule 10b5-1”). In addition, certain individuals, including directors and officers, are required to receive prior approval from the Chairman and pre-clearance from the Chief Financial Officer and the Global General Counsel prior to engaging in transactions in the Company's securities.</w:t>
      </w:r>
    </w:p>
    <w:p>
      <w:pPr>
        <w:spacing w:after="0" w:line="81"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Pursuant to the terms of the Company’s 2018 Amended and Restated Tilray Brands,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 Plan (the “</w:t>
      </w:r>
      <w:r>
        <w:rPr>
          <w:rFonts w:ascii="Times New Roman" w:cs="Times New Roman" w:eastAsia="Times New Roman" w:hAnsi="Times New Roman"/>
          <w:sz w:val="18"/>
          <w:szCs w:val="18"/>
          <w:b w:val="1"/>
          <w:bCs w:val="1"/>
          <w:i w:val="1"/>
          <w:iCs w:val="1"/>
          <w:color w:val="auto"/>
        </w:rPr>
        <w:t>2018 Equity Plan</w:t>
      </w:r>
      <w:r>
        <w:rPr>
          <w:rFonts w:ascii="Times New Roman" w:cs="Times New Roman" w:eastAsia="Times New Roman" w:hAnsi="Times New Roman"/>
          <w:sz w:val="18"/>
          <w:szCs w:val="18"/>
          <w:color w:val="auto"/>
        </w:rPr>
        <w:t>”),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4" w:name="page35"/>
    <w:bookmarkEnd w:id="34"/>
    <w:p>
      <w:pPr>
        <w:ind w:left="1020" w:right="339"/>
        <w:spacing w:after="0" w:line="252" w:lineRule="auto"/>
        <w:rPr>
          <w:sz w:val="20"/>
          <w:szCs w:val="20"/>
          <w:color w:val="auto"/>
        </w:rPr>
      </w:pPr>
      <w:r>
        <w:rPr>
          <w:rFonts w:ascii="Times New Roman" w:cs="Times New Roman" w:eastAsia="Times New Roman" w:hAnsi="Times New Roman"/>
          <w:sz w:val="18"/>
          <w:szCs w:val="18"/>
          <w:color w:val="auto"/>
        </w:rPr>
        <w:t>On September 13, 2023, the Board adopted a Policy for Recovery of Erroneously Awarded Incentive Compensation (the “</w:t>
      </w:r>
      <w:r>
        <w:rPr>
          <w:rFonts w:ascii="Times New Roman" w:cs="Times New Roman" w:eastAsia="Times New Roman" w:hAnsi="Times New Roman"/>
          <w:sz w:val="18"/>
          <w:szCs w:val="18"/>
          <w:b w:val="1"/>
          <w:bCs w:val="1"/>
          <w:i w:val="1"/>
          <w:iCs w:val="1"/>
          <w:color w:val="auto"/>
        </w:rPr>
        <w:t>Clawback Policy</w:t>
      </w:r>
      <w:r>
        <w:rPr>
          <w:rFonts w:ascii="Times New Roman" w:cs="Times New Roman" w:eastAsia="Times New Roman" w:hAnsi="Times New Roman"/>
          <w:sz w:val="18"/>
          <w:szCs w:val="18"/>
          <w:color w:val="auto"/>
        </w:rPr>
        <w:t>”) in accordance with the recommendation of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The Clawback Policy became effective September 13, 2023, will be administered by the Compensation Committee, and will apply to current and former executive officers of the Company as defined in Rule 10D 1(d) (each an “</w:t>
      </w:r>
      <w:r>
        <w:rPr>
          <w:rFonts w:ascii="Times New Roman" w:cs="Times New Roman" w:eastAsia="Times New Roman" w:hAnsi="Times New Roman"/>
          <w:sz w:val="18"/>
          <w:szCs w:val="18"/>
          <w:b w:val="1"/>
          <w:bCs w:val="1"/>
          <w:i w:val="1"/>
          <w:iCs w:val="1"/>
          <w:color w:val="auto"/>
        </w:rPr>
        <w:t>Affected Officer</w:t>
      </w:r>
      <w:r>
        <w:rPr>
          <w:rFonts w:ascii="Times New Roman" w:cs="Times New Roman" w:eastAsia="Times New Roman" w:hAnsi="Times New Roman"/>
          <w:sz w:val="18"/>
          <w:szCs w:val="18"/>
          <w:color w:val="auto"/>
        </w:rPr>
        <w:t>”) under the Securities Exchange Act of 1934, as amended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 w:cs="Times New Roman" w:eastAsia="Times New Roman" w:hAnsi="Times New Roman"/>
          <w:sz w:val="18"/>
          <w:szCs w:val="18"/>
          <w:b w:val="1"/>
          <w:bCs w:val="1"/>
          <w:i w:val="1"/>
          <w:iCs w:val="1"/>
          <w:color w:val="auto"/>
        </w:rPr>
        <w:t>Restatement</w:t>
      </w:r>
      <w:r>
        <w:rPr>
          <w:rFonts w:ascii="Times New Roman" w:cs="Times New Roman" w:eastAsia="Times New Roman" w:hAnsi="Times New Roman"/>
          <w:sz w:val="18"/>
          <w:szCs w:val="18"/>
          <w:color w:val="auto"/>
        </w:rPr>
        <w:t>”), the Company will recover erroneously awarded incentive-based compensation from its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Total Cash Compensation of NEOs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102" w:lineRule="exact"/>
        <w:rPr>
          <w:sz w:val="20"/>
          <w:szCs w:val="20"/>
          <w:color w:val="auto"/>
        </w:rPr>
      </w:pPr>
    </w:p>
    <w:p>
      <w:pPr>
        <w:ind w:left="300" w:right="639" w:firstLine="360"/>
        <w:spacing w:after="0" w:line="246" w:lineRule="auto"/>
        <w:rPr>
          <w:sz w:val="20"/>
          <w:szCs w:val="20"/>
          <w:color w:val="auto"/>
        </w:rPr>
      </w:pPr>
      <w:r>
        <w:rPr>
          <w:rFonts w:ascii="Times New Roman" w:cs="Times New Roman" w:eastAsia="Times New Roman" w:hAnsi="Times New Roman"/>
          <w:sz w:val="18"/>
          <w:szCs w:val="18"/>
          <w:color w:val="auto"/>
        </w:rPr>
        <w:t>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w:t>
      </w:r>
    </w:p>
    <w:p>
      <w:pPr>
        <w:spacing w:after="0" w:line="73"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Adjustments in total cash compensation targets may then be made based on factors such as an executive’s duties and responsibilities and his or her position in the Company, an executive’s individual contributions, as well as management’s financial forecasts for the upcoming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Fiscal Year 2024 Base Salary and Total Cash Compensation Determinations</w:t>
      </w:r>
    </w:p>
    <w:p>
      <w:pPr>
        <w:spacing w:after="0" w:line="102" w:lineRule="exact"/>
        <w:rPr>
          <w:sz w:val="20"/>
          <w:szCs w:val="20"/>
          <w:color w:val="auto"/>
        </w:rPr>
      </w:pPr>
    </w:p>
    <w:p>
      <w:pPr>
        <w:ind w:left="300" w:right="339" w:firstLine="360"/>
        <w:spacing w:after="0" w:line="243" w:lineRule="auto"/>
        <w:rPr>
          <w:sz w:val="20"/>
          <w:szCs w:val="20"/>
          <w:color w:val="auto"/>
        </w:rPr>
      </w:pPr>
      <w:r>
        <w:rPr>
          <w:rFonts w:ascii="Times New Roman" w:cs="Times New Roman" w:eastAsia="Times New Roman" w:hAnsi="Times New Roman"/>
          <w:sz w:val="18"/>
          <w:szCs w:val="18"/>
          <w:color w:val="auto"/>
        </w:rPr>
        <w:t>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but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w:t>
      </w:r>
    </w:p>
    <w:p>
      <w:pPr>
        <w:spacing w:after="0" w:line="78" w:lineRule="exact"/>
        <w:rPr>
          <w:sz w:val="20"/>
          <w:szCs w:val="20"/>
          <w:color w:val="auto"/>
        </w:rPr>
      </w:pPr>
    </w:p>
    <w:p>
      <w:pPr>
        <w:ind w:left="300" w:right="379" w:firstLine="360"/>
        <w:spacing w:after="0" w:line="245" w:lineRule="auto"/>
        <w:rPr>
          <w:sz w:val="20"/>
          <w:szCs w:val="20"/>
          <w:color w:val="auto"/>
        </w:rPr>
      </w:pPr>
      <w:r>
        <w:rPr>
          <w:rFonts w:ascii="Times New Roman" w:cs="Times New Roman" w:eastAsia="Times New Roman" w:hAnsi="Times New Roman"/>
          <w:sz w:val="18"/>
          <w:szCs w:val="18"/>
          <w:color w:val="auto"/>
        </w:rPr>
        <w:t>In determining the base salary levels for each of Mr. Simon, Mr. Merton and Ms. Faltischek in connection with their continued employment, the Compensation Committee considered the significant increase in responsibility of these executives post-business combination with Aphria Inc., their respective relevant experience and achievements and the level of compensation of our peer group companies and other survey data and individual negotiations with each executive. For each of Mr. Gendel and Mr. Savell, as a new NEO upon joining the Company, their respective base salaries were determined primarily based on market and competitive conditions applicable to their specific position.</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each NEO, the annualized base salary for the 2024 Fiscal Year: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5" w:name="page36"/>
    <w:bookmarkEnd w:id="35"/>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0" w:type="dxa"/>
            <w:vAlign w:val="bottom"/>
          </w:tcPr>
          <w:p>
            <w:pPr>
              <w:spacing w:after="0"/>
              <w:rPr>
                <w:sz w:val="13"/>
                <w:szCs w:val="13"/>
                <w:color w:val="auto"/>
              </w:rPr>
            </w:pPr>
          </w:p>
        </w:tc>
        <w:tc>
          <w:tcPr>
            <w:tcW w:w="1740" w:type="dxa"/>
            <w:vAlign w:val="bottom"/>
            <w:gridSpan w:val="2"/>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Fiscal Year 2024 Base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628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Simon</w:t>
            </w:r>
          </w:p>
        </w:tc>
        <w:tc>
          <w:tcPr>
            <w:tcW w:w="2020" w:type="dxa"/>
            <w:vAlign w:val="bottom"/>
            <w:tcBorders>
              <w:bottom w:val="single" w:sz="8" w:color="C7CDE8"/>
            </w:tcBorders>
            <w:gridSpan w:val="3"/>
            <w:shd w:val="clear" w:color="auto" w:fill="C7CDE8"/>
          </w:tcPr>
          <w:p>
            <w:pPr>
              <w:ind w:left="780"/>
              <w:spacing w:after="0"/>
              <w:rPr>
                <w:sz w:val="20"/>
                <w:szCs w:val="20"/>
                <w:color w:val="auto"/>
              </w:rPr>
            </w:pPr>
            <w:r>
              <w:rPr>
                <w:rFonts w:ascii="Times New Roman" w:cs="Times New Roman" w:eastAsia="Times New Roman" w:hAnsi="Times New Roman"/>
                <w:sz w:val="18"/>
                <w:szCs w:val="18"/>
                <w:color w:val="auto"/>
              </w:rPr>
              <w:t>$1,891,760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6280" w:type="dxa"/>
            <w:vAlign w:val="bottom"/>
          </w:tcPr>
          <w:p>
            <w:pPr>
              <w:ind w:left="40"/>
              <w:spacing w:after="0" w:line="324" w:lineRule="exact"/>
              <w:rPr>
                <w:sz w:val="20"/>
                <w:szCs w:val="20"/>
                <w:color w:val="auto"/>
              </w:rPr>
            </w:pPr>
            <w:r>
              <w:rPr>
                <w:rFonts w:ascii="Times New Roman" w:cs="Times New Roman" w:eastAsia="Times New Roman" w:hAnsi="Times New Roman"/>
                <w:sz w:val="18"/>
                <w:szCs w:val="18"/>
                <w:color w:val="auto"/>
              </w:rPr>
              <w:t>Carl Merton</w:t>
            </w:r>
            <w:r>
              <w:rPr>
                <w:rFonts w:ascii="Times New Roman" w:cs="Times New Roman" w:eastAsia="Times New Roman" w:hAnsi="Times New Roman"/>
                <w:sz w:val="29"/>
                <w:szCs w:val="29"/>
                <w:color w:val="auto"/>
                <w:vertAlign w:val="superscript"/>
              </w:rPr>
              <w:t>(1)</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388,304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7CDE8"/>
            </w:tcBorders>
            <w:shd w:val="clear" w:color="auto" w:fill="C7CDE8"/>
          </w:tcPr>
          <w:p>
            <w:pPr>
              <w:spacing w:after="0"/>
              <w:rPr>
                <w:sz w:val="22"/>
                <w:szCs w:val="22"/>
                <w:color w:val="auto"/>
              </w:rPr>
            </w:pPr>
          </w:p>
        </w:tc>
        <w:tc>
          <w:tcPr>
            <w:tcW w:w="628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Denise Faltischek</w:t>
            </w:r>
          </w:p>
        </w:tc>
        <w:tc>
          <w:tcPr>
            <w:tcW w:w="920" w:type="dxa"/>
            <w:vAlign w:val="bottom"/>
            <w:tcBorders>
              <w:bottom w:val="single" w:sz="8" w:color="C7CDE8"/>
            </w:tcBorders>
            <w:gridSpan w:val="2"/>
            <w:shd w:val="clear" w:color="auto" w:fill="C7CDE8"/>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7CDE8"/>
            </w:tcBorders>
            <w:shd w:val="clear" w:color="auto" w:fill="C7CDE8"/>
          </w:tcPr>
          <w:p>
            <w:pPr>
              <w:jc w:val="right"/>
              <w:ind w:right="334"/>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Mitchell Gendel</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560,000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62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628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Roger Savell</w:t>
            </w:r>
          </w:p>
        </w:tc>
        <w:tc>
          <w:tcPr>
            <w:tcW w:w="920" w:type="dxa"/>
            <w:vAlign w:val="bottom"/>
            <w:gridSpan w:val="2"/>
            <w:shd w:val="clear" w:color="auto" w:fill="C7CDE8"/>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7CDE8"/>
          </w:tcPr>
          <w:p>
            <w:pPr>
              <w:jc w:val="right"/>
              <w:ind w:right="334"/>
              <w:spacing w:after="0"/>
              <w:rPr>
                <w:sz w:val="20"/>
                <w:szCs w:val="20"/>
                <w:color w:val="auto"/>
              </w:rPr>
            </w:pPr>
            <w:r>
              <w:rPr>
                <w:rFonts w:ascii="Times New Roman" w:cs="Times New Roman" w:eastAsia="Times New Roman" w:hAnsi="Times New Roman"/>
                <w:sz w:val="18"/>
                <w:szCs w:val="18"/>
                <w:color w:val="auto"/>
              </w:rPr>
              <w:t>525,000</w:t>
            </w: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6280" w:type="dxa"/>
            <w:vAlign w:val="bottom"/>
            <w:shd w:val="clear" w:color="auto" w:fill="C7CDE8"/>
          </w:tcPr>
          <w:p>
            <w:pPr>
              <w:spacing w:after="0"/>
              <w:rPr>
                <w:sz w:val="4"/>
                <w:szCs w:val="4"/>
                <w:color w:val="auto"/>
              </w:rPr>
            </w:pPr>
          </w:p>
        </w:tc>
        <w:tc>
          <w:tcPr>
            <w:tcW w:w="28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110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9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salary of Mr. Merton is converted into USD with an exchange rate on May 31, 2024 of $0.7326 (USD) to $1.0000 (CAD). The annual salary of Mr. Merton is $530,000 (CAD).</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Annual Performance Bonus Plan</w:t>
      </w:r>
    </w:p>
    <w:p>
      <w:pPr>
        <w:spacing w:after="0" w:line="104"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We offer our NEOs the opportunity to earn annual cash bonuses that are intended to compensate them for achieving short-term company and individual performance goals. Our Compensation Committee establishes the target bonuses of our NEOs, which are evaluated from time to time.</w:t>
      </w:r>
    </w:p>
    <w:p>
      <w:pPr>
        <w:spacing w:after="0" w:line="68"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Company’s compensation program is designed to reward performance relative to corporate financial performance criteria and individual performance. Specifically, the Company’s senior executives are eligible to 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a pre-determined weighting when comparing overall performance against the various individual objectives, and no single objective is material in determining individual awards.</w:t>
      </w:r>
    </w:p>
    <w:p>
      <w:pPr>
        <w:spacing w:after="0" w:line="8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In Fiscal Year 2024, management partially achieved the Company’s financial and operating performance targets. Specifically, management:</w:t>
      </w:r>
    </w:p>
    <w:p>
      <w:pPr>
        <w:spacing w:after="0" w:line="54" w:lineRule="exact"/>
        <w:rPr>
          <w:sz w:val="20"/>
          <w:szCs w:val="20"/>
          <w:color w:val="auto"/>
        </w:rPr>
      </w:pPr>
    </w:p>
    <w:p>
      <w:pPr>
        <w:ind w:left="1000" w:right="359" w:hanging="348"/>
        <w:spacing w:after="0" w:line="25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identified, completed and integrated three (3) strategic acquisition targets, including HEXO Corp. in Canada (acquisition closed July 2023); eight (8) AB craft beverages in the U.S. (acquisition closed in October 2023); and Truss beverages in Canada (acquisition of controlling interest closed in September 2023 and subsequent sale closed in May 2024). Management effectively consolidated and integrated each of these acquired businesses and exceeded all applicable cost-saving targets and facility optimization goals.</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reduction of net leverage ratio at Fiscal Year-end 2024 equal to 1.73, significantly better than the applicable financial target of 2.50 net leverage ratio at Fiscal Year-end 2024.</w:t>
      </w:r>
    </w:p>
    <w:p>
      <w:pPr>
        <w:spacing w:after="0" w:line="5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26% net revenue growth and net revenues of $789 million for Fiscal Year 2024, as compared to revenue target of $715 million. The applicable financial revenue target was not fully achieved if acquisitions were excluded from the applicable calculation.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13" w:lineRule="auto"/>
        <w:tabs>
          <w:tab w:leader="none" w:pos="1000" w:val="left"/>
        </w:tabs>
        <w:numPr>
          <w:ilvl w:val="0"/>
          <w:numId w:val="2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for Fiscal Year 2024 was equal to $60.5 million, as compared to the adjusted EBITDA target of $65 million and investor guidance of $60–63 million. Therefore, despite improved adjusted EBITDA performance in 2024 as compared to Fiscal Year 2023, and despite achieving revised investor guidance, this performance target was determined not to be fully achieved.</w:t>
      </w:r>
    </w:p>
    <w:p>
      <w:pPr>
        <w:spacing w:after="0" w:line="90"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making incentive award determinations, the Committee also considered other impactful initiatives implemented by management, including operational improvements and improved facility utilization levels; expanded distribution opportunities; product innovations and improved production efficiencies; and successful resolution of litigation claims for significantly less than projected amounts. As a result of the Company’s partial achievement of the Company’s financial and operational targets, together with these other significant accomplishments, the Compensation Committee determined to pay annual cash bonus awards in an amount equal to 20-30% of the applicable bonus targets to the NEOs in respect of the Fiscal Year 2024.</w:t>
      </w:r>
    </w:p>
    <w:p>
      <w:pPr>
        <w:spacing w:after="0" w:line="90" w:lineRule="exact"/>
        <w:rPr>
          <w:sz w:val="20"/>
          <w:szCs w:val="20"/>
          <w:color w:val="auto"/>
        </w:rPr>
      </w:pPr>
    </w:p>
    <w:p>
      <w:pPr>
        <w:ind w:left="460" w:right="339" w:hanging="168"/>
        <w:spacing w:after="0" w:line="202" w:lineRule="auto"/>
        <w:tabs>
          <w:tab w:leader="none" w:pos="460" w:val="left"/>
        </w:tabs>
        <w:numPr>
          <w:ilvl w:val="0"/>
          <w:numId w:val="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Adjusted EBITDA is a non-GAAP financial measure. Please see “Reconciliation of Non-GAAP Financial Measures to GAAP Measures” in our Annual Report on Form 10-K for the fiscal year ended May 31, 2024 for a reconciliation of such non-GAAP Measures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-335280</wp:posOffset>
            </wp:positionV>
            <wp:extent cx="8229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10" w:right="1440" w:bottom="1440" w:gutter="0" w:footer="0" w:header="0"/>
        </w:sectPr>
      </w:pPr>
    </w:p>
    <w:bookmarkStart w:id="36" w:name="page37"/>
    <w:bookmarkEnd w:id="36"/>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 Percentage of</w:t>
            </w:r>
          </w:p>
        </w:tc>
        <w:tc>
          <w:tcPr>
            <w:tcW w:w="100" w:type="dxa"/>
            <w:vAlign w:val="bottom"/>
          </w:tcPr>
          <w:p>
            <w:pPr>
              <w:spacing w:after="0"/>
              <w:rPr>
                <w:sz w:val="13"/>
                <w:szCs w:val="13"/>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 Target Amount ($)</w:t>
            </w: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Bonus Amount ($) Paid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Fiscal Year 2024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shd w:val="clear" w:color="auto" w:fill="C7CDE8"/>
          </w:tcPr>
          <w:p>
            <w:pPr>
              <w:spacing w:after="0"/>
              <w:rPr>
                <w:sz w:val="18"/>
                <w:szCs w:val="18"/>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Simon</w:t>
            </w:r>
          </w:p>
        </w:tc>
        <w:tc>
          <w:tcPr>
            <w:tcW w:w="292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9"/>
              </w:rPr>
              <w:t>200%</w:t>
            </w:r>
          </w:p>
        </w:tc>
        <w:tc>
          <w:tcPr>
            <w:tcW w:w="226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8"/>
              </w:rPr>
              <w:t>$3,783,520</w:t>
            </w:r>
          </w:p>
        </w:tc>
        <w:tc>
          <w:tcPr>
            <w:tcW w:w="1620" w:type="dxa"/>
            <w:vAlign w:val="bottom"/>
            <w:gridSpan w:val="2"/>
            <w:shd w:val="clear" w:color="auto" w:fill="C7CDE8"/>
          </w:tcPr>
          <w:p>
            <w:pPr>
              <w:jc w:val="center"/>
              <w:ind w:left="30"/>
              <w:spacing w:after="0"/>
              <w:rPr>
                <w:sz w:val="20"/>
                <w:szCs w:val="20"/>
                <w:color w:val="auto"/>
              </w:rPr>
            </w:pPr>
            <w:r>
              <w:rPr>
                <w:rFonts w:ascii="Times New Roman" w:cs="Times New Roman" w:eastAsia="Times New Roman" w:hAnsi="Times New Roman"/>
                <w:sz w:val="18"/>
                <w:szCs w:val="18"/>
                <w:color w:val="auto"/>
              </w:rPr>
              <w:t>$1,040,000</w:t>
            </w: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0" w:type="dxa"/>
            <w:vAlign w:val="bottom"/>
            <w:tcBorders>
              <w:bottom w:val="single" w:sz="8" w:color="C7CDE8"/>
            </w:tcBorders>
            <w:shd w:val="clear" w:color="auto" w:fill="C7CDE8"/>
          </w:tcPr>
          <w:p>
            <w:pPr>
              <w:spacing w:after="0"/>
              <w:rPr>
                <w:sz w:val="22"/>
                <w:szCs w:val="22"/>
                <w:color w:val="auto"/>
              </w:rPr>
            </w:pPr>
          </w:p>
        </w:tc>
        <w:tc>
          <w:tcPr>
            <w:tcW w:w="1520" w:type="dxa"/>
            <w:vAlign w:val="bottom"/>
            <w:tcBorders>
              <w:bottom w:val="single" w:sz="8" w:color="C7CDE8"/>
            </w:tcBorders>
            <w:shd w:val="clear" w:color="auto" w:fill="C7CDE8"/>
          </w:tcPr>
          <w:p>
            <w:pPr>
              <w:spacing w:after="0"/>
              <w:rPr>
                <w:sz w:val="22"/>
                <w:szCs w:val="22"/>
                <w:color w:val="auto"/>
              </w:rPr>
            </w:pPr>
          </w:p>
        </w:tc>
        <w:tc>
          <w:tcPr>
            <w:tcW w:w="100" w:type="dxa"/>
            <w:vAlign w:val="bottom"/>
            <w:tcBorders>
              <w:bottom w:val="single" w:sz="8" w:color="C7CDE8"/>
            </w:tcBorders>
            <w:shd w:val="clear" w:color="auto" w:fill="C7CDE8"/>
          </w:tcPr>
          <w:p>
            <w:pPr>
              <w:spacing w:after="0"/>
              <w:rPr>
                <w:sz w:val="22"/>
                <w:szCs w:val="22"/>
                <w:color w:val="auto"/>
              </w:rPr>
            </w:pPr>
          </w:p>
        </w:tc>
        <w:tc>
          <w:tcPr>
            <w:tcW w:w="282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rPr>
              <w:t>(up to a maximum of 350%)</w:t>
            </w:r>
          </w:p>
        </w:tc>
        <w:tc>
          <w:tcPr>
            <w:tcW w:w="100" w:type="dxa"/>
            <w:vAlign w:val="bottom"/>
            <w:tcBorders>
              <w:bottom w:val="single" w:sz="8" w:color="C7CDE8"/>
            </w:tcBorders>
            <w:shd w:val="clear" w:color="auto" w:fill="C7CDE8"/>
          </w:tcPr>
          <w:p>
            <w:pPr>
              <w:spacing w:after="0"/>
              <w:rPr>
                <w:sz w:val="22"/>
                <w:szCs w:val="22"/>
                <w:color w:val="auto"/>
              </w:rPr>
            </w:pPr>
          </w:p>
        </w:tc>
        <w:tc>
          <w:tcPr>
            <w:tcW w:w="216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(maximum of $6,621,160)</w:t>
            </w:r>
          </w:p>
        </w:tc>
        <w:tc>
          <w:tcPr>
            <w:tcW w:w="100" w:type="dxa"/>
            <w:vAlign w:val="bottom"/>
            <w:tcBorders>
              <w:bottom w:val="single" w:sz="8" w:color="C7CDE8"/>
            </w:tcBorders>
            <w:shd w:val="clear" w:color="auto" w:fill="C7CDE8"/>
          </w:tcPr>
          <w:p>
            <w:pPr>
              <w:spacing w:after="0"/>
              <w:rPr>
                <w:sz w:val="22"/>
                <w:szCs w:val="22"/>
                <w:color w:val="auto"/>
              </w:rPr>
            </w:pPr>
          </w:p>
        </w:tc>
        <w:tc>
          <w:tcPr>
            <w:tcW w:w="1520" w:type="dxa"/>
            <w:vAlign w:val="bottom"/>
            <w:tcBorders>
              <w:bottom w:val="single" w:sz="8" w:color="C7CDE8"/>
            </w:tcBorders>
            <w:shd w:val="clear" w:color="auto" w:fill="C7CDE8"/>
          </w:tcPr>
          <w:p>
            <w:pPr>
              <w:spacing w:after="0"/>
              <w:rPr>
                <w:sz w:val="22"/>
                <w:szCs w:val="22"/>
                <w:color w:val="auto"/>
              </w:rPr>
            </w:pPr>
          </w:p>
        </w:tc>
        <w:tc>
          <w:tcPr>
            <w:tcW w:w="6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 Merton</w:t>
            </w:r>
          </w:p>
        </w:tc>
        <w:tc>
          <w:tcPr>
            <w:tcW w:w="2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$388,304</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$77,661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920" w:type="dxa"/>
            <w:vAlign w:val="bottom"/>
            <w:gridSpan w:val="2"/>
          </w:tcPr>
          <w:p>
            <w:pPr>
              <w:spacing w:after="0"/>
              <w:rPr>
                <w:sz w:val="3"/>
                <w:szCs w:val="3"/>
                <w:color w:val="auto"/>
              </w:rPr>
            </w:pPr>
          </w:p>
        </w:tc>
        <w:tc>
          <w:tcPr>
            <w:tcW w:w="2260" w:type="dxa"/>
            <w:vAlign w:val="bottom"/>
            <w:gridSpan w:val="2"/>
          </w:tcPr>
          <w:p>
            <w:pPr>
              <w:spacing w:after="0"/>
              <w:rPr>
                <w:sz w:val="3"/>
                <w:szCs w:val="3"/>
                <w:color w:val="auto"/>
              </w:rPr>
            </w:pPr>
          </w:p>
        </w:tc>
        <w:tc>
          <w:tcPr>
            <w:tcW w:w="16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7CDE8"/>
            </w:tcBorders>
            <w:shd w:val="clear" w:color="auto" w:fill="C7CDE8"/>
          </w:tcPr>
          <w:p>
            <w:pPr>
              <w:spacing w:after="0"/>
              <w:rPr>
                <w:sz w:val="22"/>
                <w:szCs w:val="22"/>
                <w:color w:val="auto"/>
              </w:rPr>
            </w:pPr>
          </w:p>
        </w:tc>
        <w:tc>
          <w:tcPr>
            <w:tcW w:w="152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Denise Faltischek</w:t>
            </w:r>
          </w:p>
        </w:tc>
        <w:tc>
          <w:tcPr>
            <w:tcW w:w="2920" w:type="dxa"/>
            <w:vAlign w:val="bottom"/>
            <w:tcBorders>
              <w:bottom w:val="single" w:sz="8" w:color="C7CDE8"/>
            </w:tcBorders>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tcBorders>
              <w:bottom w:val="single" w:sz="8" w:color="C7CDE8"/>
            </w:tcBorders>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rPr>
              <w:t>$600,000</w:t>
            </w:r>
          </w:p>
        </w:tc>
        <w:tc>
          <w:tcPr>
            <w:tcW w:w="1620" w:type="dxa"/>
            <w:vAlign w:val="bottom"/>
            <w:tcBorders>
              <w:bottom w:val="single" w:sz="8" w:color="C7CDE8"/>
            </w:tcBorders>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Mitchell Gendel</w:t>
            </w:r>
          </w:p>
        </w:tc>
        <w:tc>
          <w:tcPr>
            <w:tcW w:w="2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$560,000</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$112,000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920" w:type="dxa"/>
            <w:vAlign w:val="bottom"/>
            <w:gridSpan w:val="2"/>
          </w:tcPr>
          <w:p>
            <w:pPr>
              <w:spacing w:after="0"/>
              <w:rPr>
                <w:sz w:val="3"/>
                <w:szCs w:val="3"/>
                <w:color w:val="auto"/>
              </w:rPr>
            </w:pPr>
          </w:p>
        </w:tc>
        <w:tc>
          <w:tcPr>
            <w:tcW w:w="2260" w:type="dxa"/>
            <w:vAlign w:val="bottom"/>
            <w:gridSpan w:val="2"/>
          </w:tcPr>
          <w:p>
            <w:pPr>
              <w:spacing w:after="0"/>
              <w:rPr>
                <w:sz w:val="3"/>
                <w:szCs w:val="3"/>
                <w:color w:val="auto"/>
              </w:rPr>
            </w:pPr>
          </w:p>
        </w:tc>
        <w:tc>
          <w:tcPr>
            <w:tcW w:w="16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Roger Savell</w:t>
            </w:r>
          </w:p>
        </w:tc>
        <w:tc>
          <w:tcPr>
            <w:tcW w:w="292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226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rPr>
              <w:t>$525,000</w:t>
            </w:r>
          </w:p>
        </w:tc>
        <w:tc>
          <w:tcPr>
            <w:tcW w:w="1620" w:type="dxa"/>
            <w:vAlign w:val="bottom"/>
            <w:gridSpan w:val="2"/>
            <w:shd w:val="clear" w:color="auto" w:fill="C7CDE8"/>
          </w:tcPr>
          <w:p>
            <w:pPr>
              <w:jc w:val="center"/>
              <w:ind w:left="10"/>
              <w:spacing w:after="0"/>
              <w:rPr>
                <w:sz w:val="20"/>
                <w:szCs w:val="20"/>
                <w:color w:val="auto"/>
              </w:rPr>
            </w:pPr>
            <w:r>
              <w:rPr>
                <w:rFonts w:ascii="Times New Roman" w:cs="Times New Roman" w:eastAsia="Times New Roman" w:hAnsi="Times New Roman"/>
                <w:sz w:val="18"/>
                <w:szCs w:val="18"/>
                <w:color w:val="auto"/>
              </w:rPr>
              <w:t>$155,000</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152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282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216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152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Incentive Compensation</w:t>
      </w:r>
    </w:p>
    <w:p>
      <w:pPr>
        <w:spacing w:after="0" w:line="10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Company grants long-term incentive awards to our NEOs in the form of restricted share units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award long-term equity-based compensation with restricted stock units that vest over time so long as the executive remains employed with the Company. Thus, the units are designed both to link executives’ interests with those of our stockholders (as the units’ value is based on the value of Tilray Brands, Inc. Common Stock) and to provide a long-term retention incentive for the vesting period, as they generally have value regardless of share price volatility.</w:t>
      </w:r>
    </w:p>
    <w:p>
      <w:pPr>
        <w:spacing w:after="0" w:line="80" w:lineRule="exact"/>
        <w:rPr>
          <w:sz w:val="20"/>
          <w:szCs w:val="20"/>
          <w:color w:val="auto"/>
        </w:rPr>
      </w:pPr>
    </w:p>
    <w:p>
      <w:pPr>
        <w:ind w:left="300" w:right="379" w:firstLine="360"/>
        <w:spacing w:after="0" w:line="272" w:lineRule="auto"/>
        <w:rPr>
          <w:sz w:val="20"/>
          <w:szCs w:val="20"/>
          <w:color w:val="auto"/>
        </w:rPr>
      </w:pPr>
      <w:r>
        <w:rPr>
          <w:rFonts w:ascii="Times New Roman" w:cs="Times New Roman" w:eastAsia="Times New Roman" w:hAnsi="Times New Roman"/>
          <w:sz w:val="17"/>
          <w:szCs w:val="17"/>
          <w:color w:val="auto"/>
        </w:rPr>
        <w:t>Awards of performance-based restricted share units cover multiple years, with a percentage of the units subject to the award becoming eligible to vest each year based on the Company’s and the individual’s performance during that year relative to performance goals reviewed by the Compensation Committee. Before any performance-based restricted share unit is paid, the Compensation Committee must certify that the performance target(s) were satisfied. The Compensation Committee has discretion to determine the performance target(s) and any other restrictions or other limitations of performance-based restricted share units and may reserve discretion to reduce payments below maximum award limits. Thus, the performance units are designed both to motivate executives to maximize the Company’s performance each year and provide a long-term retention incentive for the period covered by the award.</w:t>
      </w:r>
    </w:p>
    <w:p>
      <w:pPr>
        <w:spacing w:after="0" w:line="64"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determines the size of equity award grants after considering the following factors:</w:t>
      </w:r>
    </w:p>
    <w:p>
      <w:pPr>
        <w:spacing w:after="0" w:line="54" w:lineRule="exact"/>
        <w:rPr>
          <w:sz w:val="20"/>
          <w:szCs w:val="20"/>
          <w:color w:val="auto"/>
        </w:rPr>
      </w:pPr>
    </w:p>
    <w:p>
      <w:pPr>
        <w:ind w:left="1000" w:right="33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equity compensation practices for comparable positions identified in the applicable market analysis;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level of responsibility and duties;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comparison to grant levels of other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NEOs’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total equity compensation costs relative to total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prior experience, experience within his or her specific job and breadth of knowledge;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objectives for share-based compensation charges and earnings dilution.</w:t>
      </w:r>
    </w:p>
    <w:p>
      <w:pPr>
        <w:spacing w:after="0" w:line="117"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The Compensation Committee does not take into consideration an executive’s aggregate equity holdings or equity carrying value in determining annual long-term equity incentive awards.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2024 EBITDA PSU Awards</w:t>
      </w:r>
    </w:p>
    <w:p>
      <w:pPr>
        <w:spacing w:after="0" w:line="102"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In July 2023 and April 2024, the Compensation Committee approved certain terms and conditions of performance-based grants to the NEOs and other key employees under the 2018 Equity Plan (the “</w:t>
      </w:r>
      <w:r>
        <w:rPr>
          <w:rFonts w:ascii="Times New Roman" w:cs="Times New Roman" w:eastAsia="Times New Roman" w:hAnsi="Times New Roman"/>
          <w:sz w:val="18"/>
          <w:szCs w:val="18"/>
          <w:b w:val="1"/>
          <w:bCs w:val="1"/>
          <w:i w:val="1"/>
          <w:iCs w:val="1"/>
          <w:color w:val="auto"/>
        </w:rPr>
        <w:t>2024 EBITDA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PSU Awards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10" w:right="1440" w:bottom="1440" w:gutter="0" w:footer="0" w:header="0"/>
        </w:sectPr>
      </w:pPr>
    </w:p>
    <w:bookmarkStart w:id="37" w:name="page38"/>
    <w:bookmarkEnd w:id="37"/>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 portion of the 2024 EBITDA PSU Awards were made in 2023 equal to 50% of these performance-based awards, and represent a contingent right to receive a fixed number of shares of Common Stock upon satisfaction of the underlying performance goals. The remaining 50% of the 2024 EBITDA PSU Awards were made in April 2024 and represent a contingent right to receive a cash payment or its equivalent in shares of Common Stock (as determined by the Compensation Committee). The 2024 EBITDA PSU Awards are subject to all the terms and conditions as set forth in the 2018 Equity Plan and the 2024 EBITDA PSU Award Agreement.</w:t>
      </w:r>
    </w:p>
    <w:p>
      <w:pPr>
        <w:spacing w:after="0" w:line="79" w:lineRule="exact"/>
        <w:rPr>
          <w:sz w:val="20"/>
          <w:szCs w:val="20"/>
          <w:color w:val="auto"/>
        </w:rPr>
      </w:pPr>
    </w:p>
    <w:p>
      <w:pPr>
        <w:ind w:left="300" w:right="559" w:firstLine="360"/>
        <w:spacing w:after="0" w:line="270" w:lineRule="auto"/>
        <w:rPr>
          <w:sz w:val="20"/>
          <w:szCs w:val="20"/>
          <w:color w:val="auto"/>
        </w:rPr>
      </w:pPr>
      <w:r>
        <w:rPr>
          <w:rFonts w:ascii="Times New Roman" w:cs="Times New Roman" w:eastAsia="Times New Roman" w:hAnsi="Times New Roman"/>
          <w:sz w:val="17"/>
          <w:szCs w:val="17"/>
          <w:color w:val="auto"/>
        </w:rPr>
        <w:t>The percentage of these 2024 EBITDA PSU Awards earned will be based on the Company’s financial performance as measured against target goals for annual and cumulative Adjusted EBITDA (the “</w:t>
      </w:r>
      <w:r>
        <w:rPr>
          <w:rFonts w:ascii="Times New Roman" w:cs="Times New Roman" w:eastAsia="Times New Roman" w:hAnsi="Times New Roman"/>
          <w:sz w:val="17"/>
          <w:szCs w:val="17"/>
          <w:b w:val="1"/>
          <w:bCs w:val="1"/>
          <w:i w:val="1"/>
          <w:iCs w:val="1"/>
          <w:color w:val="auto"/>
        </w:rPr>
        <w:t>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Goals</w:t>
      </w:r>
      <w:r>
        <w:rPr>
          <w:rFonts w:ascii="Times New Roman" w:cs="Times New Roman" w:eastAsia="Times New Roman" w:hAnsi="Times New Roman"/>
          <w:sz w:val="17"/>
          <w:szCs w:val="17"/>
          <w:color w:val="auto"/>
        </w:rPr>
        <w:t>”), as determined by the Compensation Committee for the period beginning on June 1, 2023, and ending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May 31, 2026 (the “</w:t>
      </w:r>
      <w:r>
        <w:rPr>
          <w:rFonts w:ascii="Times New Roman" w:cs="Times New Roman" w:eastAsia="Times New Roman" w:hAnsi="Times New Roman"/>
          <w:sz w:val="17"/>
          <w:szCs w:val="17"/>
          <w:b w:val="1"/>
          <w:bCs w:val="1"/>
          <w:i w:val="1"/>
          <w:iCs w:val="1"/>
          <w:color w:val="auto"/>
        </w:rPr>
        <w:t>Performance Period</w:t>
      </w:r>
      <w:r>
        <w:rPr>
          <w:rFonts w:ascii="Times New Roman" w:cs="Times New Roman" w:eastAsia="Times New Roman" w:hAnsi="Times New Roman"/>
          <w:sz w:val="17"/>
          <w:szCs w:val="17"/>
          <w:color w:val="auto"/>
        </w:rPr>
        <w:t>”). The annual goals will be determined at the start of each of the three</w:t>
      </w:r>
    </w:p>
    <w:p>
      <w:pPr>
        <w:spacing w:after="0" w:line="3" w:lineRule="exact"/>
        <w:rPr>
          <w:sz w:val="20"/>
          <w:szCs w:val="20"/>
          <w:color w:val="auto"/>
        </w:rPr>
      </w:pPr>
    </w:p>
    <w:p>
      <w:pPr>
        <w:ind w:left="300" w:right="439" w:hanging="8"/>
        <w:spacing w:after="0" w:line="252" w:lineRule="auto"/>
        <w:tabs>
          <w:tab w:leader="none" w:pos="5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years during the three-year Performance Period and will be subject to cumulative goals. The 2024 EBITDA PSU Awards will vest as of the end of the Performance Period (May 31, 2026) subject to the NEO’s continuous service. However, the awards will not settle and payout until the percentage of the 2024 EBITDA PSU Awards earned is determined by the Compensation Committee in July 2026 based on satisfaction of the cumulative Performance Goals. The NEO may earn between 0% and 100% of the target award value based on the Company’s achievement of the Performance Goals.</w:t>
      </w:r>
    </w:p>
    <w:p>
      <w:pPr>
        <w:spacing w:after="0" w:line="82" w:lineRule="exact"/>
        <w:rPr>
          <w:sz w:val="20"/>
          <w:szCs w:val="20"/>
          <w:color w:val="auto"/>
        </w:rPr>
      </w:pPr>
    </w:p>
    <w:p>
      <w:pPr>
        <w:ind w:left="300" w:right="719" w:firstLine="360"/>
        <w:spacing w:after="0" w:line="276" w:lineRule="auto"/>
        <w:rPr>
          <w:sz w:val="20"/>
          <w:szCs w:val="20"/>
          <w:color w:val="auto"/>
        </w:rPr>
      </w:pPr>
      <w:r>
        <w:rPr>
          <w:rFonts w:ascii="Times New Roman" w:cs="Times New Roman" w:eastAsia="Times New Roman" w:hAnsi="Times New Roman"/>
          <w:sz w:val="17"/>
          <w:szCs w:val="17"/>
          <w:color w:val="auto"/>
        </w:rPr>
        <w:t>If the NEO’s Continuous Service terminates for any reason other than: (i) without Cause (as defined in the 2018 Plan) within 3 months of the end of the Performance Period; (ii) death; (iii) Disability (as defined in the</w:t>
      </w:r>
    </w:p>
    <w:p>
      <w:pPr>
        <w:spacing w:after="0" w:line="1" w:lineRule="exact"/>
        <w:rPr>
          <w:sz w:val="20"/>
          <w:szCs w:val="20"/>
          <w:color w:val="auto"/>
        </w:rPr>
      </w:pPr>
    </w:p>
    <w:p>
      <w:pPr>
        <w:ind w:left="300" w:right="399"/>
        <w:spacing w:after="0" w:line="251" w:lineRule="auto"/>
        <w:rPr>
          <w:sz w:val="20"/>
          <w:szCs w:val="20"/>
          <w:color w:val="auto"/>
        </w:rPr>
      </w:pPr>
      <w:r>
        <w:rPr>
          <w:rFonts w:ascii="Times New Roman" w:cs="Times New Roman" w:eastAsia="Times New Roman" w:hAnsi="Times New Roman"/>
          <w:sz w:val="18"/>
          <w:szCs w:val="18"/>
          <w:color w:val="auto"/>
        </w:rPr>
        <w:t>2018 Plan); or (iv) in connection with a Change in Control (as defined in the 2018 Plan), unless the Committee determines otherwise, the 2024 EBITDA PSU Award shall be forfeited and canceled immediately without consideration. If the executive officer’s Continuous Service terminates without Cause within 3 months before the end of the Performance Period, a pro rata portion of the 2024 EBITDA PSU Awards (calculated based on the days elapsed in a Performance Period prior to the termination of Continuous Service divided by the total days in the Performance Period) shall vest and become payable. If the executive officer’s Continuous Service terminates due to death or Disability prior to the end of the Performance Period, the 2024 EBITDA PSU Awards will vest at 100% of the target award value. If the executive officer’s Continuous Service is terminated without Cause following a Change in Control, the 2024 EBITDA PSU Awards will vest at 100% of the target award value.</w:t>
      </w:r>
    </w:p>
    <w:p>
      <w:pPr>
        <w:spacing w:after="0" w:line="85"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Mr. Simon, Mr. Merton, Ms. Faltischek, Mr. Savell, and Mr. Gendel were granted 2024 EBITDA PSU Awards in the following amounts, respectively.</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Total Value of PSUs assuming Target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Achievement (100%)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584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D. Simon</w:t>
            </w:r>
          </w:p>
        </w:tc>
        <w:tc>
          <w:tcPr>
            <w:tcW w:w="2460" w:type="dxa"/>
            <w:vAlign w:val="bottom"/>
            <w:tcBorders>
              <w:bottom w:val="single" w:sz="8" w:color="C7CDE8"/>
            </w:tcBorders>
            <w:gridSpan w:val="3"/>
            <w:shd w:val="clear" w:color="auto" w:fill="C7CDE8"/>
          </w:tcPr>
          <w:p>
            <w:pPr>
              <w:jc w:val="right"/>
              <w:ind w:right="570"/>
              <w:spacing w:after="0"/>
              <w:rPr>
                <w:sz w:val="20"/>
                <w:szCs w:val="20"/>
                <w:color w:val="auto"/>
              </w:rPr>
            </w:pPr>
            <w:r>
              <w:rPr>
                <w:rFonts w:ascii="Times New Roman" w:cs="Times New Roman" w:eastAsia="Times New Roman" w:hAnsi="Times New Roman"/>
                <w:sz w:val="18"/>
                <w:szCs w:val="18"/>
                <w:color w:val="auto"/>
              </w:rPr>
              <w:t>$16,995,828</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 Merton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2,386,684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7CDE8"/>
            </w:tcBorders>
            <w:shd w:val="clear" w:color="auto" w:fill="C7CDE8"/>
          </w:tcPr>
          <w:p>
            <w:pPr>
              <w:spacing w:after="0"/>
              <w:rPr>
                <w:sz w:val="22"/>
                <w:szCs w:val="22"/>
                <w:color w:val="auto"/>
              </w:rPr>
            </w:pPr>
          </w:p>
        </w:tc>
        <w:tc>
          <w:tcPr>
            <w:tcW w:w="584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Denise Faltischek</w:t>
            </w:r>
          </w:p>
        </w:tc>
        <w:tc>
          <w:tcPr>
            <w:tcW w:w="1040" w:type="dxa"/>
            <w:vAlign w:val="bottom"/>
            <w:tcBorders>
              <w:bottom w:val="single" w:sz="8" w:color="C7CDE8"/>
            </w:tcBorders>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7CDE8"/>
            </w:tcBorders>
            <w:shd w:val="clear" w:color="auto" w:fill="C7CDE8"/>
          </w:tcPr>
          <w:p>
            <w:pPr>
              <w:jc w:val="right"/>
              <w:ind w:right="570"/>
              <w:spacing w:after="0"/>
              <w:rPr>
                <w:sz w:val="20"/>
                <w:szCs w:val="20"/>
                <w:color w:val="auto"/>
              </w:rPr>
            </w:pPr>
            <w:r>
              <w:rPr>
                <w:rFonts w:ascii="Times New Roman" w:cs="Times New Roman" w:eastAsia="Times New Roman" w:hAnsi="Times New Roman"/>
                <w:sz w:val="18"/>
                <w:szCs w:val="18"/>
                <w:color w:val="auto"/>
              </w:rPr>
              <w:t>2,420,980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Roger Savell</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1,734,504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58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584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Mitchell Gendel</w:t>
            </w:r>
          </w:p>
        </w:tc>
        <w:tc>
          <w:tcPr>
            <w:tcW w:w="10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7CDE8"/>
          </w:tcPr>
          <w:p>
            <w:pPr>
              <w:jc w:val="right"/>
              <w:ind w:right="570"/>
              <w:spacing w:after="0"/>
              <w:rPr>
                <w:sz w:val="20"/>
                <w:szCs w:val="20"/>
                <w:color w:val="auto"/>
              </w:rPr>
            </w:pPr>
            <w:r>
              <w:rPr>
                <w:rFonts w:ascii="Times New Roman" w:cs="Times New Roman" w:eastAsia="Times New Roman" w:hAnsi="Times New Roman"/>
                <w:sz w:val="18"/>
                <w:szCs w:val="18"/>
                <w:color w:val="auto"/>
              </w:rPr>
              <w:t>2,102,824</w:t>
            </w: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584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880" w:type="dxa"/>
            <w:vAlign w:val="bottom"/>
            <w:shd w:val="clear" w:color="auto" w:fill="C7CDE8"/>
          </w:tcPr>
          <w:p>
            <w:pPr>
              <w:spacing w:after="0"/>
              <w:rPr>
                <w:sz w:val="4"/>
                <w:szCs w:val="4"/>
                <w:color w:val="auto"/>
              </w:rPr>
            </w:pPr>
          </w:p>
        </w:tc>
        <w:tc>
          <w:tcPr>
            <w:tcW w:w="142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LTIP RSU Grants</w:t>
      </w:r>
    </w:p>
    <w:p>
      <w:pPr>
        <w:spacing w:after="0" w:line="102"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addition to the 2024 EBITDA PSU Awards, the Compensation Committee awarded annual LTIP RSU grants to most of the Tilray senior executive officers in July 2023. These LTIP RSU awards, as well as new hire and annual RSU awards, vest in tranches over two years with 50% of the shares subject to the awards generally vesting one year from the vesting commencement date and the remaining 50% of shares vesting on the second anniversary of the vesting commencement date. Restricted stock units provide long-term incentive compensation that has greater retention value as compared to stock options in a flat or down market while minimizing earnings dilution.</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8" w:name="page39"/>
    <w:bookmarkEnd w:id="38"/>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6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2760" w:type="dxa"/>
            <w:vAlign w:val="bottom"/>
            <w:vMerge w:val="restart"/>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Total Annual LTIP RSUs</w:t>
            </w:r>
          </w:p>
        </w:tc>
        <w:tc>
          <w:tcPr>
            <w:tcW w:w="100" w:type="dxa"/>
            <w:vAlign w:val="bottom"/>
          </w:tcPr>
          <w:p>
            <w:pPr>
              <w:spacing w:after="0"/>
              <w:rPr>
                <w:sz w:val="13"/>
                <w:szCs w:val="13"/>
                <w:color w:val="auto"/>
              </w:rPr>
            </w:pPr>
          </w:p>
        </w:tc>
        <w:tc>
          <w:tcPr>
            <w:tcW w:w="276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Annual LTIP RSU Target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Percentage of Base Salary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260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Simon</w:t>
            </w:r>
          </w:p>
        </w:tc>
        <w:tc>
          <w:tcPr>
            <w:tcW w:w="2860" w:type="dxa"/>
            <w:vAlign w:val="bottom"/>
            <w:tcBorders>
              <w:bottom w:val="single" w:sz="8" w:color="C7CDE8"/>
            </w:tcBorders>
            <w:gridSpan w:val="2"/>
            <w:shd w:val="clear" w:color="auto" w:fill="C7CDE8"/>
          </w:tcPr>
          <w:p>
            <w:pPr>
              <w:jc w:val="right"/>
              <w:ind w:right="908"/>
              <w:spacing w:after="0"/>
              <w:rPr>
                <w:sz w:val="20"/>
                <w:szCs w:val="20"/>
                <w:color w:val="auto"/>
              </w:rPr>
            </w:pPr>
            <w:r>
              <w:rPr>
                <w:rFonts w:ascii="Times New Roman" w:cs="Times New Roman" w:eastAsia="Times New Roman" w:hAnsi="Times New Roman"/>
                <w:sz w:val="18"/>
                <w:szCs w:val="18"/>
                <w:color w:val="auto"/>
              </w:rPr>
              <w:t>2,356,218</w:t>
            </w:r>
          </w:p>
        </w:tc>
        <w:tc>
          <w:tcPr>
            <w:tcW w:w="2860" w:type="dxa"/>
            <w:vAlign w:val="bottom"/>
            <w:tcBorders>
              <w:bottom w:val="single" w:sz="8" w:color="C7CDE8"/>
            </w:tcBorders>
            <w:gridSpan w:val="2"/>
            <w:shd w:val="clear" w:color="auto" w:fill="C7CDE8"/>
          </w:tcPr>
          <w:p>
            <w:pPr>
              <w:jc w:val="right"/>
              <w:ind w:right="1008"/>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Carl Merton</w:t>
            </w:r>
          </w:p>
        </w:tc>
        <w:tc>
          <w:tcPr>
            <w:tcW w:w="28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348,954</w:t>
            </w:r>
          </w:p>
        </w:tc>
        <w:tc>
          <w:tcPr>
            <w:tcW w:w="286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860" w:type="dxa"/>
            <w:vAlign w:val="bottom"/>
            <w:gridSpan w:val="2"/>
          </w:tcPr>
          <w:p>
            <w:pPr>
              <w:spacing w:after="0"/>
              <w:rPr>
                <w:sz w:val="3"/>
                <w:szCs w:val="3"/>
                <w:color w:val="auto"/>
              </w:rPr>
            </w:pPr>
          </w:p>
        </w:tc>
        <w:tc>
          <w:tcPr>
            <w:tcW w:w="2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7CDE8"/>
            </w:tcBorders>
            <w:shd w:val="clear" w:color="auto" w:fill="C7CDE8"/>
          </w:tcPr>
          <w:p>
            <w:pPr>
              <w:spacing w:after="0"/>
              <w:rPr>
                <w:sz w:val="22"/>
                <w:szCs w:val="22"/>
                <w:color w:val="auto"/>
              </w:rPr>
            </w:pPr>
          </w:p>
        </w:tc>
        <w:tc>
          <w:tcPr>
            <w:tcW w:w="2600" w:type="dxa"/>
            <w:vAlign w:val="bottom"/>
            <w:tcBorders>
              <w:bottom w:val="single" w:sz="8" w:color="C7CDE8"/>
            </w:tcBorders>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Denise Faltischek</w:t>
            </w:r>
          </w:p>
        </w:tc>
        <w:tc>
          <w:tcPr>
            <w:tcW w:w="2860" w:type="dxa"/>
            <w:vAlign w:val="bottom"/>
            <w:tcBorders>
              <w:bottom w:val="single" w:sz="8" w:color="C7CDE8"/>
            </w:tcBorders>
            <w:gridSpan w:val="2"/>
            <w:shd w:val="clear" w:color="auto" w:fill="C7CDE8"/>
          </w:tcPr>
          <w:p>
            <w:pPr>
              <w:jc w:val="right"/>
              <w:ind w:right="888"/>
              <w:spacing w:after="0"/>
              <w:rPr>
                <w:sz w:val="20"/>
                <w:szCs w:val="20"/>
                <w:color w:val="auto"/>
              </w:rPr>
            </w:pPr>
            <w:r>
              <w:rPr>
                <w:rFonts w:ascii="Times New Roman" w:cs="Times New Roman" w:eastAsia="Times New Roman" w:hAnsi="Times New Roman"/>
                <w:sz w:val="18"/>
                <w:szCs w:val="18"/>
                <w:color w:val="auto"/>
              </w:rPr>
              <w:t>498,705</w:t>
            </w:r>
          </w:p>
        </w:tc>
        <w:tc>
          <w:tcPr>
            <w:tcW w:w="2860" w:type="dxa"/>
            <w:vAlign w:val="bottom"/>
            <w:tcBorders>
              <w:bottom w:val="single" w:sz="8" w:color="C7CDE8"/>
            </w:tcBorders>
            <w:gridSpan w:val="2"/>
            <w:shd w:val="clear" w:color="auto" w:fill="C7CDE8"/>
          </w:tcPr>
          <w:p>
            <w:pPr>
              <w:jc w:val="right"/>
              <w:ind w:right="1008"/>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Mitchell Gendel</w:t>
            </w:r>
          </w:p>
        </w:tc>
        <w:tc>
          <w:tcPr>
            <w:tcW w:w="2860" w:type="dxa"/>
            <w:vAlign w:val="bottom"/>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462,435</w:t>
            </w:r>
          </w:p>
        </w:tc>
        <w:tc>
          <w:tcPr>
            <w:tcW w:w="2860" w:type="dxa"/>
            <w:vAlign w:val="bottom"/>
            <w:gridSpan w:val="2"/>
          </w:tcPr>
          <w:p>
            <w:pPr>
              <w:jc w:val="right"/>
              <w:ind w:right="1008"/>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860" w:type="dxa"/>
            <w:vAlign w:val="bottom"/>
            <w:gridSpan w:val="2"/>
          </w:tcPr>
          <w:p>
            <w:pPr>
              <w:spacing w:after="0"/>
              <w:rPr>
                <w:sz w:val="3"/>
                <w:szCs w:val="3"/>
                <w:color w:val="auto"/>
              </w:rPr>
            </w:pPr>
          </w:p>
        </w:tc>
        <w:tc>
          <w:tcPr>
            <w:tcW w:w="2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260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Roger Savell</w:t>
            </w:r>
          </w:p>
        </w:tc>
        <w:tc>
          <w:tcPr>
            <w:tcW w:w="2860" w:type="dxa"/>
            <w:vAlign w:val="bottom"/>
            <w:gridSpan w:val="2"/>
            <w:shd w:val="clear" w:color="auto" w:fill="C7CDE8"/>
          </w:tcPr>
          <w:p>
            <w:pPr>
              <w:jc w:val="right"/>
              <w:ind w:right="888"/>
              <w:spacing w:after="0"/>
              <w:rPr>
                <w:sz w:val="20"/>
                <w:szCs w:val="20"/>
                <w:color w:val="auto"/>
              </w:rPr>
            </w:pPr>
            <w:r>
              <w:rPr>
                <w:rFonts w:ascii="Times New Roman" w:cs="Times New Roman" w:eastAsia="Times New Roman" w:hAnsi="Times New Roman"/>
                <w:sz w:val="18"/>
                <w:szCs w:val="18"/>
                <w:color w:val="auto"/>
              </w:rPr>
              <w:t>453,368</w:t>
            </w:r>
          </w:p>
        </w:tc>
        <w:tc>
          <w:tcPr>
            <w:tcW w:w="2860" w:type="dxa"/>
            <w:vAlign w:val="bottom"/>
            <w:gridSpan w:val="2"/>
            <w:shd w:val="clear" w:color="auto" w:fill="C7CDE8"/>
          </w:tcPr>
          <w:p>
            <w:pPr>
              <w:jc w:val="right"/>
              <w:ind w:right="1008"/>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260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276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276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Fiscal Year 2024 Compensation Awards Following Closing of Acquisition HEXO Corp.</w:t>
      </w:r>
    </w:p>
    <w:p>
      <w:pPr>
        <w:spacing w:after="0" w:line="104"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 annual bonus payments for partial achievement of financial performance targets in respect of Fiscal Year 2024, our NEOs received transaction bonus payments in August 2023 in recognition of their successful efforts in structuring and completing the acquisition of HEXO Corp., which closed in June 2023. This acquisition resulted in meaningful financial and operational benefits to Tilray. These HEXO transaction bonus payments are disclosed in the </w:t>
      </w:r>
      <w:r>
        <w:rPr>
          <w:rFonts w:ascii="Times New Roman" w:cs="Times New Roman" w:eastAsia="Times New Roman" w:hAnsi="Times New Roman"/>
          <w:sz w:val="18"/>
          <w:szCs w:val="18"/>
          <w:b w:val="1"/>
          <w:bCs w:val="1"/>
          <w:i w:val="1"/>
          <w:iCs w:val="1"/>
          <w:color w:val="auto"/>
        </w:rPr>
        <w:t>Summary Compensation Table</w:t>
      </w:r>
      <w:r>
        <w:rPr>
          <w:rFonts w:ascii="Times New Roman" w:cs="Times New Roman" w:eastAsia="Times New Roman" w:hAnsi="Times New Roman"/>
          <w:sz w:val="18"/>
          <w:szCs w:val="18"/>
          <w:color w:val="auto"/>
        </w:rPr>
        <w:t xml:space="preserve"> in respect of Fiscal Year 2024.</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Practices Related to the Grant of Equity Awards</w:t>
      </w:r>
    </w:p>
    <w:p>
      <w:pPr>
        <w:spacing w:after="0" w:line="104" w:lineRule="exact"/>
        <w:rPr>
          <w:sz w:val="20"/>
          <w:szCs w:val="20"/>
          <w:color w:val="auto"/>
        </w:rPr>
      </w:pPr>
    </w:p>
    <w:p>
      <w:pPr>
        <w:ind w:left="300" w:right="479" w:firstLine="360"/>
        <w:spacing w:after="0" w:line="276" w:lineRule="auto"/>
        <w:rPr>
          <w:sz w:val="20"/>
          <w:szCs w:val="20"/>
          <w:color w:val="auto"/>
        </w:rPr>
      </w:pPr>
      <w:r>
        <w:rPr>
          <w:rFonts w:ascii="Times New Roman" w:cs="Times New Roman" w:eastAsia="Times New Roman" w:hAnsi="Times New Roman"/>
          <w:sz w:val="17"/>
          <w:szCs w:val="17"/>
          <w:color w:val="auto"/>
        </w:rPr>
        <w:t>Under the Company’s practices, the approval of long-term equity incentive compensation for the Company’s regular annual equity awards (including stock options and RSU and PSU grants to our NEOs) is typically made on</w:t>
      </w:r>
    </w:p>
    <w:p>
      <w:pPr>
        <w:spacing w:after="0" w:line="1" w:lineRule="exact"/>
        <w:rPr>
          <w:sz w:val="20"/>
          <w:szCs w:val="20"/>
          <w:color w:val="auto"/>
        </w:rPr>
      </w:pPr>
    </w:p>
    <w:p>
      <w:pPr>
        <w:ind w:left="300" w:right="319"/>
        <w:spacing w:after="0" w:line="227" w:lineRule="auto"/>
        <w:rPr>
          <w:sz w:val="20"/>
          <w:szCs w:val="20"/>
          <w:color w:val="auto"/>
        </w:rPr>
      </w:pPr>
      <w:r>
        <w:rPr>
          <w:rFonts w:ascii="Times New Roman" w:cs="Times New Roman" w:eastAsia="Times New Roman" w:hAnsi="Times New Roman"/>
          <w:sz w:val="18"/>
          <w:szCs w:val="18"/>
          <w:color w:val="auto"/>
        </w:rPr>
        <w:t>or about July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each year, after the filing of the company’s Annual Report on Form 10-K. Neither the Board nor the Compensation Committee take into account material non-public information when determining the timing or terms of equity awards, nor do we time disclosure of material non-public information for the purpose of affecting the value of executive compensation.</w:t>
      </w:r>
    </w:p>
    <w:p>
      <w:pPr>
        <w:spacing w:after="0" w:line="9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During Fiscal Year 2024,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Other Compensation and Benefits</w:t>
      </w:r>
    </w:p>
    <w:p>
      <w:pPr>
        <w:spacing w:after="0" w:line="102"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Severance and Change of Control Benefits</w:t>
      </w:r>
      <w:r>
        <w:rPr>
          <w:rFonts w:ascii="Times New Roman" w:cs="Times New Roman" w:eastAsia="Times New Roman" w:hAnsi="Times New Roman"/>
          <w:sz w:val="18"/>
          <w:szCs w:val="18"/>
          <w:color w:val="auto"/>
        </w:rPr>
        <w:t>. Our NEOs are entitled to certain severance and change of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at an executive level at our peer companies.</w:t>
      </w:r>
    </w:p>
    <w:p>
      <w:pPr>
        <w:spacing w:after="0" w:line="84"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Other Benefits</w:t>
      </w:r>
      <w:r>
        <w:rPr>
          <w:rFonts w:ascii="Times New Roman" w:cs="Times New Roman" w:eastAsia="Times New Roman" w:hAnsi="Times New Roman"/>
          <w:sz w:val="18"/>
          <w:szCs w:val="18"/>
          <w:color w:val="auto"/>
        </w:rPr>
        <w:t>. We believe that establishing a competitive benefit package consistent with companies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Stock Ownership Guidelines</w:t>
      </w:r>
    </w:p>
    <w:p>
      <w:pPr>
        <w:spacing w:after="0" w:line="104"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Company’s stock ownership guidelines require that each named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stockholders. To achieve this, the Compensation Committee has recommended, and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10" w:right="1440" w:bottom="1440" w:gutter="0" w:footer="0" w:header="0"/>
        </w:sectPr>
      </w:pPr>
    </w:p>
    <w:bookmarkStart w:id="39" w:name="page40"/>
    <w:bookmarkEnd w:id="39"/>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w:t>
      </w:r>
    </w:p>
    <w:p>
      <w:pPr>
        <w:spacing w:after="0" w:line="79" w:lineRule="exact"/>
        <w:rPr>
          <w:sz w:val="20"/>
          <w:szCs w:val="20"/>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3× 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2× base annual cash retainer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Financial Officer 1× base salary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Officers 0.5× base salary</w:t>
      </w:r>
    </w:p>
    <w:p>
      <w:pPr>
        <w:spacing w:after="0" w:line="117"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Tax and Accounting Considerations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Section 280G of the Internal Revenue Code</w:t>
      </w:r>
    </w:p>
    <w:p>
      <w:pPr>
        <w:spacing w:after="0" w:line="102"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w:t>
      </w:r>
    </w:p>
    <w:p>
      <w:pPr>
        <w:spacing w:after="0" w:line="10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Role of NEOs in Compensation Decisions; Input from Senior Management</w:t>
      </w:r>
    </w:p>
    <w:p>
      <w:pPr>
        <w:spacing w:after="0" w:line="104"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Compensation Committee Interlocks and Insider Participation</w:t>
      </w:r>
    </w:p>
    <w:p>
      <w:pPr>
        <w:spacing w:after="0" w:line="10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89A"/>
        </w:rPr>
        <w:t>COMPENSATION COMMITTEE REPORT</w:t>
      </w:r>
    </w:p>
    <w:p>
      <w:pPr>
        <w:spacing w:after="0" w:line="10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w:t>
      </w:r>
    </w:p>
    <w:p>
      <w:pPr>
        <w:spacing w:after="0" w:line="79"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30, 2024.</w:t>
      </w:r>
    </w:p>
    <w:p>
      <w:pPr>
        <w:spacing w:after="0" w:line="79"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spacing w:after="0" w:line="108"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THE COMPENSATION COMMITTEE</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 xml:space="preserve">Thomas Looney,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Renah Persofsky</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David Hopkinson</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00489A"/>
        </w:rPr>
        <w:t>EXECUTIVE COMPENSATION</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Summary Compensation Table</w:t>
      </w:r>
    </w:p>
    <w:p>
      <w:pPr>
        <w:spacing w:after="0" w:line="10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all of the compensation paid or awarded to or earned by our NEOs during Fiscal Years 2022 (June 1, 2021 to May 31, 2022), 2023 (June 1, 2022 to May 31, 2023) and 2024 (June 1, 2023 to May 31, 2024). In accordance with the rules promulgated by the SEC, certain columns relating to information that is not applicable have been omitted from this table.</w:t>
      </w:r>
    </w:p>
    <w:p>
      <w:pPr>
        <w:spacing w:after="0" w:line="9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80" w:type="dxa"/>
            <w:vAlign w:val="bottom"/>
          </w:tcPr>
          <w:p>
            <w:pPr>
              <w:spacing w:after="0"/>
              <w:rPr>
                <w:sz w:val="13"/>
                <w:szCs w:val="13"/>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36"/>
              <w:spacing w:after="0" w:line="15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3"/>
                <w:szCs w:val="13"/>
                <w:color w:val="auto"/>
              </w:rPr>
            </w:pPr>
          </w:p>
        </w:tc>
        <w:tc>
          <w:tcPr>
            <w:tcW w:w="10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3"/>
                <w:szCs w:val="13"/>
                <w:color w:val="auto"/>
              </w:rPr>
            </w:pPr>
          </w:p>
        </w:tc>
        <w:tc>
          <w:tcPr>
            <w:tcW w:w="9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Salary ($)</w:t>
            </w:r>
          </w:p>
        </w:tc>
        <w:tc>
          <w:tcPr>
            <w:tcW w:w="2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80" w:type="dxa"/>
            <w:vAlign w:val="bottom"/>
            <w:vMerge w:val="restart"/>
          </w:tcPr>
          <w:p>
            <w:pPr>
              <w:spacing w:after="0"/>
              <w:rPr>
                <w:sz w:val="4"/>
                <w:szCs w:val="4"/>
                <w:color w:val="auto"/>
              </w:rPr>
            </w:pPr>
          </w:p>
        </w:tc>
        <w:tc>
          <w:tcPr>
            <w:tcW w:w="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ind w:right="196"/>
              <w:spacing w:after="0" w:line="49" w:lineRule="exact"/>
              <w:rPr>
                <w:sz w:val="20"/>
                <w:szCs w:val="20"/>
                <w:color w:val="auto"/>
              </w:rPr>
            </w:pPr>
            <w:r>
              <w:rPr>
                <w:rFonts w:ascii="Times New Roman" w:cs="Times New Roman" w:eastAsia="Times New Roman" w:hAnsi="Times New Roman"/>
                <w:sz w:val="5"/>
                <w:szCs w:val="5"/>
                <w:b w:val="1"/>
                <w:bCs w:val="1"/>
                <w:color w:val="auto"/>
              </w:rPr>
              <w:t>(2)</w:t>
            </w:r>
          </w:p>
        </w:tc>
        <w:tc>
          <w:tcPr>
            <w:tcW w:w="1160" w:type="dxa"/>
            <w:vAlign w:val="bottom"/>
            <w:gridSpan w:val="2"/>
          </w:tcPr>
          <w:p>
            <w:pPr>
              <w:jc w:val="right"/>
              <w:spacing w:after="0" w:line="49" w:lineRule="exact"/>
              <w:rPr>
                <w:sz w:val="20"/>
                <w:szCs w:val="20"/>
                <w:color w:val="auto"/>
              </w:rPr>
            </w:pPr>
            <w:r>
              <w:rPr>
                <w:rFonts w:ascii="Times New Roman" w:cs="Times New Roman" w:eastAsia="Times New Roman" w:hAnsi="Times New Roman"/>
                <w:sz w:val="5"/>
                <w:szCs w:val="5"/>
                <w:b w:val="1"/>
                <w:bCs w:val="1"/>
                <w:color w:val="auto"/>
              </w:rPr>
              <w:t>(3)</w:t>
            </w: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46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ind w:right="296"/>
              <w:spacing w:after="0" w:line="49" w:lineRule="exact"/>
              <w:rPr>
                <w:sz w:val="20"/>
                <w:szCs w:val="20"/>
                <w:color w:val="auto"/>
              </w:rPr>
            </w:pPr>
            <w:r>
              <w:rPr>
                <w:rFonts w:ascii="Times New Roman" w:cs="Times New Roman" w:eastAsia="Times New Roman" w:hAnsi="Times New Roman"/>
                <w:sz w:val="5"/>
                <w:szCs w:val="5"/>
                <w:b w:val="1"/>
                <w:bCs w:val="1"/>
                <w:color w:val="auto"/>
              </w:rPr>
              <w:t>(4)</w:t>
            </w:r>
          </w:p>
        </w:tc>
        <w:tc>
          <w:tcPr>
            <w:tcW w:w="100" w:type="dxa"/>
            <w:vAlign w:val="bottom"/>
          </w:tcPr>
          <w:p>
            <w:pPr>
              <w:spacing w:after="0"/>
              <w:rPr>
                <w:sz w:val="4"/>
                <w:szCs w:val="4"/>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80" w:type="dxa"/>
            <w:vAlign w:val="bottom"/>
          </w:tcPr>
          <w:p>
            <w:pPr>
              <w:spacing w:after="0"/>
              <w:rPr>
                <w:sz w:val="16"/>
                <w:szCs w:val="16"/>
                <w:color w:val="auto"/>
              </w:rPr>
            </w:pPr>
          </w:p>
        </w:tc>
        <w:tc>
          <w:tcPr>
            <w:tcW w:w="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7CDE8"/>
          </w:tcPr>
          <w:p>
            <w:pPr>
              <w:spacing w:after="0"/>
              <w:rPr>
                <w:sz w:val="18"/>
                <w:szCs w:val="18"/>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rPr>
              <w:t>Irwin Simon</w:t>
            </w:r>
          </w:p>
        </w:tc>
        <w:tc>
          <w:tcPr>
            <w:tcW w:w="80" w:type="dxa"/>
            <w:vAlign w:val="bottom"/>
            <w:shd w:val="clear" w:color="auto" w:fill="C7CDE8"/>
          </w:tcPr>
          <w:p>
            <w:pPr>
              <w:spacing w:after="0"/>
              <w:rPr>
                <w:sz w:val="18"/>
                <w:szCs w:val="18"/>
                <w:color w:val="auto"/>
              </w:rPr>
            </w:pPr>
          </w:p>
        </w:tc>
        <w:tc>
          <w:tcPr>
            <w:tcW w:w="640" w:type="dxa"/>
            <w:vAlign w:val="bottom"/>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gridSpan w:val="4"/>
            <w:shd w:val="clear" w:color="auto" w:fill="C7CDE8"/>
          </w:tcPr>
          <w:p>
            <w:pPr>
              <w:ind w:left="140"/>
              <w:spacing w:after="0"/>
              <w:rPr>
                <w:sz w:val="20"/>
                <w:szCs w:val="20"/>
                <w:color w:val="auto"/>
              </w:rPr>
            </w:pPr>
            <w:r>
              <w:rPr>
                <w:rFonts w:ascii="Times New Roman" w:cs="Times New Roman" w:eastAsia="Times New Roman" w:hAnsi="Times New Roman"/>
                <w:sz w:val="16"/>
                <w:szCs w:val="16"/>
                <w:color w:val="auto"/>
              </w:rPr>
              <w:t>1,891,760</w:t>
            </w:r>
          </w:p>
        </w:tc>
        <w:tc>
          <w:tcPr>
            <w:tcW w:w="920" w:type="dxa"/>
            <w:vAlign w:val="bottom"/>
            <w:gridSpan w:val="2"/>
            <w:shd w:val="clear" w:color="auto" w:fill="C7CDE8"/>
          </w:tcPr>
          <w:p>
            <w:pPr>
              <w:jc w:val="right"/>
              <w:spacing w:after="0" w:line="212" w:lineRule="exact"/>
              <w:rPr>
                <w:sz w:val="20"/>
                <w:szCs w:val="20"/>
                <w:color w:val="auto"/>
              </w:rPr>
            </w:pPr>
            <w:r>
              <w:rPr>
                <w:rFonts w:ascii="Times New Roman" w:cs="Times New Roman" w:eastAsia="Times New Roman" w:hAnsi="Times New Roman"/>
                <w:sz w:val="15"/>
                <w:szCs w:val="15"/>
                <w:color w:val="auto"/>
              </w:rPr>
              <w:t>2,500,000</w:t>
            </w:r>
            <w:r>
              <w:rPr>
                <w:rFonts w:ascii="Times New Roman" w:cs="Times New Roman" w:eastAsia="Times New Roman" w:hAnsi="Times New Roman"/>
                <w:sz w:val="24"/>
                <w:szCs w:val="24"/>
                <w:color w:val="auto"/>
                <w:vertAlign w:val="superscript"/>
              </w:rPr>
              <w:t>(6)</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4,547,501</w:t>
            </w:r>
          </w:p>
        </w:tc>
        <w:tc>
          <w:tcPr>
            <w:tcW w:w="1160" w:type="dxa"/>
            <w:vAlign w:val="bottom"/>
            <w:gridSpan w:val="2"/>
            <w:shd w:val="clear" w:color="auto" w:fill="C7CDE8"/>
          </w:tcPr>
          <w:p>
            <w:pPr>
              <w:jc w:val="center"/>
              <w:ind w:left="44"/>
              <w:spacing w:after="0"/>
              <w:rPr>
                <w:sz w:val="20"/>
                <w:szCs w:val="20"/>
                <w:color w:val="auto"/>
              </w:rPr>
            </w:pPr>
            <w:r>
              <w:rPr>
                <w:rFonts w:ascii="Times New Roman" w:cs="Times New Roman" w:eastAsia="Times New Roman" w:hAnsi="Times New Roman"/>
                <w:sz w:val="16"/>
                <w:szCs w:val="16"/>
                <w:color w:val="auto"/>
                <w:w w:val="99"/>
              </w:rPr>
              <w:t>1,040,000</w:t>
            </w:r>
          </w:p>
        </w:tc>
        <w:tc>
          <w:tcPr>
            <w:tcW w:w="120" w:type="dxa"/>
            <w:vAlign w:val="bottom"/>
            <w:shd w:val="clear" w:color="auto" w:fill="C7CDE8"/>
          </w:tcPr>
          <w:p>
            <w:pPr>
              <w:spacing w:after="0"/>
              <w:rPr>
                <w:sz w:val="18"/>
                <w:szCs w:val="18"/>
                <w:color w:val="auto"/>
              </w:rPr>
            </w:pPr>
          </w:p>
        </w:tc>
        <w:tc>
          <w:tcPr>
            <w:tcW w:w="4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163,710</w:t>
            </w:r>
          </w:p>
        </w:tc>
        <w:tc>
          <w:tcPr>
            <w:tcW w:w="8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10,142,971</w:t>
            </w: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Chief</w:t>
            </w:r>
          </w:p>
        </w:tc>
        <w:tc>
          <w:tcPr>
            <w:tcW w:w="80" w:type="dxa"/>
            <w:vAlign w:val="bottom"/>
            <w:shd w:val="clear" w:color="auto" w:fill="C7CDE8"/>
          </w:tcPr>
          <w:p>
            <w:pPr>
              <w:spacing w:after="0"/>
              <w:rPr>
                <w:sz w:val="17"/>
                <w:szCs w:val="17"/>
                <w:color w:val="auto"/>
              </w:rPr>
            </w:pPr>
          </w:p>
        </w:tc>
        <w:tc>
          <w:tcPr>
            <w:tcW w:w="640" w:type="dxa"/>
            <w:vAlign w:val="bottom"/>
            <w:vMerge w:val="restart"/>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4"/>
            <w:vMerge w:val="restart"/>
            <w:shd w:val="clear" w:color="auto" w:fill="C7CDE8"/>
          </w:tcPr>
          <w:p>
            <w:pPr>
              <w:ind w:left="140"/>
              <w:spacing w:after="0"/>
              <w:rPr>
                <w:sz w:val="20"/>
                <w:szCs w:val="20"/>
                <w:color w:val="auto"/>
              </w:rPr>
            </w:pPr>
            <w:r>
              <w:rPr>
                <w:rFonts w:ascii="Times New Roman" w:cs="Times New Roman" w:eastAsia="Times New Roman" w:hAnsi="Times New Roman"/>
                <w:sz w:val="16"/>
                <w:szCs w:val="16"/>
                <w:color w:val="auto"/>
              </w:rPr>
              <w:t>1,819,000</w:t>
            </w:r>
          </w:p>
        </w:tc>
        <w:tc>
          <w:tcPr>
            <w:tcW w:w="92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2,500,000</w:t>
            </w:r>
            <w:r>
              <w:rPr>
                <w:rFonts w:ascii="Times New Roman" w:cs="Times New Roman" w:eastAsia="Times New Roman" w:hAnsi="Times New Roman"/>
                <w:sz w:val="26"/>
                <w:szCs w:val="26"/>
                <w:color w:val="auto"/>
                <w:vertAlign w:val="superscript"/>
              </w:rPr>
              <w:t>(5)</w:t>
            </w:r>
          </w:p>
        </w:tc>
        <w:tc>
          <w:tcPr>
            <w:tcW w:w="84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9,249,999</w:t>
            </w:r>
          </w:p>
        </w:tc>
        <w:tc>
          <w:tcPr>
            <w:tcW w:w="1160" w:type="dxa"/>
            <w:vAlign w:val="bottom"/>
            <w:gridSpan w:val="2"/>
            <w:vMerge w:val="restart"/>
            <w:shd w:val="clear" w:color="auto" w:fill="C7CDE8"/>
          </w:tcPr>
          <w:p>
            <w:pPr>
              <w:jc w:val="center"/>
              <w:ind w:left="44"/>
              <w:spacing w:after="0"/>
              <w:rPr>
                <w:sz w:val="20"/>
                <w:szCs w:val="20"/>
                <w:color w:val="auto"/>
              </w:rPr>
            </w:pPr>
            <w:r>
              <w:rPr>
                <w:rFonts w:ascii="Times New Roman" w:cs="Times New Roman" w:eastAsia="Times New Roman" w:hAnsi="Times New Roman"/>
                <w:sz w:val="16"/>
                <w:szCs w:val="16"/>
                <w:color w:val="auto"/>
                <w:w w:val="99"/>
              </w:rPr>
              <w:t>1,909,950</w:t>
            </w:r>
          </w:p>
        </w:tc>
        <w:tc>
          <w:tcPr>
            <w:tcW w:w="120" w:type="dxa"/>
            <w:vAlign w:val="bottom"/>
            <w:shd w:val="clear" w:color="auto" w:fill="C7CDE8"/>
          </w:tcPr>
          <w:p>
            <w:pPr>
              <w:spacing w:after="0"/>
              <w:rPr>
                <w:sz w:val="17"/>
                <w:szCs w:val="17"/>
                <w:color w:val="auto"/>
              </w:rPr>
            </w:pPr>
          </w:p>
        </w:tc>
        <w:tc>
          <w:tcPr>
            <w:tcW w:w="4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vMerge w:val="restart"/>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177,635</w:t>
            </w:r>
          </w:p>
        </w:tc>
        <w:tc>
          <w:tcPr>
            <w:tcW w:w="8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15,656,584</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80" w:type="dxa"/>
            <w:vAlign w:val="bottom"/>
            <w:shd w:val="clear" w:color="auto" w:fill="C7CDE8"/>
          </w:tcPr>
          <w:p>
            <w:pPr>
              <w:spacing w:after="0"/>
              <w:rPr>
                <w:sz w:val="17"/>
                <w:szCs w:val="17"/>
                <w:color w:val="auto"/>
              </w:rPr>
            </w:pPr>
          </w:p>
        </w:tc>
        <w:tc>
          <w:tcPr>
            <w:tcW w:w="640" w:type="dxa"/>
            <w:vAlign w:val="bottom"/>
            <w:vMerge w:val="continue"/>
            <w:shd w:val="clear" w:color="auto" w:fill="C7CDE8"/>
          </w:tcPr>
          <w:p>
            <w:pPr>
              <w:spacing w:after="0"/>
              <w:rPr>
                <w:sz w:val="17"/>
                <w:szCs w:val="17"/>
                <w:color w:val="auto"/>
              </w:rPr>
            </w:pPr>
          </w:p>
        </w:tc>
        <w:tc>
          <w:tcPr>
            <w:tcW w:w="960" w:type="dxa"/>
            <w:vAlign w:val="bottom"/>
            <w:gridSpan w:val="4"/>
            <w:vMerge w:val="continue"/>
            <w:shd w:val="clear" w:color="auto" w:fill="C7CDE8"/>
          </w:tcPr>
          <w:p>
            <w:pPr>
              <w:spacing w:after="0"/>
              <w:rPr>
                <w:sz w:val="17"/>
                <w:szCs w:val="17"/>
                <w:color w:val="auto"/>
              </w:rPr>
            </w:pPr>
          </w:p>
        </w:tc>
        <w:tc>
          <w:tcPr>
            <w:tcW w:w="920" w:type="dxa"/>
            <w:vAlign w:val="bottom"/>
            <w:gridSpan w:val="2"/>
            <w:vMerge w:val="continue"/>
            <w:shd w:val="clear" w:color="auto" w:fill="C7CDE8"/>
          </w:tcPr>
          <w:p>
            <w:pPr>
              <w:spacing w:after="0"/>
              <w:rPr>
                <w:sz w:val="17"/>
                <w:szCs w:val="17"/>
                <w:color w:val="auto"/>
              </w:rPr>
            </w:pPr>
          </w:p>
        </w:tc>
        <w:tc>
          <w:tcPr>
            <w:tcW w:w="840" w:type="dxa"/>
            <w:vAlign w:val="bottom"/>
            <w:gridSpan w:val="3"/>
            <w:vMerge w:val="continue"/>
            <w:shd w:val="clear" w:color="auto" w:fill="C7CDE8"/>
          </w:tcPr>
          <w:p>
            <w:pPr>
              <w:spacing w:after="0"/>
              <w:rPr>
                <w:sz w:val="17"/>
                <w:szCs w:val="17"/>
                <w:color w:val="auto"/>
              </w:rPr>
            </w:pPr>
          </w:p>
        </w:tc>
        <w:tc>
          <w:tcPr>
            <w:tcW w:w="1160" w:type="dxa"/>
            <w:vAlign w:val="bottom"/>
            <w:gridSpan w:val="2"/>
            <w:vMerge w:val="continue"/>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460" w:type="dxa"/>
            <w:vAlign w:val="bottom"/>
            <w:vMerge w:val="continue"/>
            <w:shd w:val="clear" w:color="auto" w:fill="C7CDE8"/>
          </w:tcPr>
          <w:p>
            <w:pPr>
              <w:spacing w:after="0"/>
              <w:rPr>
                <w:sz w:val="17"/>
                <w:szCs w:val="17"/>
                <w:color w:val="auto"/>
              </w:rPr>
            </w:pPr>
          </w:p>
        </w:tc>
        <w:tc>
          <w:tcPr>
            <w:tcW w:w="1040" w:type="dxa"/>
            <w:vAlign w:val="bottom"/>
            <w:gridSpan w:val="3"/>
            <w:vMerge w:val="continue"/>
            <w:shd w:val="clear" w:color="auto" w:fill="C7CDE8"/>
          </w:tcPr>
          <w:p>
            <w:pPr>
              <w:spacing w:after="0"/>
              <w:rPr>
                <w:sz w:val="17"/>
                <w:szCs w:val="17"/>
                <w:color w:val="auto"/>
              </w:rPr>
            </w:pPr>
          </w:p>
        </w:tc>
        <w:tc>
          <w:tcPr>
            <w:tcW w:w="840" w:type="dxa"/>
            <w:vAlign w:val="bottom"/>
            <w:gridSpan w:val="2"/>
            <w:vMerge w:val="continue"/>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and Chairman of</w:t>
            </w:r>
          </w:p>
        </w:tc>
        <w:tc>
          <w:tcPr>
            <w:tcW w:w="80" w:type="dxa"/>
            <w:vAlign w:val="bottom"/>
            <w:shd w:val="clear" w:color="auto" w:fill="C7CDE8"/>
          </w:tcPr>
          <w:p>
            <w:pPr>
              <w:spacing w:after="0"/>
              <w:rPr>
                <w:sz w:val="17"/>
                <w:szCs w:val="17"/>
                <w:color w:val="auto"/>
              </w:rPr>
            </w:pPr>
          </w:p>
        </w:tc>
        <w:tc>
          <w:tcPr>
            <w:tcW w:w="640" w:type="dxa"/>
            <w:vAlign w:val="bottom"/>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gridSpan w:val="4"/>
            <w:shd w:val="clear" w:color="auto" w:fill="C7CDE8"/>
          </w:tcPr>
          <w:p>
            <w:pPr>
              <w:ind w:left="140"/>
              <w:spacing w:after="0"/>
              <w:rPr>
                <w:sz w:val="20"/>
                <w:szCs w:val="20"/>
                <w:color w:val="auto"/>
              </w:rPr>
            </w:pPr>
            <w:r>
              <w:rPr>
                <w:rFonts w:ascii="Times New Roman" w:cs="Times New Roman" w:eastAsia="Times New Roman" w:hAnsi="Times New Roman"/>
                <w:sz w:val="16"/>
                <w:szCs w:val="16"/>
                <w:color w:val="auto"/>
              </w:rPr>
              <w:t>1,714,165</w:t>
            </w:r>
          </w:p>
        </w:tc>
        <w:tc>
          <w:tcPr>
            <w:tcW w:w="80" w:type="dxa"/>
            <w:vAlign w:val="bottom"/>
            <w:shd w:val="clear" w:color="auto" w:fill="C7CDE8"/>
          </w:tcPr>
          <w:p>
            <w:pPr>
              <w:spacing w:after="0"/>
              <w:rPr>
                <w:sz w:val="17"/>
                <w:szCs w:val="17"/>
                <w:color w:val="auto"/>
              </w:rPr>
            </w:pPr>
          </w:p>
        </w:tc>
        <w:tc>
          <w:tcPr>
            <w:tcW w:w="840" w:type="dxa"/>
            <w:vAlign w:val="bottom"/>
            <w:shd w:val="clear" w:color="auto" w:fill="C7CDE8"/>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17,599,962</w:t>
            </w:r>
          </w:p>
        </w:tc>
        <w:tc>
          <w:tcPr>
            <w:tcW w:w="120" w:type="dxa"/>
            <w:vAlign w:val="bottom"/>
            <w:shd w:val="clear" w:color="auto" w:fill="C7CDE8"/>
          </w:tcPr>
          <w:p>
            <w:pPr>
              <w:spacing w:after="0"/>
              <w:rPr>
                <w:sz w:val="17"/>
                <w:szCs w:val="17"/>
                <w:color w:val="auto"/>
              </w:rPr>
            </w:pPr>
          </w:p>
        </w:tc>
        <w:tc>
          <w:tcPr>
            <w:tcW w:w="1040" w:type="dxa"/>
            <w:vAlign w:val="bottom"/>
            <w:shd w:val="clear" w:color="auto" w:fill="C7CDE8"/>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7CDE8"/>
          </w:tcPr>
          <w:p>
            <w:pPr>
              <w:spacing w:after="0"/>
              <w:rPr>
                <w:sz w:val="17"/>
                <w:szCs w:val="17"/>
                <w:color w:val="auto"/>
              </w:rPr>
            </w:pPr>
          </w:p>
        </w:tc>
        <w:tc>
          <w:tcPr>
            <w:tcW w:w="4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142,639</w:t>
            </w:r>
          </w:p>
        </w:tc>
        <w:tc>
          <w:tcPr>
            <w:tcW w:w="8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19,456,767</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7CDE8"/>
            </w:tcBorders>
            <w:shd w:val="clear" w:color="auto" w:fill="C7CDE8"/>
          </w:tcPr>
          <w:p>
            <w:pPr>
              <w:spacing w:after="0"/>
              <w:rPr>
                <w:sz w:val="20"/>
                <w:szCs w:val="20"/>
                <w:color w:val="auto"/>
              </w:rPr>
            </w:pPr>
          </w:p>
        </w:tc>
        <w:tc>
          <w:tcPr>
            <w:tcW w:w="1280" w:type="dxa"/>
            <w:vAlign w:val="bottom"/>
            <w:tcBorders>
              <w:bottom w:val="single" w:sz="8" w:color="C7CDE8"/>
            </w:tcBorders>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the Board</w:t>
            </w:r>
          </w:p>
        </w:tc>
        <w:tc>
          <w:tcPr>
            <w:tcW w:w="80" w:type="dxa"/>
            <w:vAlign w:val="bottom"/>
            <w:tcBorders>
              <w:bottom w:val="single" w:sz="8" w:color="C7CDE8"/>
            </w:tcBorders>
            <w:shd w:val="clear" w:color="auto" w:fill="C7CDE8"/>
          </w:tcPr>
          <w:p>
            <w:pPr>
              <w:spacing w:after="0"/>
              <w:rPr>
                <w:sz w:val="20"/>
                <w:szCs w:val="20"/>
                <w:color w:val="auto"/>
              </w:rPr>
            </w:pPr>
          </w:p>
        </w:tc>
        <w:tc>
          <w:tcPr>
            <w:tcW w:w="640" w:type="dxa"/>
            <w:vAlign w:val="bottom"/>
            <w:tcBorders>
              <w:bottom w:val="single" w:sz="8" w:color="C7CDE8"/>
            </w:tcBorders>
            <w:shd w:val="clear" w:color="auto" w:fill="C7CDE8"/>
          </w:tcPr>
          <w:p>
            <w:pPr>
              <w:spacing w:after="0"/>
              <w:rPr>
                <w:sz w:val="20"/>
                <w:szCs w:val="20"/>
                <w:color w:val="auto"/>
              </w:rPr>
            </w:pPr>
          </w:p>
        </w:tc>
        <w:tc>
          <w:tcPr>
            <w:tcW w:w="40" w:type="dxa"/>
            <w:vAlign w:val="bottom"/>
            <w:tcBorders>
              <w:bottom w:val="single" w:sz="8" w:color="C7CDE8"/>
            </w:tcBorders>
            <w:shd w:val="clear" w:color="auto" w:fill="C7CDE8"/>
          </w:tcPr>
          <w:p>
            <w:pPr>
              <w:spacing w:after="0"/>
              <w:rPr>
                <w:sz w:val="20"/>
                <w:szCs w:val="20"/>
                <w:color w:val="auto"/>
              </w:rPr>
            </w:pPr>
          </w:p>
        </w:tc>
        <w:tc>
          <w:tcPr>
            <w:tcW w:w="40" w:type="dxa"/>
            <w:vAlign w:val="bottom"/>
            <w:tcBorders>
              <w:bottom w:val="single" w:sz="8" w:color="C7CDE8"/>
            </w:tcBorders>
            <w:shd w:val="clear" w:color="auto" w:fill="C7CDE8"/>
          </w:tcPr>
          <w:p>
            <w:pPr>
              <w:spacing w:after="0"/>
              <w:rPr>
                <w:sz w:val="20"/>
                <w:szCs w:val="20"/>
                <w:color w:val="auto"/>
              </w:rPr>
            </w:pPr>
          </w:p>
        </w:tc>
        <w:tc>
          <w:tcPr>
            <w:tcW w:w="680" w:type="dxa"/>
            <w:vAlign w:val="bottom"/>
            <w:tcBorders>
              <w:bottom w:val="single" w:sz="8" w:color="C7CDE8"/>
            </w:tcBorders>
            <w:shd w:val="clear" w:color="auto" w:fill="C7CDE8"/>
          </w:tcPr>
          <w:p>
            <w:pPr>
              <w:spacing w:after="0"/>
              <w:rPr>
                <w:sz w:val="20"/>
                <w:szCs w:val="20"/>
                <w:color w:val="auto"/>
              </w:rPr>
            </w:pPr>
          </w:p>
        </w:tc>
        <w:tc>
          <w:tcPr>
            <w:tcW w:w="200" w:type="dxa"/>
            <w:vAlign w:val="bottom"/>
            <w:tcBorders>
              <w:bottom w:val="single" w:sz="8" w:color="C7CDE8"/>
            </w:tcBorders>
            <w:shd w:val="clear" w:color="auto" w:fill="C7CDE8"/>
          </w:tcPr>
          <w:p>
            <w:pPr>
              <w:spacing w:after="0"/>
              <w:rPr>
                <w:sz w:val="20"/>
                <w:szCs w:val="20"/>
                <w:color w:val="auto"/>
              </w:rPr>
            </w:pPr>
          </w:p>
        </w:tc>
        <w:tc>
          <w:tcPr>
            <w:tcW w:w="80" w:type="dxa"/>
            <w:vAlign w:val="bottom"/>
            <w:tcBorders>
              <w:bottom w:val="single" w:sz="8" w:color="C7CDE8"/>
            </w:tcBorders>
            <w:shd w:val="clear" w:color="auto" w:fill="C7CDE8"/>
          </w:tcPr>
          <w:p>
            <w:pPr>
              <w:spacing w:after="0"/>
              <w:rPr>
                <w:sz w:val="20"/>
                <w:szCs w:val="20"/>
                <w:color w:val="auto"/>
              </w:rPr>
            </w:pPr>
          </w:p>
        </w:tc>
        <w:tc>
          <w:tcPr>
            <w:tcW w:w="840" w:type="dxa"/>
            <w:vAlign w:val="bottom"/>
            <w:tcBorders>
              <w:bottom w:val="single" w:sz="8" w:color="C7CDE8"/>
            </w:tcBorders>
            <w:shd w:val="clear" w:color="auto" w:fill="C7CDE8"/>
          </w:tcPr>
          <w:p>
            <w:pPr>
              <w:spacing w:after="0"/>
              <w:rPr>
                <w:sz w:val="20"/>
                <w:szCs w:val="20"/>
                <w:color w:val="auto"/>
              </w:rPr>
            </w:pPr>
          </w:p>
        </w:tc>
        <w:tc>
          <w:tcPr>
            <w:tcW w:w="80" w:type="dxa"/>
            <w:vAlign w:val="bottom"/>
            <w:tcBorders>
              <w:bottom w:val="single" w:sz="8" w:color="C7CDE8"/>
            </w:tcBorders>
            <w:shd w:val="clear" w:color="auto" w:fill="C7CDE8"/>
          </w:tcPr>
          <w:p>
            <w:pPr>
              <w:spacing w:after="0"/>
              <w:rPr>
                <w:sz w:val="20"/>
                <w:szCs w:val="20"/>
                <w:color w:val="auto"/>
              </w:rPr>
            </w:pPr>
          </w:p>
        </w:tc>
        <w:tc>
          <w:tcPr>
            <w:tcW w:w="400" w:type="dxa"/>
            <w:vAlign w:val="bottom"/>
            <w:tcBorders>
              <w:bottom w:val="single" w:sz="8" w:color="C7CDE8"/>
            </w:tcBorders>
            <w:shd w:val="clear" w:color="auto" w:fill="C7CDE8"/>
          </w:tcPr>
          <w:p>
            <w:pPr>
              <w:spacing w:after="0"/>
              <w:rPr>
                <w:sz w:val="20"/>
                <w:szCs w:val="20"/>
                <w:color w:val="auto"/>
              </w:rPr>
            </w:pPr>
          </w:p>
        </w:tc>
        <w:tc>
          <w:tcPr>
            <w:tcW w:w="360" w:type="dxa"/>
            <w:vAlign w:val="bottom"/>
            <w:tcBorders>
              <w:bottom w:val="single" w:sz="8" w:color="C7CDE8"/>
            </w:tcBorders>
            <w:shd w:val="clear" w:color="auto" w:fill="C7CDE8"/>
          </w:tcPr>
          <w:p>
            <w:pPr>
              <w:spacing w:after="0"/>
              <w:rPr>
                <w:sz w:val="20"/>
                <w:szCs w:val="20"/>
                <w:color w:val="auto"/>
              </w:rPr>
            </w:pPr>
          </w:p>
        </w:tc>
        <w:tc>
          <w:tcPr>
            <w:tcW w:w="120" w:type="dxa"/>
            <w:vAlign w:val="bottom"/>
            <w:tcBorders>
              <w:bottom w:val="single" w:sz="8" w:color="C7CDE8"/>
            </w:tcBorders>
            <w:shd w:val="clear" w:color="auto" w:fill="C7CDE8"/>
          </w:tcPr>
          <w:p>
            <w:pPr>
              <w:spacing w:after="0"/>
              <w:rPr>
                <w:sz w:val="20"/>
                <w:szCs w:val="20"/>
                <w:color w:val="auto"/>
              </w:rPr>
            </w:pPr>
          </w:p>
        </w:tc>
        <w:tc>
          <w:tcPr>
            <w:tcW w:w="1040" w:type="dxa"/>
            <w:vAlign w:val="bottom"/>
            <w:tcBorders>
              <w:bottom w:val="single" w:sz="8" w:color="C7CDE8"/>
            </w:tcBorders>
            <w:shd w:val="clear" w:color="auto" w:fill="C7CDE8"/>
          </w:tcPr>
          <w:p>
            <w:pPr>
              <w:spacing w:after="0"/>
              <w:rPr>
                <w:sz w:val="20"/>
                <w:szCs w:val="20"/>
                <w:color w:val="auto"/>
              </w:rPr>
            </w:pPr>
          </w:p>
        </w:tc>
        <w:tc>
          <w:tcPr>
            <w:tcW w:w="120" w:type="dxa"/>
            <w:vAlign w:val="bottom"/>
            <w:tcBorders>
              <w:bottom w:val="single" w:sz="8" w:color="C7CDE8"/>
            </w:tcBorders>
            <w:shd w:val="clear" w:color="auto" w:fill="C7CDE8"/>
          </w:tcPr>
          <w:p>
            <w:pPr>
              <w:spacing w:after="0"/>
              <w:rPr>
                <w:sz w:val="20"/>
                <w:szCs w:val="20"/>
                <w:color w:val="auto"/>
              </w:rPr>
            </w:pPr>
          </w:p>
        </w:tc>
        <w:tc>
          <w:tcPr>
            <w:tcW w:w="460" w:type="dxa"/>
            <w:vAlign w:val="bottom"/>
            <w:tcBorders>
              <w:bottom w:val="single" w:sz="8" w:color="C7CDE8"/>
            </w:tcBorders>
            <w:shd w:val="clear" w:color="auto" w:fill="C7CDE8"/>
          </w:tcPr>
          <w:p>
            <w:pPr>
              <w:spacing w:after="0"/>
              <w:rPr>
                <w:sz w:val="20"/>
                <w:szCs w:val="20"/>
                <w:color w:val="auto"/>
              </w:rPr>
            </w:pPr>
          </w:p>
        </w:tc>
        <w:tc>
          <w:tcPr>
            <w:tcW w:w="120" w:type="dxa"/>
            <w:vAlign w:val="bottom"/>
            <w:tcBorders>
              <w:bottom w:val="single" w:sz="8" w:color="C7CDE8"/>
            </w:tcBorders>
            <w:shd w:val="clear" w:color="auto" w:fill="C7CDE8"/>
          </w:tcPr>
          <w:p>
            <w:pPr>
              <w:spacing w:after="0"/>
              <w:rPr>
                <w:sz w:val="20"/>
                <w:szCs w:val="20"/>
                <w:color w:val="auto"/>
              </w:rPr>
            </w:pPr>
          </w:p>
        </w:tc>
        <w:tc>
          <w:tcPr>
            <w:tcW w:w="460" w:type="dxa"/>
            <w:vAlign w:val="bottom"/>
            <w:tcBorders>
              <w:bottom w:val="single" w:sz="8" w:color="C7CDE8"/>
            </w:tcBorders>
            <w:shd w:val="clear" w:color="auto" w:fill="C7CDE8"/>
          </w:tcPr>
          <w:p>
            <w:pPr>
              <w:spacing w:after="0"/>
              <w:rPr>
                <w:sz w:val="20"/>
                <w:szCs w:val="20"/>
                <w:color w:val="auto"/>
              </w:rPr>
            </w:pPr>
          </w:p>
        </w:tc>
        <w:tc>
          <w:tcPr>
            <w:tcW w:w="460" w:type="dxa"/>
            <w:vAlign w:val="bottom"/>
            <w:tcBorders>
              <w:bottom w:val="single" w:sz="8" w:color="C7CDE8"/>
            </w:tcBorders>
            <w:shd w:val="clear" w:color="auto" w:fill="C7CDE8"/>
          </w:tcPr>
          <w:p>
            <w:pPr>
              <w:spacing w:after="0"/>
              <w:rPr>
                <w:sz w:val="20"/>
                <w:szCs w:val="20"/>
                <w:color w:val="auto"/>
              </w:rPr>
            </w:pPr>
          </w:p>
        </w:tc>
        <w:tc>
          <w:tcPr>
            <w:tcW w:w="100" w:type="dxa"/>
            <w:vAlign w:val="bottom"/>
            <w:tcBorders>
              <w:bottom w:val="single" w:sz="8" w:color="C7CDE8"/>
            </w:tcBorders>
            <w:shd w:val="clear" w:color="auto" w:fill="C7CDE8"/>
          </w:tcPr>
          <w:p>
            <w:pPr>
              <w:spacing w:after="0"/>
              <w:rPr>
                <w:sz w:val="20"/>
                <w:szCs w:val="20"/>
                <w:color w:val="auto"/>
              </w:rPr>
            </w:pPr>
          </w:p>
        </w:tc>
        <w:tc>
          <w:tcPr>
            <w:tcW w:w="740" w:type="dxa"/>
            <w:vAlign w:val="bottom"/>
            <w:tcBorders>
              <w:bottom w:val="single" w:sz="8" w:color="C7CDE8"/>
            </w:tcBorders>
            <w:shd w:val="clear" w:color="auto" w:fill="C7CDE8"/>
          </w:tcPr>
          <w:p>
            <w:pPr>
              <w:spacing w:after="0"/>
              <w:rPr>
                <w:sz w:val="20"/>
                <w:szCs w:val="20"/>
                <w:color w:val="auto"/>
              </w:rPr>
            </w:pPr>
          </w:p>
        </w:tc>
        <w:tc>
          <w:tcPr>
            <w:tcW w:w="60" w:type="dxa"/>
            <w:vAlign w:val="bottom"/>
            <w:tcBorders>
              <w:bottom w:val="single" w:sz="8" w:color="C7CDE8"/>
            </w:tcBorders>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 Merton</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gridSpan w:val="4"/>
          </w:tcPr>
          <w:p>
            <w:pPr>
              <w:ind w:left="280"/>
              <w:spacing w:after="0" w:line="216" w:lineRule="exact"/>
              <w:rPr>
                <w:sz w:val="20"/>
                <w:szCs w:val="20"/>
                <w:color w:val="auto"/>
              </w:rPr>
            </w:pPr>
            <w:r>
              <w:rPr>
                <w:rFonts w:ascii="Times New Roman" w:cs="Times New Roman" w:eastAsia="Times New Roman" w:hAnsi="Times New Roman"/>
                <w:sz w:val="16"/>
                <w:szCs w:val="16"/>
                <w:color w:val="auto"/>
                <w:w w:val="92"/>
              </w:rPr>
              <w:t>388,304</w:t>
            </w:r>
            <w:r>
              <w:rPr>
                <w:rFonts w:ascii="Times New Roman" w:cs="Times New Roman" w:eastAsia="Times New Roman" w:hAnsi="Times New Roman"/>
                <w:sz w:val="25"/>
                <w:szCs w:val="25"/>
                <w:color w:val="auto"/>
                <w:w w:val="92"/>
                <w:vertAlign w:val="superscript"/>
              </w:rPr>
              <w:t>(7)</w:t>
            </w:r>
          </w:p>
        </w:tc>
        <w:tc>
          <w:tcPr>
            <w:tcW w:w="92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25"/>
                <w:szCs w:val="25"/>
                <w:color w:val="auto"/>
                <w:vertAlign w:val="superscript"/>
              </w:rPr>
              <w:t>(6)</w:t>
            </w: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w w:val="99"/>
              </w:rPr>
              <w:t>673,481</w:t>
            </w:r>
          </w:p>
        </w:tc>
        <w:tc>
          <w:tcPr>
            <w:tcW w:w="116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auto"/>
              </w:rPr>
              <w:t>77,661</w:t>
            </w:r>
          </w:p>
        </w:tc>
        <w:tc>
          <w:tcPr>
            <w:tcW w:w="1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tcPr>
          <w:p>
            <w:pPr>
              <w:jc w:val="right"/>
              <w:ind w:right="156"/>
              <w:spacing w:after="0"/>
              <w:rPr>
                <w:sz w:val="20"/>
                <w:szCs w:val="20"/>
                <w:color w:val="auto"/>
              </w:rPr>
            </w:pPr>
            <w:r>
              <w:rPr>
                <w:rFonts w:ascii="Times New Roman" w:cs="Times New Roman" w:eastAsia="Times New Roman" w:hAnsi="Times New Roman"/>
                <w:sz w:val="16"/>
                <w:szCs w:val="16"/>
                <w:color w:val="auto"/>
              </w:rPr>
              <w:t>13,553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1,652,999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color w:val="auto"/>
                <w:w w:val="91"/>
              </w:rPr>
              <w:t>373,358</w:t>
            </w:r>
            <w:r>
              <w:rPr>
                <w:rFonts w:ascii="Times New Roman" w:cs="Times New Roman" w:eastAsia="Times New Roman" w:hAnsi="Times New Roman"/>
                <w:sz w:val="26"/>
                <w:szCs w:val="26"/>
                <w:color w:val="auto"/>
                <w:w w:val="91"/>
                <w:vertAlign w:val="superscript"/>
              </w:rPr>
              <w:t>(7)</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475,000</w:t>
            </w:r>
            <w:r>
              <w:rPr>
                <w:rFonts w:ascii="Times New Roman" w:cs="Times New Roman" w:eastAsia="Times New Roman" w:hAnsi="Times New Roman"/>
                <w:sz w:val="26"/>
                <w:szCs w:val="26"/>
                <w:color w:val="auto"/>
                <w:vertAlign w:val="superscript"/>
              </w:rPr>
              <w:t>(5)</w:t>
            </w: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1,321,687</w:t>
            </w:r>
          </w:p>
        </w:tc>
        <w:tc>
          <w:tcPr>
            <w:tcW w:w="1160" w:type="dxa"/>
            <w:vAlign w:val="bottom"/>
            <w:gridSpan w:val="2"/>
            <w:vMerge w:val="restart"/>
          </w:tcPr>
          <w:p>
            <w:pPr>
              <w:jc w:val="right"/>
              <w:ind w:right="123"/>
              <w:spacing w:after="0"/>
              <w:rPr>
                <w:sz w:val="20"/>
                <w:szCs w:val="20"/>
                <w:color w:val="auto"/>
              </w:rPr>
            </w:pPr>
            <w:r>
              <w:rPr>
                <w:rFonts w:ascii="Times New Roman" w:cs="Times New Roman" w:eastAsia="Times New Roman" w:hAnsi="Times New Roman"/>
                <w:sz w:val="16"/>
                <w:szCs w:val="16"/>
                <w:color w:val="auto"/>
              </w:rPr>
              <w:t>112,026</w:t>
            </w:r>
          </w:p>
        </w:tc>
        <w:tc>
          <w:tcPr>
            <w:tcW w:w="120" w:type="dxa"/>
            <w:vAlign w:val="bottom"/>
          </w:tcPr>
          <w:p>
            <w:pPr>
              <w:spacing w:after="0"/>
              <w:rPr>
                <w:sz w:val="17"/>
                <w:szCs w:val="17"/>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6"/>
                <w:szCs w:val="16"/>
                <w:color w:val="auto"/>
              </w:rPr>
              <w:t>11,049</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2,293,120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720" w:type="dxa"/>
            <w:vAlign w:val="bottom"/>
            <w:gridSpan w:val="2"/>
            <w:vMerge w:val="continue"/>
          </w:tcPr>
          <w:p>
            <w:pPr>
              <w:spacing w:after="0"/>
              <w:rPr>
                <w:sz w:val="18"/>
                <w:szCs w:val="18"/>
                <w:color w:val="auto"/>
              </w:rPr>
            </w:pPr>
          </w:p>
        </w:tc>
        <w:tc>
          <w:tcPr>
            <w:tcW w:w="960" w:type="dxa"/>
            <w:vAlign w:val="bottom"/>
            <w:gridSpan w:val="4"/>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gridSpan w:val="4"/>
          </w:tcPr>
          <w:p>
            <w:pPr>
              <w:ind w:left="280"/>
              <w:spacing w:after="0" w:line="297" w:lineRule="exact"/>
              <w:rPr>
                <w:sz w:val="20"/>
                <w:szCs w:val="20"/>
                <w:color w:val="auto"/>
              </w:rPr>
            </w:pPr>
            <w:r>
              <w:rPr>
                <w:rFonts w:ascii="Times New Roman" w:cs="Times New Roman" w:eastAsia="Times New Roman" w:hAnsi="Times New Roman"/>
                <w:sz w:val="16"/>
                <w:szCs w:val="16"/>
                <w:color w:val="auto"/>
                <w:w w:val="91"/>
              </w:rPr>
              <w:t>375,086</w:t>
            </w:r>
            <w:r>
              <w:rPr>
                <w:rFonts w:ascii="Times New Roman" w:cs="Times New Roman" w:eastAsia="Times New Roman" w:hAnsi="Times New Roman"/>
                <w:sz w:val="26"/>
                <w:szCs w:val="26"/>
                <w:color w:val="auto"/>
                <w:w w:val="91"/>
                <w:vertAlign w:val="superscript"/>
              </w:rPr>
              <w:t>(7)</w:t>
            </w:r>
          </w:p>
        </w:tc>
        <w:tc>
          <w:tcPr>
            <w:tcW w:w="80" w:type="dxa"/>
            <w:vAlign w:val="bottom"/>
          </w:tcPr>
          <w:p>
            <w:pPr>
              <w:spacing w:after="0"/>
              <w:rPr>
                <w:sz w:val="24"/>
                <w:szCs w:val="24"/>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2,447,902</w:t>
            </w:r>
          </w:p>
        </w:tc>
        <w:tc>
          <w:tcPr>
            <w:tcW w:w="120" w:type="dxa"/>
            <w:vAlign w:val="bottom"/>
          </w:tcPr>
          <w:p>
            <w:pPr>
              <w:spacing w:after="0"/>
              <w:rPr>
                <w:sz w:val="24"/>
                <w:szCs w:val="24"/>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tcPr>
          <w:p>
            <w:pPr>
              <w:jc w:val="right"/>
              <w:ind w:right="156"/>
              <w:spacing w:after="0"/>
              <w:rPr>
                <w:sz w:val="20"/>
                <w:szCs w:val="20"/>
                <w:color w:val="auto"/>
              </w:rPr>
            </w:pPr>
            <w:r>
              <w:rPr>
                <w:rFonts w:ascii="Times New Roman" w:cs="Times New Roman" w:eastAsia="Times New Roman" w:hAnsi="Times New Roman"/>
                <w:sz w:val="16"/>
                <w:szCs w:val="16"/>
                <w:color w:val="auto"/>
              </w:rPr>
              <w:t>13,412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2,836,400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7CDE8"/>
          </w:tcPr>
          <w:p>
            <w:pPr>
              <w:spacing w:after="0"/>
              <w:rPr>
                <w:sz w:val="18"/>
                <w:szCs w:val="18"/>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rPr>
              <w:t>Denise Faltischek</w:t>
            </w:r>
          </w:p>
        </w:tc>
        <w:tc>
          <w:tcPr>
            <w:tcW w:w="80" w:type="dxa"/>
            <w:vAlign w:val="bottom"/>
            <w:shd w:val="clear" w:color="auto" w:fill="C7CDE8"/>
          </w:tcPr>
          <w:p>
            <w:pPr>
              <w:spacing w:after="0"/>
              <w:rPr>
                <w:sz w:val="18"/>
                <w:szCs w:val="18"/>
                <w:color w:val="auto"/>
              </w:rPr>
            </w:pPr>
          </w:p>
        </w:tc>
        <w:tc>
          <w:tcPr>
            <w:tcW w:w="640" w:type="dxa"/>
            <w:vAlign w:val="bottom"/>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gridSpan w:val="4"/>
            <w:shd w:val="clear" w:color="auto" w:fill="C7CDE8"/>
          </w:tcPr>
          <w:p>
            <w:pPr>
              <w:ind w:left="280"/>
              <w:spacing w:after="0"/>
              <w:rPr>
                <w:sz w:val="20"/>
                <w:szCs w:val="20"/>
                <w:color w:val="auto"/>
              </w:rPr>
            </w:pPr>
            <w:r>
              <w:rPr>
                <w:rFonts w:ascii="Times New Roman" w:cs="Times New Roman" w:eastAsia="Times New Roman" w:hAnsi="Times New Roman"/>
                <w:sz w:val="16"/>
                <w:szCs w:val="16"/>
                <w:color w:val="auto"/>
              </w:rPr>
              <w:t>600,000</w:t>
            </w:r>
          </w:p>
        </w:tc>
        <w:tc>
          <w:tcPr>
            <w:tcW w:w="920" w:type="dxa"/>
            <w:vAlign w:val="bottom"/>
            <w:gridSpan w:val="2"/>
            <w:shd w:val="clear" w:color="auto" w:fill="C7CDE8"/>
          </w:tcPr>
          <w:p>
            <w:pPr>
              <w:jc w:val="right"/>
              <w:spacing w:after="0" w:line="216" w:lineRule="exact"/>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5"/>
                <w:szCs w:val="25"/>
                <w:color w:val="auto"/>
                <w:vertAlign w:val="superscript"/>
              </w:rPr>
              <w:t>(6)</w:t>
            </w:r>
          </w:p>
        </w:tc>
        <w:tc>
          <w:tcPr>
            <w:tcW w:w="840" w:type="dxa"/>
            <w:vAlign w:val="bottom"/>
            <w:gridSpan w:val="3"/>
            <w:shd w:val="clear" w:color="auto" w:fill="C7CDE8"/>
          </w:tcPr>
          <w:p>
            <w:pPr>
              <w:ind w:left="300"/>
              <w:spacing w:after="0"/>
              <w:rPr>
                <w:sz w:val="20"/>
                <w:szCs w:val="20"/>
                <w:color w:val="auto"/>
              </w:rPr>
            </w:pPr>
            <w:r>
              <w:rPr>
                <w:rFonts w:ascii="Times New Roman" w:cs="Times New Roman" w:eastAsia="Times New Roman" w:hAnsi="Times New Roman"/>
                <w:sz w:val="16"/>
                <w:szCs w:val="16"/>
                <w:color w:val="auto"/>
                <w:w w:val="99"/>
              </w:rPr>
              <w:t>962,501</w:t>
            </w:r>
          </w:p>
        </w:tc>
        <w:tc>
          <w:tcPr>
            <w:tcW w:w="1160" w:type="dxa"/>
            <w:vAlign w:val="bottom"/>
            <w:gridSpan w:val="2"/>
            <w:shd w:val="clear" w:color="auto" w:fill="C7CDE8"/>
          </w:tcPr>
          <w:p>
            <w:pPr>
              <w:jc w:val="right"/>
              <w:ind w:right="103"/>
              <w:spacing w:after="0"/>
              <w:rPr>
                <w:sz w:val="20"/>
                <w:szCs w:val="20"/>
                <w:color w:val="auto"/>
              </w:rPr>
            </w:pPr>
            <w:r>
              <w:rPr>
                <w:rFonts w:ascii="Times New Roman" w:cs="Times New Roman" w:eastAsia="Times New Roman" w:hAnsi="Times New Roman"/>
                <w:sz w:val="16"/>
                <w:szCs w:val="16"/>
                <w:color w:val="auto"/>
              </w:rPr>
              <w:t>120,000</w:t>
            </w:r>
          </w:p>
        </w:tc>
        <w:tc>
          <w:tcPr>
            <w:tcW w:w="120" w:type="dxa"/>
            <w:vAlign w:val="bottom"/>
            <w:shd w:val="clear" w:color="auto" w:fill="C7CDE8"/>
          </w:tcPr>
          <w:p>
            <w:pPr>
              <w:spacing w:after="0"/>
              <w:rPr>
                <w:sz w:val="18"/>
                <w:szCs w:val="18"/>
                <w:color w:val="auto"/>
              </w:rPr>
            </w:pPr>
          </w:p>
        </w:tc>
        <w:tc>
          <w:tcPr>
            <w:tcW w:w="4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34,581</w:t>
            </w:r>
          </w:p>
        </w:tc>
        <w:tc>
          <w:tcPr>
            <w:tcW w:w="8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2,317,082</w:t>
            </w: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Chief Strategy</w:t>
            </w:r>
          </w:p>
        </w:tc>
        <w:tc>
          <w:tcPr>
            <w:tcW w:w="80" w:type="dxa"/>
            <w:vAlign w:val="bottom"/>
            <w:shd w:val="clear" w:color="auto" w:fill="C7CDE8"/>
          </w:tcPr>
          <w:p>
            <w:pPr>
              <w:spacing w:after="0"/>
              <w:rPr>
                <w:sz w:val="17"/>
                <w:szCs w:val="17"/>
                <w:color w:val="auto"/>
              </w:rPr>
            </w:pPr>
          </w:p>
        </w:tc>
        <w:tc>
          <w:tcPr>
            <w:tcW w:w="640" w:type="dxa"/>
            <w:vAlign w:val="bottom"/>
            <w:vMerge w:val="restart"/>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4"/>
            <w:vMerge w:val="restart"/>
            <w:shd w:val="clear" w:color="auto" w:fill="C7CDE8"/>
          </w:tcPr>
          <w:p>
            <w:pPr>
              <w:ind w:left="280"/>
              <w:spacing w:after="0"/>
              <w:rPr>
                <w:sz w:val="20"/>
                <w:szCs w:val="20"/>
                <w:color w:val="auto"/>
              </w:rPr>
            </w:pPr>
            <w:r>
              <w:rPr>
                <w:rFonts w:ascii="Times New Roman" w:cs="Times New Roman" w:eastAsia="Times New Roman" w:hAnsi="Times New Roman"/>
                <w:sz w:val="16"/>
                <w:szCs w:val="16"/>
                <w:color w:val="auto"/>
              </w:rPr>
              <w:t>550,000</w:t>
            </w:r>
          </w:p>
        </w:tc>
        <w:tc>
          <w:tcPr>
            <w:tcW w:w="92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6"/>
                <w:szCs w:val="26"/>
                <w:color w:val="auto"/>
                <w:vertAlign w:val="superscript"/>
              </w:rPr>
              <w:t>(5)</w:t>
            </w:r>
          </w:p>
        </w:tc>
        <w:tc>
          <w:tcPr>
            <w:tcW w:w="84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1,539,999</w:t>
            </w:r>
          </w:p>
        </w:tc>
        <w:tc>
          <w:tcPr>
            <w:tcW w:w="1160" w:type="dxa"/>
            <w:vAlign w:val="bottom"/>
            <w:gridSpan w:val="2"/>
            <w:vMerge w:val="restart"/>
            <w:shd w:val="clear" w:color="auto" w:fill="C7CDE8"/>
          </w:tcPr>
          <w:p>
            <w:pPr>
              <w:jc w:val="right"/>
              <w:ind w:right="103"/>
              <w:spacing w:after="0"/>
              <w:rPr>
                <w:sz w:val="20"/>
                <w:szCs w:val="20"/>
                <w:color w:val="auto"/>
              </w:rPr>
            </w:pPr>
            <w:r>
              <w:rPr>
                <w:rFonts w:ascii="Times New Roman" w:cs="Times New Roman" w:eastAsia="Times New Roman" w:hAnsi="Times New Roman"/>
                <w:sz w:val="16"/>
                <w:szCs w:val="16"/>
                <w:color w:val="auto"/>
              </w:rPr>
              <w:t>165,000</w:t>
            </w:r>
          </w:p>
        </w:tc>
        <w:tc>
          <w:tcPr>
            <w:tcW w:w="120" w:type="dxa"/>
            <w:vAlign w:val="bottom"/>
            <w:shd w:val="clear" w:color="auto" w:fill="C7CDE8"/>
          </w:tcPr>
          <w:p>
            <w:pPr>
              <w:spacing w:after="0"/>
              <w:rPr>
                <w:sz w:val="17"/>
                <w:szCs w:val="17"/>
                <w:color w:val="auto"/>
              </w:rPr>
            </w:pPr>
          </w:p>
        </w:tc>
        <w:tc>
          <w:tcPr>
            <w:tcW w:w="4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vMerge w:val="restart"/>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107,681</w:t>
            </w:r>
          </w:p>
        </w:tc>
        <w:tc>
          <w:tcPr>
            <w:tcW w:w="8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2,962,680</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Officer and Head</w:t>
            </w:r>
          </w:p>
        </w:tc>
        <w:tc>
          <w:tcPr>
            <w:tcW w:w="80" w:type="dxa"/>
            <w:vAlign w:val="bottom"/>
            <w:shd w:val="clear" w:color="auto" w:fill="C7CDE8"/>
          </w:tcPr>
          <w:p>
            <w:pPr>
              <w:spacing w:after="0"/>
              <w:rPr>
                <w:sz w:val="17"/>
                <w:szCs w:val="17"/>
                <w:color w:val="auto"/>
              </w:rPr>
            </w:pPr>
          </w:p>
        </w:tc>
        <w:tc>
          <w:tcPr>
            <w:tcW w:w="640" w:type="dxa"/>
            <w:vAlign w:val="bottom"/>
            <w:vMerge w:val="continue"/>
            <w:shd w:val="clear" w:color="auto" w:fill="C7CDE8"/>
          </w:tcPr>
          <w:p>
            <w:pPr>
              <w:spacing w:after="0"/>
              <w:rPr>
                <w:sz w:val="17"/>
                <w:szCs w:val="17"/>
                <w:color w:val="auto"/>
              </w:rPr>
            </w:pPr>
          </w:p>
        </w:tc>
        <w:tc>
          <w:tcPr>
            <w:tcW w:w="960" w:type="dxa"/>
            <w:vAlign w:val="bottom"/>
            <w:gridSpan w:val="4"/>
            <w:vMerge w:val="continue"/>
            <w:shd w:val="clear" w:color="auto" w:fill="C7CDE8"/>
          </w:tcPr>
          <w:p>
            <w:pPr>
              <w:spacing w:after="0"/>
              <w:rPr>
                <w:sz w:val="17"/>
                <w:szCs w:val="17"/>
                <w:color w:val="auto"/>
              </w:rPr>
            </w:pPr>
          </w:p>
        </w:tc>
        <w:tc>
          <w:tcPr>
            <w:tcW w:w="920" w:type="dxa"/>
            <w:vAlign w:val="bottom"/>
            <w:gridSpan w:val="2"/>
            <w:vMerge w:val="continue"/>
            <w:shd w:val="clear" w:color="auto" w:fill="C7CDE8"/>
          </w:tcPr>
          <w:p>
            <w:pPr>
              <w:spacing w:after="0"/>
              <w:rPr>
                <w:sz w:val="17"/>
                <w:szCs w:val="17"/>
                <w:color w:val="auto"/>
              </w:rPr>
            </w:pPr>
          </w:p>
        </w:tc>
        <w:tc>
          <w:tcPr>
            <w:tcW w:w="840" w:type="dxa"/>
            <w:vAlign w:val="bottom"/>
            <w:gridSpan w:val="3"/>
            <w:vMerge w:val="continue"/>
            <w:shd w:val="clear" w:color="auto" w:fill="C7CDE8"/>
          </w:tcPr>
          <w:p>
            <w:pPr>
              <w:spacing w:after="0"/>
              <w:rPr>
                <w:sz w:val="17"/>
                <w:szCs w:val="17"/>
                <w:color w:val="auto"/>
              </w:rPr>
            </w:pPr>
          </w:p>
        </w:tc>
        <w:tc>
          <w:tcPr>
            <w:tcW w:w="1160" w:type="dxa"/>
            <w:vAlign w:val="bottom"/>
            <w:gridSpan w:val="2"/>
            <w:vMerge w:val="continue"/>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460" w:type="dxa"/>
            <w:vAlign w:val="bottom"/>
            <w:vMerge w:val="continue"/>
            <w:shd w:val="clear" w:color="auto" w:fill="C7CDE8"/>
          </w:tcPr>
          <w:p>
            <w:pPr>
              <w:spacing w:after="0"/>
              <w:rPr>
                <w:sz w:val="17"/>
                <w:szCs w:val="17"/>
                <w:color w:val="auto"/>
              </w:rPr>
            </w:pPr>
          </w:p>
        </w:tc>
        <w:tc>
          <w:tcPr>
            <w:tcW w:w="1040" w:type="dxa"/>
            <w:vAlign w:val="bottom"/>
            <w:gridSpan w:val="3"/>
            <w:vMerge w:val="continue"/>
            <w:shd w:val="clear" w:color="auto" w:fill="C7CDE8"/>
          </w:tcPr>
          <w:p>
            <w:pPr>
              <w:spacing w:after="0"/>
              <w:rPr>
                <w:sz w:val="17"/>
                <w:szCs w:val="17"/>
                <w:color w:val="auto"/>
              </w:rPr>
            </w:pPr>
          </w:p>
        </w:tc>
        <w:tc>
          <w:tcPr>
            <w:tcW w:w="840" w:type="dxa"/>
            <w:vAlign w:val="bottom"/>
            <w:gridSpan w:val="2"/>
            <w:vMerge w:val="continue"/>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7CDE8"/>
            </w:tcBorders>
            <w:shd w:val="clear" w:color="auto" w:fill="C7CDE8"/>
          </w:tcPr>
          <w:p>
            <w:pPr>
              <w:spacing w:after="0"/>
              <w:rPr>
                <w:sz w:val="21"/>
                <w:szCs w:val="21"/>
                <w:color w:val="auto"/>
              </w:rPr>
            </w:pPr>
          </w:p>
        </w:tc>
        <w:tc>
          <w:tcPr>
            <w:tcW w:w="1280" w:type="dxa"/>
            <w:vAlign w:val="bottom"/>
            <w:tcBorders>
              <w:bottom w:val="single" w:sz="8" w:color="C7CDE8"/>
            </w:tcBorders>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of International</w:t>
            </w:r>
          </w:p>
        </w:tc>
        <w:tc>
          <w:tcPr>
            <w:tcW w:w="80" w:type="dxa"/>
            <w:vAlign w:val="bottom"/>
            <w:tcBorders>
              <w:bottom w:val="single" w:sz="8" w:color="C7CDE8"/>
            </w:tcBorders>
            <w:shd w:val="clear" w:color="auto" w:fill="C7CDE8"/>
          </w:tcPr>
          <w:p>
            <w:pPr>
              <w:spacing w:after="0"/>
              <w:rPr>
                <w:sz w:val="21"/>
                <w:szCs w:val="21"/>
                <w:color w:val="auto"/>
              </w:rPr>
            </w:pPr>
          </w:p>
        </w:tc>
        <w:tc>
          <w:tcPr>
            <w:tcW w:w="640" w:type="dxa"/>
            <w:vAlign w:val="bottom"/>
            <w:tcBorders>
              <w:bottom w:val="single" w:sz="8" w:color="C7CDE8"/>
            </w:tcBorders>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960" w:type="dxa"/>
            <w:vAlign w:val="bottom"/>
            <w:tcBorders>
              <w:bottom w:val="single" w:sz="8" w:color="C7CDE8"/>
            </w:tcBorders>
            <w:gridSpan w:val="4"/>
            <w:shd w:val="clear" w:color="auto" w:fill="C7CDE8"/>
          </w:tcPr>
          <w:p>
            <w:pPr>
              <w:ind w:left="280"/>
              <w:spacing w:after="0"/>
              <w:rPr>
                <w:sz w:val="20"/>
                <w:szCs w:val="20"/>
                <w:color w:val="auto"/>
              </w:rPr>
            </w:pPr>
            <w:r>
              <w:rPr>
                <w:rFonts w:ascii="Times New Roman" w:cs="Times New Roman" w:eastAsia="Times New Roman" w:hAnsi="Times New Roman"/>
                <w:sz w:val="16"/>
                <w:szCs w:val="16"/>
                <w:color w:val="auto"/>
              </w:rPr>
              <w:t>509,615</w:t>
            </w:r>
          </w:p>
        </w:tc>
        <w:tc>
          <w:tcPr>
            <w:tcW w:w="80" w:type="dxa"/>
            <w:vAlign w:val="bottom"/>
            <w:tcBorders>
              <w:bottom w:val="single" w:sz="8" w:color="C7CDE8"/>
            </w:tcBorders>
            <w:shd w:val="clear" w:color="auto" w:fill="C7CDE8"/>
          </w:tcPr>
          <w:p>
            <w:pPr>
              <w:spacing w:after="0"/>
              <w:rPr>
                <w:sz w:val="21"/>
                <w:szCs w:val="21"/>
                <w:color w:val="auto"/>
              </w:rPr>
            </w:pPr>
          </w:p>
        </w:tc>
        <w:tc>
          <w:tcPr>
            <w:tcW w:w="840" w:type="dxa"/>
            <w:vAlign w:val="bottom"/>
            <w:tcBorders>
              <w:bottom w:val="single" w:sz="8" w:color="C7CDE8"/>
            </w:tcBorders>
            <w:shd w:val="clear" w:color="auto" w:fill="C7CDE8"/>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7CDE8"/>
            </w:tcBorders>
            <w:gridSpan w:val="3"/>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2,365,606</w:t>
            </w:r>
          </w:p>
        </w:tc>
        <w:tc>
          <w:tcPr>
            <w:tcW w:w="120" w:type="dxa"/>
            <w:vAlign w:val="bottom"/>
            <w:tcBorders>
              <w:bottom w:val="single" w:sz="8" w:color="C7CDE8"/>
            </w:tcBorders>
            <w:shd w:val="clear" w:color="auto" w:fill="C7CDE8"/>
          </w:tcPr>
          <w:p>
            <w:pPr>
              <w:spacing w:after="0"/>
              <w:rPr>
                <w:sz w:val="21"/>
                <w:szCs w:val="21"/>
                <w:color w:val="auto"/>
              </w:rPr>
            </w:pPr>
          </w:p>
        </w:tc>
        <w:tc>
          <w:tcPr>
            <w:tcW w:w="1040" w:type="dxa"/>
            <w:vAlign w:val="bottom"/>
            <w:tcBorders>
              <w:bottom w:val="single" w:sz="8" w:color="C7CDE8"/>
            </w:tcBorders>
            <w:shd w:val="clear" w:color="auto" w:fill="C7CDE8"/>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7CDE8"/>
            </w:tcBorders>
            <w:shd w:val="clear" w:color="auto" w:fill="C7CDE8"/>
          </w:tcPr>
          <w:p>
            <w:pPr>
              <w:spacing w:after="0"/>
              <w:rPr>
                <w:sz w:val="21"/>
                <w:szCs w:val="21"/>
                <w:color w:val="auto"/>
              </w:rPr>
            </w:pPr>
          </w:p>
        </w:tc>
        <w:tc>
          <w:tcPr>
            <w:tcW w:w="46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7CDE8"/>
            </w:tcBorders>
            <w:gridSpan w:val="3"/>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15,125</w:t>
            </w:r>
          </w:p>
        </w:tc>
        <w:tc>
          <w:tcPr>
            <w:tcW w:w="840" w:type="dxa"/>
            <w:vAlign w:val="bottom"/>
            <w:tcBorders>
              <w:bottom w:val="single" w:sz="8" w:color="C7CDE8"/>
            </w:tcBorders>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2,890,346</w:t>
            </w:r>
          </w:p>
        </w:tc>
        <w:tc>
          <w:tcPr>
            <w:tcW w:w="60" w:type="dxa"/>
            <w:vAlign w:val="bottom"/>
            <w:tcBorders>
              <w:bottom w:val="single" w:sz="8" w:color="C7CDE8"/>
            </w:tcBorders>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280" w:type="dxa"/>
            <w:vAlign w:val="bottom"/>
          </w:tcPr>
          <w:p>
            <w:pPr>
              <w:ind w:left="20"/>
              <w:spacing w:after="0" w:line="255" w:lineRule="exact"/>
              <w:rPr>
                <w:sz w:val="20"/>
                <w:szCs w:val="20"/>
                <w:color w:val="auto"/>
              </w:rPr>
            </w:pPr>
            <w:r>
              <w:rPr>
                <w:rFonts w:ascii="Times New Roman" w:cs="Times New Roman" w:eastAsia="Times New Roman" w:hAnsi="Times New Roman"/>
                <w:sz w:val="16"/>
                <w:szCs w:val="16"/>
                <w:color w:val="auto"/>
              </w:rPr>
              <w:t>Roger Savell</w:t>
            </w:r>
            <w:r>
              <w:rPr>
                <w:rFonts w:ascii="Times New Roman" w:cs="Times New Roman" w:eastAsia="Times New Roman" w:hAnsi="Times New Roman"/>
                <w:sz w:val="26"/>
                <w:szCs w:val="26"/>
                <w:color w:val="auto"/>
                <w:vertAlign w:val="superscript"/>
              </w:rPr>
              <w:t>(8)</w:t>
            </w: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525,000</w:t>
            </w:r>
          </w:p>
        </w:tc>
        <w:tc>
          <w:tcPr>
            <w:tcW w:w="920" w:type="dxa"/>
            <w:vAlign w:val="bottom"/>
            <w:gridSpan w:val="2"/>
          </w:tcPr>
          <w:p>
            <w:pPr>
              <w:jc w:val="right"/>
              <w:spacing w:after="0" w:line="255" w:lineRule="exact"/>
              <w:rPr>
                <w:sz w:val="20"/>
                <w:szCs w:val="20"/>
                <w:color w:val="auto"/>
              </w:rPr>
            </w:pPr>
            <w:r>
              <w:rPr>
                <w:rFonts w:ascii="Times New Roman" w:cs="Times New Roman" w:eastAsia="Times New Roman" w:hAnsi="Times New Roman"/>
                <w:sz w:val="16"/>
                <w:szCs w:val="16"/>
                <w:color w:val="auto"/>
              </w:rPr>
              <w:t>550,000</w:t>
            </w:r>
            <w:r>
              <w:rPr>
                <w:rFonts w:ascii="Times New Roman" w:cs="Times New Roman" w:eastAsia="Times New Roman" w:hAnsi="Times New Roman"/>
                <w:sz w:val="26"/>
                <w:szCs w:val="26"/>
                <w:color w:val="auto"/>
                <w:vertAlign w:val="superscript"/>
              </w:rPr>
              <w:t>(6)</w:t>
            </w:r>
          </w:p>
        </w:tc>
        <w:tc>
          <w:tcPr>
            <w:tcW w:w="84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w w:val="99"/>
              </w:rPr>
              <w:t>875,000</w:t>
            </w:r>
          </w:p>
        </w:tc>
        <w:tc>
          <w:tcPr>
            <w:tcW w:w="1160" w:type="dxa"/>
            <w:vAlign w:val="bottom"/>
            <w:gridSpan w:val="2"/>
          </w:tcPr>
          <w:p>
            <w:pPr>
              <w:jc w:val="right"/>
              <w:ind w:right="103"/>
              <w:spacing w:after="0"/>
              <w:rPr>
                <w:sz w:val="20"/>
                <w:szCs w:val="20"/>
                <w:color w:val="auto"/>
              </w:rPr>
            </w:pPr>
            <w:r>
              <w:rPr>
                <w:rFonts w:ascii="Times New Roman" w:cs="Times New Roman" w:eastAsia="Times New Roman" w:hAnsi="Times New Roman"/>
                <w:sz w:val="16"/>
                <w:szCs w:val="16"/>
                <w:color w:val="auto"/>
              </w:rPr>
              <w:t>155,000</w:t>
            </w:r>
          </w:p>
        </w:tc>
        <w:tc>
          <w:tcPr>
            <w:tcW w:w="120" w:type="dxa"/>
            <w:vAlign w:val="bottom"/>
          </w:tcPr>
          <w:p>
            <w:pPr>
              <w:spacing w:after="0"/>
              <w:rPr>
                <w:sz w:val="22"/>
                <w:szCs w:val="2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tcPr>
          <w:p>
            <w:pPr>
              <w:jc w:val="right"/>
              <w:ind w:right="156"/>
              <w:spacing w:after="0"/>
              <w:rPr>
                <w:sz w:val="20"/>
                <w:szCs w:val="20"/>
                <w:color w:val="auto"/>
              </w:rPr>
            </w:pPr>
            <w:r>
              <w:rPr>
                <w:rFonts w:ascii="Times New Roman" w:cs="Times New Roman" w:eastAsia="Times New Roman" w:hAnsi="Times New Roman"/>
                <w:sz w:val="16"/>
                <w:szCs w:val="16"/>
                <w:color w:val="auto"/>
              </w:rPr>
              <w:t>27,669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2,132,670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4"/>
            <w:vMerge w:val="restart"/>
          </w:tcPr>
          <w:p>
            <w:pPr>
              <w:ind w:left="280"/>
              <w:spacing w:after="0"/>
              <w:rPr>
                <w:sz w:val="20"/>
                <w:szCs w:val="20"/>
                <w:color w:val="auto"/>
              </w:rPr>
            </w:pPr>
            <w:r>
              <w:rPr>
                <w:rFonts w:ascii="Times New Roman" w:cs="Times New Roman" w:eastAsia="Times New Roman" w:hAnsi="Times New Roman"/>
                <w:sz w:val="16"/>
                <w:szCs w:val="16"/>
                <w:color w:val="auto"/>
              </w:rPr>
              <w:t>500,000</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6"/>
                <w:szCs w:val="26"/>
                <w:color w:val="auto"/>
                <w:vertAlign w:val="superscript"/>
              </w:rPr>
              <w:t>(5)</w:t>
            </w:r>
          </w:p>
        </w:tc>
        <w:tc>
          <w:tcPr>
            <w:tcW w:w="8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6"/>
                <w:szCs w:val="16"/>
                <w:color w:val="auto"/>
                <w:w w:val="99"/>
              </w:rPr>
              <w:t>810,833</w:t>
            </w:r>
          </w:p>
        </w:tc>
        <w:tc>
          <w:tcPr>
            <w:tcW w:w="116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6"/>
                <w:szCs w:val="16"/>
                <w:color w:val="auto"/>
              </w:rPr>
              <w:t>97,465</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1,633,298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Administrative</w:t>
            </w:r>
          </w:p>
        </w:tc>
        <w:tc>
          <w:tcPr>
            <w:tcW w:w="720" w:type="dxa"/>
            <w:vAlign w:val="bottom"/>
            <w:gridSpan w:val="2"/>
            <w:vMerge w:val="continue"/>
          </w:tcPr>
          <w:p>
            <w:pPr>
              <w:spacing w:after="0"/>
              <w:rPr>
                <w:sz w:val="14"/>
                <w:szCs w:val="14"/>
                <w:color w:val="auto"/>
              </w:rPr>
            </w:pPr>
          </w:p>
        </w:tc>
        <w:tc>
          <w:tcPr>
            <w:tcW w:w="960" w:type="dxa"/>
            <w:vAlign w:val="bottom"/>
            <w:gridSpan w:val="4"/>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gridSpan w:val="3"/>
          </w:tcPr>
          <w:p>
            <w:pPr>
              <w:spacing w:after="0"/>
              <w:rPr>
                <w:sz w:val="4"/>
                <w:szCs w:val="4"/>
                <w:color w:val="auto"/>
              </w:rPr>
            </w:pPr>
          </w:p>
        </w:tc>
        <w:tc>
          <w:tcPr>
            <w:tcW w:w="920" w:type="dxa"/>
            <w:vAlign w:val="bottom"/>
            <w:gridSpan w:val="2"/>
          </w:tcPr>
          <w:p>
            <w:pPr>
              <w:spacing w:after="0"/>
              <w:rPr>
                <w:sz w:val="4"/>
                <w:szCs w:val="4"/>
                <w:color w:val="auto"/>
              </w:rPr>
            </w:pPr>
          </w:p>
        </w:tc>
        <w:tc>
          <w:tcPr>
            <w:tcW w:w="840" w:type="dxa"/>
            <w:vAlign w:val="bottom"/>
            <w:gridSpan w:val="3"/>
          </w:tcPr>
          <w:p>
            <w:pPr>
              <w:spacing w:after="0"/>
              <w:rPr>
                <w:sz w:val="4"/>
                <w:szCs w:val="4"/>
                <w:color w:val="auto"/>
              </w:rPr>
            </w:pPr>
          </w:p>
        </w:tc>
        <w:tc>
          <w:tcPr>
            <w:tcW w:w="11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40" w:type="dxa"/>
            <w:vAlign w:val="bottom"/>
            <w:gridSpan w:val="3"/>
          </w:tcPr>
          <w:p>
            <w:pPr>
              <w:spacing w:after="0"/>
              <w:rPr>
                <w:sz w:val="4"/>
                <w:szCs w:val="4"/>
                <w:color w:val="auto"/>
              </w:rPr>
            </w:pPr>
          </w:p>
        </w:tc>
        <w:tc>
          <w:tcPr>
            <w:tcW w:w="8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shd w:val="clear" w:color="auto" w:fill="C7CDE8"/>
          </w:tcPr>
          <w:p>
            <w:pPr>
              <w:spacing w:after="0"/>
              <w:rPr>
                <w:sz w:val="22"/>
                <w:szCs w:val="22"/>
                <w:color w:val="auto"/>
              </w:rPr>
            </w:pPr>
          </w:p>
        </w:tc>
        <w:tc>
          <w:tcPr>
            <w:tcW w:w="1280" w:type="dxa"/>
            <w:vAlign w:val="bottom"/>
            <w:shd w:val="clear" w:color="auto" w:fill="C7CDE8"/>
          </w:tcPr>
          <w:p>
            <w:pPr>
              <w:ind w:left="20"/>
              <w:spacing w:after="0" w:line="255" w:lineRule="exact"/>
              <w:rPr>
                <w:sz w:val="20"/>
                <w:szCs w:val="20"/>
                <w:color w:val="auto"/>
              </w:rPr>
            </w:pPr>
            <w:r>
              <w:rPr>
                <w:rFonts w:ascii="Times New Roman" w:cs="Times New Roman" w:eastAsia="Times New Roman" w:hAnsi="Times New Roman"/>
                <w:sz w:val="16"/>
                <w:szCs w:val="16"/>
                <w:color w:val="auto"/>
                <w:w w:val="99"/>
              </w:rPr>
              <w:t>Mitchell Gendel</w:t>
            </w:r>
            <w:r>
              <w:rPr>
                <w:rFonts w:ascii="Times New Roman" w:cs="Times New Roman" w:eastAsia="Times New Roman" w:hAnsi="Times New Roman"/>
                <w:sz w:val="26"/>
                <w:szCs w:val="26"/>
                <w:color w:val="auto"/>
                <w:w w:val="99"/>
                <w:vertAlign w:val="superscript"/>
              </w:rPr>
              <w:t>(9)</w:t>
            </w:r>
          </w:p>
        </w:tc>
        <w:tc>
          <w:tcPr>
            <w:tcW w:w="80" w:type="dxa"/>
            <w:vAlign w:val="bottom"/>
            <w:shd w:val="clear" w:color="auto" w:fill="C7CDE8"/>
          </w:tcPr>
          <w:p>
            <w:pPr>
              <w:spacing w:after="0"/>
              <w:rPr>
                <w:sz w:val="22"/>
                <w:szCs w:val="22"/>
                <w:color w:val="auto"/>
              </w:rPr>
            </w:pPr>
          </w:p>
        </w:tc>
        <w:tc>
          <w:tcPr>
            <w:tcW w:w="640" w:type="dxa"/>
            <w:vAlign w:val="bottom"/>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960" w:type="dxa"/>
            <w:vAlign w:val="bottom"/>
            <w:gridSpan w:val="4"/>
            <w:shd w:val="clear" w:color="auto" w:fill="C7CDE8"/>
          </w:tcPr>
          <w:p>
            <w:pPr>
              <w:ind w:left="280"/>
              <w:spacing w:after="0"/>
              <w:rPr>
                <w:sz w:val="20"/>
                <w:szCs w:val="20"/>
                <w:color w:val="auto"/>
              </w:rPr>
            </w:pPr>
            <w:r>
              <w:rPr>
                <w:rFonts w:ascii="Times New Roman" w:cs="Times New Roman" w:eastAsia="Times New Roman" w:hAnsi="Times New Roman"/>
                <w:sz w:val="16"/>
                <w:szCs w:val="16"/>
                <w:color w:val="auto"/>
              </w:rPr>
              <w:t>560,000</w:t>
            </w:r>
          </w:p>
        </w:tc>
        <w:tc>
          <w:tcPr>
            <w:tcW w:w="920" w:type="dxa"/>
            <w:vAlign w:val="bottom"/>
            <w:gridSpan w:val="2"/>
            <w:shd w:val="clear" w:color="auto" w:fill="C7CDE8"/>
          </w:tcPr>
          <w:p>
            <w:pPr>
              <w:jc w:val="right"/>
              <w:spacing w:after="0" w:line="255" w:lineRule="exact"/>
              <w:rPr>
                <w:sz w:val="20"/>
                <w:szCs w:val="20"/>
                <w:color w:val="auto"/>
              </w:rPr>
            </w:pPr>
            <w:r>
              <w:rPr>
                <w:rFonts w:ascii="Times New Roman" w:cs="Times New Roman" w:eastAsia="Times New Roman" w:hAnsi="Times New Roman"/>
                <w:sz w:val="16"/>
                <w:szCs w:val="16"/>
                <w:color w:val="auto"/>
              </w:rPr>
              <w:t>550,000</w:t>
            </w:r>
            <w:r>
              <w:rPr>
                <w:rFonts w:ascii="Times New Roman" w:cs="Times New Roman" w:eastAsia="Times New Roman" w:hAnsi="Times New Roman"/>
                <w:sz w:val="26"/>
                <w:szCs w:val="26"/>
                <w:color w:val="auto"/>
                <w:vertAlign w:val="superscript"/>
              </w:rPr>
              <w:t>(6)</w:t>
            </w:r>
          </w:p>
        </w:tc>
        <w:tc>
          <w:tcPr>
            <w:tcW w:w="840" w:type="dxa"/>
            <w:vAlign w:val="bottom"/>
            <w:gridSpan w:val="3"/>
            <w:shd w:val="clear" w:color="auto" w:fill="C7CDE8"/>
          </w:tcPr>
          <w:p>
            <w:pPr>
              <w:ind w:left="300"/>
              <w:spacing w:after="0"/>
              <w:rPr>
                <w:sz w:val="20"/>
                <w:szCs w:val="20"/>
                <w:color w:val="auto"/>
              </w:rPr>
            </w:pPr>
            <w:r>
              <w:rPr>
                <w:rFonts w:ascii="Times New Roman" w:cs="Times New Roman" w:eastAsia="Times New Roman" w:hAnsi="Times New Roman"/>
                <w:sz w:val="16"/>
                <w:szCs w:val="16"/>
                <w:color w:val="auto"/>
                <w:w w:val="99"/>
              </w:rPr>
              <w:t>892,500</w:t>
            </w:r>
          </w:p>
        </w:tc>
        <w:tc>
          <w:tcPr>
            <w:tcW w:w="1160" w:type="dxa"/>
            <w:vAlign w:val="bottom"/>
            <w:gridSpan w:val="2"/>
            <w:shd w:val="clear" w:color="auto" w:fill="C7CDE8"/>
          </w:tcPr>
          <w:p>
            <w:pPr>
              <w:jc w:val="right"/>
              <w:ind w:right="123"/>
              <w:spacing w:after="0"/>
              <w:rPr>
                <w:sz w:val="20"/>
                <w:szCs w:val="20"/>
                <w:color w:val="auto"/>
              </w:rPr>
            </w:pPr>
            <w:r>
              <w:rPr>
                <w:rFonts w:ascii="Times New Roman" w:cs="Times New Roman" w:eastAsia="Times New Roman" w:hAnsi="Times New Roman"/>
                <w:sz w:val="16"/>
                <w:szCs w:val="16"/>
                <w:color w:val="auto"/>
              </w:rPr>
              <w:t>112,000</w:t>
            </w:r>
          </w:p>
        </w:tc>
        <w:tc>
          <w:tcPr>
            <w:tcW w:w="120" w:type="dxa"/>
            <w:vAlign w:val="bottom"/>
            <w:shd w:val="clear" w:color="auto" w:fill="C7CDE8"/>
          </w:tcPr>
          <w:p>
            <w:pPr>
              <w:spacing w:after="0"/>
              <w:rPr>
                <w:sz w:val="22"/>
                <w:szCs w:val="22"/>
                <w:color w:val="auto"/>
              </w:rPr>
            </w:pPr>
          </w:p>
        </w:tc>
        <w:tc>
          <w:tcPr>
            <w:tcW w:w="4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29,967</w:t>
            </w:r>
          </w:p>
        </w:tc>
        <w:tc>
          <w:tcPr>
            <w:tcW w:w="8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2,144,466</w:t>
            </w:r>
          </w:p>
        </w:tc>
        <w:tc>
          <w:tcPr>
            <w:tcW w:w="60" w:type="dxa"/>
            <w:vAlign w:val="bottom"/>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Global General</w:t>
            </w:r>
          </w:p>
        </w:tc>
        <w:tc>
          <w:tcPr>
            <w:tcW w:w="80" w:type="dxa"/>
            <w:vAlign w:val="bottom"/>
            <w:shd w:val="clear" w:color="auto" w:fill="C7CDE8"/>
          </w:tcPr>
          <w:p>
            <w:pPr>
              <w:spacing w:after="0"/>
              <w:rPr>
                <w:sz w:val="17"/>
                <w:szCs w:val="17"/>
                <w:color w:val="auto"/>
              </w:rPr>
            </w:pPr>
          </w:p>
        </w:tc>
        <w:tc>
          <w:tcPr>
            <w:tcW w:w="640" w:type="dxa"/>
            <w:vAlign w:val="bottom"/>
            <w:vMerge w:val="restart"/>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960" w:type="dxa"/>
            <w:vAlign w:val="bottom"/>
            <w:gridSpan w:val="4"/>
            <w:vMerge w:val="restart"/>
            <w:shd w:val="clear" w:color="auto" w:fill="C7CDE8"/>
          </w:tcPr>
          <w:p>
            <w:pPr>
              <w:ind w:left="280"/>
              <w:spacing w:after="0"/>
              <w:rPr>
                <w:sz w:val="20"/>
                <w:szCs w:val="20"/>
                <w:color w:val="auto"/>
              </w:rPr>
            </w:pPr>
            <w:r>
              <w:rPr>
                <w:rFonts w:ascii="Times New Roman" w:cs="Times New Roman" w:eastAsia="Times New Roman" w:hAnsi="Times New Roman"/>
                <w:sz w:val="16"/>
                <w:szCs w:val="16"/>
                <w:color w:val="auto"/>
              </w:rPr>
              <w:t>510,000</w:t>
            </w:r>
          </w:p>
        </w:tc>
        <w:tc>
          <w:tcPr>
            <w:tcW w:w="92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500,000</w:t>
            </w:r>
            <w:r>
              <w:rPr>
                <w:rFonts w:ascii="Times New Roman" w:cs="Times New Roman" w:eastAsia="Times New Roman" w:hAnsi="Times New Roman"/>
                <w:sz w:val="26"/>
                <w:szCs w:val="26"/>
                <w:color w:val="auto"/>
                <w:vertAlign w:val="superscript"/>
              </w:rPr>
              <w:t>(5)</w:t>
            </w:r>
          </w:p>
        </w:tc>
        <w:tc>
          <w:tcPr>
            <w:tcW w:w="84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1,408,750</w:t>
            </w:r>
          </w:p>
        </w:tc>
        <w:tc>
          <w:tcPr>
            <w:tcW w:w="1160" w:type="dxa"/>
            <w:vAlign w:val="bottom"/>
            <w:gridSpan w:val="2"/>
            <w:vMerge w:val="restart"/>
            <w:shd w:val="clear" w:color="auto" w:fill="C7CDE8"/>
          </w:tcPr>
          <w:p>
            <w:pPr>
              <w:jc w:val="right"/>
              <w:ind w:right="103"/>
              <w:spacing w:after="0"/>
              <w:rPr>
                <w:sz w:val="20"/>
                <w:szCs w:val="20"/>
                <w:color w:val="auto"/>
              </w:rPr>
            </w:pPr>
            <w:r>
              <w:rPr>
                <w:rFonts w:ascii="Times New Roman" w:cs="Times New Roman" w:eastAsia="Times New Roman" w:hAnsi="Times New Roman"/>
                <w:sz w:val="16"/>
                <w:szCs w:val="16"/>
                <w:color w:val="auto"/>
              </w:rPr>
              <w:t>153,000</w:t>
            </w:r>
          </w:p>
        </w:tc>
        <w:tc>
          <w:tcPr>
            <w:tcW w:w="120" w:type="dxa"/>
            <w:vAlign w:val="bottom"/>
            <w:shd w:val="clear" w:color="auto" w:fill="C7CDE8"/>
          </w:tcPr>
          <w:p>
            <w:pPr>
              <w:spacing w:after="0"/>
              <w:rPr>
                <w:sz w:val="17"/>
                <w:szCs w:val="17"/>
                <w:color w:val="auto"/>
              </w:rPr>
            </w:pPr>
          </w:p>
        </w:tc>
        <w:tc>
          <w:tcPr>
            <w:tcW w:w="4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vMerge w:val="restart"/>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26,870</w:t>
            </w:r>
          </w:p>
        </w:tc>
        <w:tc>
          <w:tcPr>
            <w:tcW w:w="8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2,598,620</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7CDE8"/>
          </w:tcPr>
          <w:p>
            <w:pPr>
              <w:spacing w:after="0"/>
              <w:rPr>
                <w:sz w:val="14"/>
                <w:szCs w:val="14"/>
                <w:color w:val="auto"/>
              </w:rPr>
            </w:pPr>
          </w:p>
        </w:tc>
        <w:tc>
          <w:tcPr>
            <w:tcW w:w="1280" w:type="dxa"/>
            <w:vAlign w:val="bottom"/>
            <w:vMerge w:val="restart"/>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Counsel and</w:t>
            </w:r>
          </w:p>
        </w:tc>
        <w:tc>
          <w:tcPr>
            <w:tcW w:w="80" w:type="dxa"/>
            <w:vAlign w:val="bottom"/>
            <w:shd w:val="clear" w:color="auto" w:fill="C7CDE8"/>
          </w:tcPr>
          <w:p>
            <w:pPr>
              <w:spacing w:after="0"/>
              <w:rPr>
                <w:sz w:val="14"/>
                <w:szCs w:val="14"/>
                <w:color w:val="auto"/>
              </w:rPr>
            </w:pPr>
          </w:p>
        </w:tc>
        <w:tc>
          <w:tcPr>
            <w:tcW w:w="640" w:type="dxa"/>
            <w:vAlign w:val="bottom"/>
            <w:vMerge w:val="continue"/>
            <w:shd w:val="clear" w:color="auto" w:fill="C7CDE8"/>
          </w:tcPr>
          <w:p>
            <w:pPr>
              <w:spacing w:after="0"/>
              <w:rPr>
                <w:sz w:val="14"/>
                <w:szCs w:val="14"/>
                <w:color w:val="auto"/>
              </w:rPr>
            </w:pPr>
          </w:p>
        </w:tc>
        <w:tc>
          <w:tcPr>
            <w:tcW w:w="960" w:type="dxa"/>
            <w:vAlign w:val="bottom"/>
            <w:gridSpan w:val="4"/>
            <w:vMerge w:val="continue"/>
            <w:shd w:val="clear" w:color="auto" w:fill="C7CDE8"/>
          </w:tcPr>
          <w:p>
            <w:pPr>
              <w:spacing w:after="0"/>
              <w:rPr>
                <w:sz w:val="14"/>
                <w:szCs w:val="14"/>
                <w:color w:val="auto"/>
              </w:rPr>
            </w:pPr>
          </w:p>
        </w:tc>
        <w:tc>
          <w:tcPr>
            <w:tcW w:w="920" w:type="dxa"/>
            <w:vAlign w:val="bottom"/>
            <w:gridSpan w:val="2"/>
            <w:vMerge w:val="continue"/>
            <w:shd w:val="clear" w:color="auto" w:fill="C7CDE8"/>
          </w:tcPr>
          <w:p>
            <w:pPr>
              <w:spacing w:after="0"/>
              <w:rPr>
                <w:sz w:val="14"/>
                <w:szCs w:val="14"/>
                <w:color w:val="auto"/>
              </w:rPr>
            </w:pPr>
          </w:p>
        </w:tc>
        <w:tc>
          <w:tcPr>
            <w:tcW w:w="840" w:type="dxa"/>
            <w:vAlign w:val="bottom"/>
            <w:gridSpan w:val="3"/>
            <w:vMerge w:val="continue"/>
            <w:shd w:val="clear" w:color="auto" w:fill="C7CDE8"/>
          </w:tcPr>
          <w:p>
            <w:pPr>
              <w:spacing w:after="0"/>
              <w:rPr>
                <w:sz w:val="14"/>
                <w:szCs w:val="14"/>
                <w:color w:val="auto"/>
              </w:rPr>
            </w:pPr>
          </w:p>
        </w:tc>
        <w:tc>
          <w:tcPr>
            <w:tcW w:w="1160" w:type="dxa"/>
            <w:vAlign w:val="bottom"/>
            <w:gridSpan w:val="2"/>
            <w:vMerge w:val="continue"/>
            <w:shd w:val="clear" w:color="auto" w:fill="C7CDE8"/>
          </w:tcPr>
          <w:p>
            <w:pPr>
              <w:spacing w:after="0"/>
              <w:rPr>
                <w:sz w:val="14"/>
                <w:szCs w:val="14"/>
                <w:color w:val="auto"/>
              </w:rPr>
            </w:pPr>
          </w:p>
        </w:tc>
        <w:tc>
          <w:tcPr>
            <w:tcW w:w="120" w:type="dxa"/>
            <w:vAlign w:val="bottom"/>
            <w:shd w:val="clear" w:color="auto" w:fill="C7CDE8"/>
          </w:tcPr>
          <w:p>
            <w:pPr>
              <w:spacing w:after="0"/>
              <w:rPr>
                <w:sz w:val="14"/>
                <w:szCs w:val="14"/>
                <w:color w:val="auto"/>
              </w:rPr>
            </w:pPr>
          </w:p>
        </w:tc>
        <w:tc>
          <w:tcPr>
            <w:tcW w:w="460" w:type="dxa"/>
            <w:vAlign w:val="bottom"/>
            <w:vMerge w:val="continue"/>
            <w:shd w:val="clear" w:color="auto" w:fill="C7CDE8"/>
          </w:tcPr>
          <w:p>
            <w:pPr>
              <w:spacing w:after="0"/>
              <w:rPr>
                <w:sz w:val="14"/>
                <w:szCs w:val="14"/>
                <w:color w:val="auto"/>
              </w:rPr>
            </w:pPr>
          </w:p>
        </w:tc>
        <w:tc>
          <w:tcPr>
            <w:tcW w:w="1040" w:type="dxa"/>
            <w:vAlign w:val="bottom"/>
            <w:gridSpan w:val="3"/>
            <w:vMerge w:val="continue"/>
            <w:shd w:val="clear" w:color="auto" w:fill="C7CDE8"/>
          </w:tcPr>
          <w:p>
            <w:pPr>
              <w:spacing w:after="0"/>
              <w:rPr>
                <w:sz w:val="14"/>
                <w:szCs w:val="14"/>
                <w:color w:val="auto"/>
              </w:rPr>
            </w:pPr>
          </w:p>
        </w:tc>
        <w:tc>
          <w:tcPr>
            <w:tcW w:w="840" w:type="dxa"/>
            <w:vAlign w:val="bottom"/>
            <w:gridSpan w:val="2"/>
            <w:vMerge w:val="continue"/>
            <w:shd w:val="clear" w:color="auto" w:fill="C7CDE8"/>
          </w:tcPr>
          <w:p>
            <w:pPr>
              <w:spacing w:after="0"/>
              <w:rPr>
                <w:sz w:val="14"/>
                <w:szCs w:val="14"/>
                <w:color w:val="auto"/>
              </w:rPr>
            </w:pPr>
          </w:p>
        </w:tc>
        <w:tc>
          <w:tcPr>
            <w:tcW w:w="60" w:type="dxa"/>
            <w:vAlign w:val="bottom"/>
            <w:shd w:val="clear" w:color="auto" w:fill="C7CDE8"/>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0" w:type="dxa"/>
            <w:vAlign w:val="bottom"/>
            <w:shd w:val="clear" w:color="auto" w:fill="C7CDE8"/>
          </w:tcPr>
          <w:p>
            <w:pPr>
              <w:spacing w:after="0"/>
              <w:rPr>
                <w:sz w:val="3"/>
                <w:szCs w:val="3"/>
                <w:color w:val="auto"/>
              </w:rPr>
            </w:pPr>
          </w:p>
        </w:tc>
        <w:tc>
          <w:tcPr>
            <w:tcW w:w="1280" w:type="dxa"/>
            <w:vAlign w:val="bottom"/>
            <w:vMerge w:val="continue"/>
            <w:shd w:val="clear" w:color="auto" w:fill="C7CDE8"/>
          </w:tcPr>
          <w:p>
            <w:pPr>
              <w:spacing w:after="0"/>
              <w:rPr>
                <w:sz w:val="3"/>
                <w:szCs w:val="3"/>
                <w:color w:val="auto"/>
              </w:rPr>
            </w:pPr>
          </w:p>
        </w:tc>
        <w:tc>
          <w:tcPr>
            <w:tcW w:w="80" w:type="dxa"/>
            <w:vAlign w:val="bottom"/>
            <w:shd w:val="clear" w:color="auto" w:fill="C7CDE8"/>
          </w:tcPr>
          <w:p>
            <w:pPr>
              <w:spacing w:after="0"/>
              <w:rPr>
                <w:sz w:val="3"/>
                <w:szCs w:val="3"/>
                <w:color w:val="auto"/>
              </w:rPr>
            </w:pPr>
          </w:p>
        </w:tc>
        <w:tc>
          <w:tcPr>
            <w:tcW w:w="640" w:type="dxa"/>
            <w:vAlign w:val="bottom"/>
            <w:vMerge w:val="restart"/>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40" w:type="dxa"/>
            <w:vAlign w:val="bottom"/>
            <w:shd w:val="clear" w:color="auto" w:fill="C7CDE8"/>
          </w:tcPr>
          <w:p>
            <w:pPr>
              <w:spacing w:after="0"/>
              <w:rPr>
                <w:sz w:val="3"/>
                <w:szCs w:val="3"/>
                <w:color w:val="auto"/>
              </w:rPr>
            </w:pPr>
          </w:p>
        </w:tc>
        <w:tc>
          <w:tcPr>
            <w:tcW w:w="920" w:type="dxa"/>
            <w:vAlign w:val="bottom"/>
            <w:gridSpan w:val="3"/>
            <w:vMerge w:val="restart"/>
            <w:shd w:val="clear" w:color="auto" w:fill="C7CDE8"/>
          </w:tcPr>
          <w:p>
            <w:pPr>
              <w:ind w:left="240"/>
              <w:spacing w:after="0"/>
              <w:rPr>
                <w:sz w:val="20"/>
                <w:szCs w:val="20"/>
                <w:color w:val="auto"/>
              </w:rPr>
            </w:pPr>
            <w:r>
              <w:rPr>
                <w:rFonts w:ascii="Times New Roman" w:cs="Times New Roman" w:eastAsia="Times New Roman" w:hAnsi="Times New Roman"/>
                <w:sz w:val="16"/>
                <w:szCs w:val="16"/>
                <w:color w:val="auto"/>
              </w:rPr>
              <w:t>370,512</w:t>
            </w:r>
          </w:p>
        </w:tc>
        <w:tc>
          <w:tcPr>
            <w:tcW w:w="80" w:type="dxa"/>
            <w:vAlign w:val="bottom"/>
            <w:shd w:val="clear" w:color="auto" w:fill="C7CDE8"/>
          </w:tcPr>
          <w:p>
            <w:pPr>
              <w:spacing w:after="0"/>
              <w:rPr>
                <w:sz w:val="3"/>
                <w:szCs w:val="3"/>
                <w:color w:val="auto"/>
              </w:rPr>
            </w:pPr>
          </w:p>
        </w:tc>
        <w:tc>
          <w:tcPr>
            <w:tcW w:w="840" w:type="dxa"/>
            <w:vAlign w:val="bottom"/>
            <w:vMerge w:val="restart"/>
            <w:shd w:val="clear" w:color="auto" w:fill="C7CDE8"/>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1,999,995</w:t>
            </w:r>
          </w:p>
        </w:tc>
        <w:tc>
          <w:tcPr>
            <w:tcW w:w="120" w:type="dxa"/>
            <w:vAlign w:val="bottom"/>
            <w:shd w:val="clear" w:color="auto" w:fill="C7CDE8"/>
          </w:tcPr>
          <w:p>
            <w:pPr>
              <w:spacing w:after="0"/>
              <w:rPr>
                <w:sz w:val="3"/>
                <w:szCs w:val="3"/>
                <w:color w:val="auto"/>
              </w:rPr>
            </w:pPr>
          </w:p>
        </w:tc>
        <w:tc>
          <w:tcPr>
            <w:tcW w:w="1040" w:type="dxa"/>
            <w:vAlign w:val="bottom"/>
            <w:vMerge w:val="restart"/>
            <w:shd w:val="clear" w:color="auto" w:fill="C7CDE8"/>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7CDE8"/>
          </w:tcPr>
          <w:p>
            <w:pPr>
              <w:spacing w:after="0"/>
              <w:rPr>
                <w:sz w:val="3"/>
                <w:szCs w:val="3"/>
                <w:color w:val="auto"/>
              </w:rPr>
            </w:pPr>
          </w:p>
        </w:tc>
        <w:tc>
          <w:tcPr>
            <w:tcW w:w="4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3"/>
            <w:vMerge w:val="restart"/>
            <w:shd w:val="clear" w:color="auto" w:fill="C7CDE8"/>
          </w:tcPr>
          <w:p>
            <w:pPr>
              <w:jc w:val="right"/>
              <w:ind w:right="156"/>
              <w:spacing w:after="0"/>
              <w:rPr>
                <w:sz w:val="20"/>
                <w:szCs w:val="20"/>
                <w:color w:val="auto"/>
              </w:rPr>
            </w:pPr>
            <w:r>
              <w:rPr>
                <w:rFonts w:ascii="Times New Roman" w:cs="Times New Roman" w:eastAsia="Times New Roman" w:hAnsi="Times New Roman"/>
                <w:sz w:val="16"/>
                <w:szCs w:val="16"/>
                <w:color w:val="auto"/>
              </w:rPr>
              <w:t>16,297</w:t>
            </w:r>
          </w:p>
        </w:tc>
        <w:tc>
          <w:tcPr>
            <w:tcW w:w="8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2,386,804</w:t>
            </w:r>
          </w:p>
        </w:tc>
        <w:tc>
          <w:tcPr>
            <w:tcW w:w="60" w:type="dxa"/>
            <w:vAlign w:val="bottom"/>
            <w:shd w:val="clear" w:color="auto" w:fill="C7CDE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7CDE8"/>
          </w:tcPr>
          <w:p>
            <w:pPr>
              <w:spacing w:after="0"/>
              <w:rPr>
                <w:sz w:val="17"/>
                <w:szCs w:val="17"/>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Corporate</w:t>
            </w:r>
          </w:p>
        </w:tc>
        <w:tc>
          <w:tcPr>
            <w:tcW w:w="80" w:type="dxa"/>
            <w:vAlign w:val="bottom"/>
            <w:shd w:val="clear" w:color="auto" w:fill="C7CDE8"/>
          </w:tcPr>
          <w:p>
            <w:pPr>
              <w:spacing w:after="0"/>
              <w:rPr>
                <w:sz w:val="17"/>
                <w:szCs w:val="17"/>
                <w:color w:val="auto"/>
              </w:rPr>
            </w:pPr>
          </w:p>
        </w:tc>
        <w:tc>
          <w:tcPr>
            <w:tcW w:w="640" w:type="dxa"/>
            <w:vAlign w:val="bottom"/>
            <w:vMerge w:val="continue"/>
            <w:shd w:val="clear" w:color="auto" w:fill="C7CDE8"/>
          </w:tcPr>
          <w:p>
            <w:pPr>
              <w:spacing w:after="0"/>
              <w:rPr>
                <w:sz w:val="17"/>
                <w:szCs w:val="17"/>
                <w:color w:val="auto"/>
              </w:rPr>
            </w:pPr>
          </w:p>
        </w:tc>
        <w:tc>
          <w:tcPr>
            <w:tcW w:w="40" w:type="dxa"/>
            <w:vAlign w:val="bottom"/>
            <w:shd w:val="clear" w:color="auto" w:fill="C7CDE8"/>
          </w:tcPr>
          <w:p>
            <w:pPr>
              <w:spacing w:after="0"/>
              <w:rPr>
                <w:sz w:val="17"/>
                <w:szCs w:val="17"/>
                <w:color w:val="auto"/>
              </w:rPr>
            </w:pPr>
          </w:p>
        </w:tc>
        <w:tc>
          <w:tcPr>
            <w:tcW w:w="920" w:type="dxa"/>
            <w:vAlign w:val="bottom"/>
            <w:gridSpan w:val="3"/>
            <w:vMerge w:val="continue"/>
            <w:shd w:val="clear" w:color="auto" w:fill="C7CDE8"/>
          </w:tcPr>
          <w:p>
            <w:pPr>
              <w:spacing w:after="0"/>
              <w:rPr>
                <w:sz w:val="17"/>
                <w:szCs w:val="17"/>
                <w:color w:val="auto"/>
              </w:rPr>
            </w:pPr>
          </w:p>
        </w:tc>
        <w:tc>
          <w:tcPr>
            <w:tcW w:w="80" w:type="dxa"/>
            <w:vAlign w:val="bottom"/>
            <w:shd w:val="clear" w:color="auto" w:fill="C7CDE8"/>
          </w:tcPr>
          <w:p>
            <w:pPr>
              <w:spacing w:after="0"/>
              <w:rPr>
                <w:sz w:val="17"/>
                <w:szCs w:val="17"/>
                <w:color w:val="auto"/>
              </w:rPr>
            </w:pPr>
          </w:p>
        </w:tc>
        <w:tc>
          <w:tcPr>
            <w:tcW w:w="840" w:type="dxa"/>
            <w:vAlign w:val="bottom"/>
            <w:vMerge w:val="continue"/>
            <w:shd w:val="clear" w:color="auto" w:fill="C7CDE8"/>
          </w:tcPr>
          <w:p>
            <w:pPr>
              <w:spacing w:after="0"/>
              <w:rPr>
                <w:sz w:val="17"/>
                <w:szCs w:val="17"/>
                <w:color w:val="auto"/>
              </w:rPr>
            </w:pPr>
          </w:p>
        </w:tc>
        <w:tc>
          <w:tcPr>
            <w:tcW w:w="840" w:type="dxa"/>
            <w:vAlign w:val="bottom"/>
            <w:gridSpan w:val="3"/>
            <w:vMerge w:val="continue"/>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1040" w:type="dxa"/>
            <w:vAlign w:val="bottom"/>
            <w:vMerge w:val="continue"/>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460" w:type="dxa"/>
            <w:vAlign w:val="bottom"/>
            <w:vMerge w:val="continue"/>
            <w:shd w:val="clear" w:color="auto" w:fill="C7CDE8"/>
          </w:tcPr>
          <w:p>
            <w:pPr>
              <w:spacing w:after="0"/>
              <w:rPr>
                <w:sz w:val="17"/>
                <w:szCs w:val="17"/>
                <w:color w:val="auto"/>
              </w:rPr>
            </w:pPr>
          </w:p>
        </w:tc>
        <w:tc>
          <w:tcPr>
            <w:tcW w:w="1040" w:type="dxa"/>
            <w:vAlign w:val="bottom"/>
            <w:gridSpan w:val="3"/>
            <w:vMerge w:val="continue"/>
            <w:shd w:val="clear" w:color="auto" w:fill="C7CDE8"/>
          </w:tcPr>
          <w:p>
            <w:pPr>
              <w:spacing w:after="0"/>
              <w:rPr>
                <w:sz w:val="17"/>
                <w:szCs w:val="17"/>
                <w:color w:val="auto"/>
              </w:rPr>
            </w:pPr>
          </w:p>
        </w:tc>
        <w:tc>
          <w:tcPr>
            <w:tcW w:w="840" w:type="dxa"/>
            <w:vAlign w:val="bottom"/>
            <w:gridSpan w:val="2"/>
            <w:vMerge w:val="continue"/>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7CDE8"/>
          </w:tcPr>
          <w:p>
            <w:pPr>
              <w:spacing w:after="0"/>
              <w:rPr>
                <w:sz w:val="18"/>
                <w:szCs w:val="18"/>
                <w:color w:val="auto"/>
              </w:rPr>
            </w:pPr>
          </w:p>
        </w:tc>
        <w:tc>
          <w:tcPr>
            <w:tcW w:w="128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i w:val="1"/>
                <w:iCs w:val="1"/>
                <w:color w:val="auto"/>
              </w:rPr>
              <w:t>Secretary</w:t>
            </w:r>
          </w:p>
        </w:tc>
        <w:tc>
          <w:tcPr>
            <w:tcW w:w="80" w:type="dxa"/>
            <w:vAlign w:val="bottom"/>
            <w:shd w:val="clear" w:color="auto" w:fill="C7CDE8"/>
          </w:tcPr>
          <w:p>
            <w:pPr>
              <w:spacing w:after="0"/>
              <w:rPr>
                <w:sz w:val="18"/>
                <w:szCs w:val="18"/>
                <w:color w:val="auto"/>
              </w:rPr>
            </w:pPr>
          </w:p>
        </w:tc>
        <w:tc>
          <w:tcPr>
            <w:tcW w:w="6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40" w:type="dxa"/>
            <w:vAlign w:val="bottom"/>
            <w:shd w:val="clear" w:color="auto" w:fill="C7CDE8"/>
          </w:tcPr>
          <w:p>
            <w:pPr>
              <w:spacing w:after="0"/>
              <w:rPr>
                <w:sz w:val="18"/>
                <w:szCs w:val="18"/>
                <w:color w:val="auto"/>
              </w:rPr>
            </w:pPr>
          </w:p>
        </w:tc>
        <w:tc>
          <w:tcPr>
            <w:tcW w:w="680" w:type="dxa"/>
            <w:vAlign w:val="bottom"/>
            <w:shd w:val="clear" w:color="auto" w:fill="C7CDE8"/>
          </w:tcPr>
          <w:p>
            <w:pPr>
              <w:spacing w:after="0"/>
              <w:rPr>
                <w:sz w:val="18"/>
                <w:szCs w:val="18"/>
                <w:color w:val="auto"/>
              </w:rPr>
            </w:pPr>
          </w:p>
        </w:tc>
        <w:tc>
          <w:tcPr>
            <w:tcW w:w="20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8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400" w:type="dxa"/>
            <w:vAlign w:val="bottom"/>
            <w:shd w:val="clear" w:color="auto" w:fill="C7CDE8"/>
          </w:tcPr>
          <w:p>
            <w:pPr>
              <w:spacing w:after="0"/>
              <w:rPr>
                <w:sz w:val="18"/>
                <w:szCs w:val="18"/>
                <w:color w:val="auto"/>
              </w:rPr>
            </w:pPr>
          </w:p>
        </w:tc>
        <w:tc>
          <w:tcPr>
            <w:tcW w:w="36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10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46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460" w:type="dxa"/>
            <w:vAlign w:val="bottom"/>
            <w:shd w:val="clear" w:color="auto" w:fill="C7CDE8"/>
          </w:tcPr>
          <w:p>
            <w:pPr>
              <w:spacing w:after="0"/>
              <w:rPr>
                <w:sz w:val="18"/>
                <w:szCs w:val="18"/>
                <w:color w:val="auto"/>
              </w:rPr>
            </w:pPr>
          </w:p>
        </w:tc>
        <w:tc>
          <w:tcPr>
            <w:tcW w:w="460" w:type="dxa"/>
            <w:vAlign w:val="bottom"/>
            <w:shd w:val="clear" w:color="auto" w:fill="C7CDE8"/>
          </w:tcPr>
          <w:p>
            <w:pPr>
              <w:spacing w:after="0"/>
              <w:rPr>
                <w:sz w:val="18"/>
                <w:szCs w:val="18"/>
                <w:color w:val="auto"/>
              </w:rPr>
            </w:pPr>
          </w:p>
        </w:tc>
        <w:tc>
          <w:tcPr>
            <w:tcW w:w="100" w:type="dxa"/>
            <w:vAlign w:val="bottom"/>
            <w:shd w:val="clear" w:color="auto" w:fill="C7CDE8"/>
          </w:tcPr>
          <w:p>
            <w:pPr>
              <w:spacing w:after="0"/>
              <w:rPr>
                <w:sz w:val="18"/>
                <w:szCs w:val="18"/>
                <w:color w:val="auto"/>
              </w:rPr>
            </w:pPr>
          </w:p>
        </w:tc>
        <w:tc>
          <w:tcPr>
            <w:tcW w:w="740" w:type="dxa"/>
            <w:vAlign w:val="bottom"/>
            <w:shd w:val="clear" w:color="auto" w:fill="C7CDE8"/>
          </w:tcPr>
          <w:p>
            <w:pPr>
              <w:spacing w:after="0"/>
              <w:rPr>
                <w:sz w:val="18"/>
                <w:szCs w:val="18"/>
                <w:color w:val="auto"/>
              </w:rPr>
            </w:pP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shd w:val="clear" w:color="auto" w:fill="C7CDE8"/>
          </w:tcPr>
          <w:p>
            <w:pPr>
              <w:spacing w:after="0"/>
              <w:rPr>
                <w:sz w:val="5"/>
                <w:szCs w:val="5"/>
                <w:color w:val="auto"/>
              </w:rPr>
            </w:pPr>
          </w:p>
        </w:tc>
        <w:tc>
          <w:tcPr>
            <w:tcW w:w="1280" w:type="dxa"/>
            <w:vAlign w:val="bottom"/>
            <w:shd w:val="clear" w:color="auto" w:fill="C7CDE8"/>
          </w:tcPr>
          <w:p>
            <w:pPr>
              <w:spacing w:after="0"/>
              <w:rPr>
                <w:sz w:val="5"/>
                <w:szCs w:val="5"/>
                <w:color w:val="auto"/>
              </w:rPr>
            </w:pPr>
          </w:p>
        </w:tc>
        <w:tc>
          <w:tcPr>
            <w:tcW w:w="80" w:type="dxa"/>
            <w:vAlign w:val="bottom"/>
            <w:shd w:val="clear" w:color="auto" w:fill="C7CDE8"/>
          </w:tcPr>
          <w:p>
            <w:pPr>
              <w:spacing w:after="0"/>
              <w:rPr>
                <w:sz w:val="5"/>
                <w:szCs w:val="5"/>
                <w:color w:val="auto"/>
              </w:rPr>
            </w:pPr>
          </w:p>
        </w:tc>
        <w:tc>
          <w:tcPr>
            <w:tcW w:w="640" w:type="dxa"/>
            <w:vAlign w:val="bottom"/>
            <w:shd w:val="clear" w:color="auto" w:fill="C7CDE8"/>
          </w:tcPr>
          <w:p>
            <w:pPr>
              <w:spacing w:after="0"/>
              <w:rPr>
                <w:sz w:val="5"/>
                <w:szCs w:val="5"/>
                <w:color w:val="auto"/>
              </w:rPr>
            </w:pPr>
          </w:p>
        </w:tc>
        <w:tc>
          <w:tcPr>
            <w:tcW w:w="40" w:type="dxa"/>
            <w:vAlign w:val="bottom"/>
            <w:shd w:val="clear" w:color="auto" w:fill="C7CDE8"/>
          </w:tcPr>
          <w:p>
            <w:pPr>
              <w:spacing w:after="0"/>
              <w:rPr>
                <w:sz w:val="5"/>
                <w:szCs w:val="5"/>
                <w:color w:val="auto"/>
              </w:rPr>
            </w:pPr>
          </w:p>
        </w:tc>
        <w:tc>
          <w:tcPr>
            <w:tcW w:w="40" w:type="dxa"/>
            <w:vAlign w:val="bottom"/>
            <w:shd w:val="clear" w:color="auto" w:fill="C7CDE8"/>
          </w:tcPr>
          <w:p>
            <w:pPr>
              <w:spacing w:after="0"/>
              <w:rPr>
                <w:sz w:val="5"/>
                <w:szCs w:val="5"/>
                <w:color w:val="auto"/>
              </w:rPr>
            </w:pPr>
          </w:p>
        </w:tc>
        <w:tc>
          <w:tcPr>
            <w:tcW w:w="680" w:type="dxa"/>
            <w:vAlign w:val="bottom"/>
            <w:shd w:val="clear" w:color="auto" w:fill="C7CDE8"/>
          </w:tcPr>
          <w:p>
            <w:pPr>
              <w:spacing w:after="0"/>
              <w:rPr>
                <w:sz w:val="5"/>
                <w:szCs w:val="5"/>
                <w:color w:val="auto"/>
              </w:rPr>
            </w:pPr>
          </w:p>
        </w:tc>
        <w:tc>
          <w:tcPr>
            <w:tcW w:w="200" w:type="dxa"/>
            <w:vAlign w:val="bottom"/>
            <w:shd w:val="clear" w:color="auto" w:fill="C7CDE8"/>
          </w:tcPr>
          <w:p>
            <w:pPr>
              <w:spacing w:after="0"/>
              <w:rPr>
                <w:sz w:val="5"/>
                <w:szCs w:val="5"/>
                <w:color w:val="auto"/>
              </w:rPr>
            </w:pPr>
          </w:p>
        </w:tc>
        <w:tc>
          <w:tcPr>
            <w:tcW w:w="80" w:type="dxa"/>
            <w:vAlign w:val="bottom"/>
            <w:shd w:val="clear" w:color="auto" w:fill="C7CDE8"/>
          </w:tcPr>
          <w:p>
            <w:pPr>
              <w:spacing w:after="0"/>
              <w:rPr>
                <w:sz w:val="5"/>
                <w:szCs w:val="5"/>
                <w:color w:val="auto"/>
              </w:rPr>
            </w:pPr>
          </w:p>
        </w:tc>
        <w:tc>
          <w:tcPr>
            <w:tcW w:w="840" w:type="dxa"/>
            <w:vAlign w:val="bottom"/>
            <w:shd w:val="clear" w:color="auto" w:fill="C7CDE8"/>
          </w:tcPr>
          <w:p>
            <w:pPr>
              <w:spacing w:after="0"/>
              <w:rPr>
                <w:sz w:val="5"/>
                <w:szCs w:val="5"/>
                <w:color w:val="auto"/>
              </w:rPr>
            </w:pPr>
          </w:p>
        </w:tc>
        <w:tc>
          <w:tcPr>
            <w:tcW w:w="80" w:type="dxa"/>
            <w:vAlign w:val="bottom"/>
            <w:shd w:val="clear" w:color="auto" w:fill="C7CDE8"/>
          </w:tcPr>
          <w:p>
            <w:pPr>
              <w:spacing w:after="0"/>
              <w:rPr>
                <w:sz w:val="5"/>
                <w:szCs w:val="5"/>
                <w:color w:val="auto"/>
              </w:rPr>
            </w:pPr>
          </w:p>
        </w:tc>
        <w:tc>
          <w:tcPr>
            <w:tcW w:w="400" w:type="dxa"/>
            <w:vAlign w:val="bottom"/>
            <w:shd w:val="clear" w:color="auto" w:fill="C7CDE8"/>
          </w:tcPr>
          <w:p>
            <w:pPr>
              <w:spacing w:after="0"/>
              <w:rPr>
                <w:sz w:val="5"/>
                <w:szCs w:val="5"/>
                <w:color w:val="auto"/>
              </w:rPr>
            </w:pPr>
          </w:p>
        </w:tc>
        <w:tc>
          <w:tcPr>
            <w:tcW w:w="360" w:type="dxa"/>
            <w:vAlign w:val="bottom"/>
            <w:shd w:val="clear" w:color="auto" w:fill="C7CDE8"/>
          </w:tcPr>
          <w:p>
            <w:pPr>
              <w:spacing w:after="0"/>
              <w:rPr>
                <w:sz w:val="5"/>
                <w:szCs w:val="5"/>
                <w:color w:val="auto"/>
              </w:rPr>
            </w:pPr>
          </w:p>
        </w:tc>
        <w:tc>
          <w:tcPr>
            <w:tcW w:w="120" w:type="dxa"/>
            <w:vAlign w:val="bottom"/>
            <w:shd w:val="clear" w:color="auto" w:fill="C7CDE8"/>
          </w:tcPr>
          <w:p>
            <w:pPr>
              <w:spacing w:after="0"/>
              <w:rPr>
                <w:sz w:val="5"/>
                <w:szCs w:val="5"/>
                <w:color w:val="auto"/>
              </w:rPr>
            </w:pPr>
          </w:p>
        </w:tc>
        <w:tc>
          <w:tcPr>
            <w:tcW w:w="1040" w:type="dxa"/>
            <w:vAlign w:val="bottom"/>
            <w:shd w:val="clear" w:color="auto" w:fill="C7CDE8"/>
          </w:tcPr>
          <w:p>
            <w:pPr>
              <w:spacing w:after="0"/>
              <w:rPr>
                <w:sz w:val="5"/>
                <w:szCs w:val="5"/>
                <w:color w:val="auto"/>
              </w:rPr>
            </w:pPr>
          </w:p>
        </w:tc>
        <w:tc>
          <w:tcPr>
            <w:tcW w:w="120" w:type="dxa"/>
            <w:vAlign w:val="bottom"/>
            <w:shd w:val="clear" w:color="auto" w:fill="C7CDE8"/>
          </w:tcPr>
          <w:p>
            <w:pPr>
              <w:spacing w:after="0"/>
              <w:rPr>
                <w:sz w:val="5"/>
                <w:szCs w:val="5"/>
                <w:color w:val="auto"/>
              </w:rPr>
            </w:pPr>
          </w:p>
        </w:tc>
        <w:tc>
          <w:tcPr>
            <w:tcW w:w="460" w:type="dxa"/>
            <w:vAlign w:val="bottom"/>
            <w:shd w:val="clear" w:color="auto" w:fill="C7CDE8"/>
          </w:tcPr>
          <w:p>
            <w:pPr>
              <w:spacing w:after="0"/>
              <w:rPr>
                <w:sz w:val="5"/>
                <w:szCs w:val="5"/>
                <w:color w:val="auto"/>
              </w:rPr>
            </w:pPr>
          </w:p>
        </w:tc>
        <w:tc>
          <w:tcPr>
            <w:tcW w:w="120" w:type="dxa"/>
            <w:vAlign w:val="bottom"/>
            <w:shd w:val="clear" w:color="auto" w:fill="C7CDE8"/>
          </w:tcPr>
          <w:p>
            <w:pPr>
              <w:spacing w:after="0"/>
              <w:rPr>
                <w:sz w:val="5"/>
                <w:szCs w:val="5"/>
                <w:color w:val="auto"/>
              </w:rPr>
            </w:pPr>
          </w:p>
        </w:tc>
        <w:tc>
          <w:tcPr>
            <w:tcW w:w="460" w:type="dxa"/>
            <w:vAlign w:val="bottom"/>
            <w:shd w:val="clear" w:color="auto" w:fill="C7CDE8"/>
          </w:tcPr>
          <w:p>
            <w:pPr>
              <w:spacing w:after="0"/>
              <w:rPr>
                <w:sz w:val="5"/>
                <w:szCs w:val="5"/>
                <w:color w:val="auto"/>
              </w:rPr>
            </w:pPr>
          </w:p>
        </w:tc>
        <w:tc>
          <w:tcPr>
            <w:tcW w:w="460" w:type="dxa"/>
            <w:vAlign w:val="bottom"/>
            <w:shd w:val="clear" w:color="auto" w:fill="C7CDE8"/>
          </w:tcPr>
          <w:p>
            <w:pPr>
              <w:spacing w:after="0"/>
              <w:rPr>
                <w:sz w:val="5"/>
                <w:szCs w:val="5"/>
                <w:color w:val="auto"/>
              </w:rPr>
            </w:pPr>
          </w:p>
        </w:tc>
        <w:tc>
          <w:tcPr>
            <w:tcW w:w="100" w:type="dxa"/>
            <w:vAlign w:val="bottom"/>
            <w:shd w:val="clear" w:color="auto" w:fill="C7CDE8"/>
          </w:tcPr>
          <w:p>
            <w:pPr>
              <w:spacing w:after="0"/>
              <w:rPr>
                <w:sz w:val="5"/>
                <w:szCs w:val="5"/>
                <w:color w:val="auto"/>
              </w:rPr>
            </w:pPr>
          </w:p>
        </w:tc>
        <w:tc>
          <w:tcPr>
            <w:tcW w:w="740" w:type="dxa"/>
            <w:vAlign w:val="bottom"/>
            <w:shd w:val="clear" w:color="auto" w:fill="C7CDE8"/>
          </w:tcPr>
          <w:p>
            <w:pPr>
              <w:spacing w:after="0"/>
              <w:rPr>
                <w:sz w:val="5"/>
                <w:szCs w:val="5"/>
                <w:color w:val="auto"/>
              </w:rPr>
            </w:pPr>
          </w:p>
        </w:tc>
        <w:tc>
          <w:tcPr>
            <w:tcW w:w="60" w:type="dxa"/>
            <w:vAlign w:val="bottom"/>
            <w:shd w:val="clear" w:color="auto" w:fill="C7CDE8"/>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4" w:lineRule="exact"/>
        <w:rPr>
          <w:sz w:val="20"/>
          <w:szCs w:val="20"/>
          <w:color w:val="auto"/>
        </w:rPr>
      </w:pPr>
    </w:p>
    <w:p>
      <w:pPr>
        <w:ind w:left="640"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named executive officers received a base salary increase effective as of June 1, 2024.</w:t>
      </w:r>
    </w:p>
    <w:p>
      <w:pPr>
        <w:spacing w:after="0" w:line="41" w:lineRule="exact"/>
        <w:rPr>
          <w:rFonts w:ascii="Times New Roman" w:cs="Times New Roman" w:eastAsia="Times New Roman" w:hAnsi="Times New Roman"/>
          <w:sz w:val="14"/>
          <w:szCs w:val="14"/>
          <w:color w:val="auto"/>
        </w:rPr>
      </w:pPr>
    </w:p>
    <w:p>
      <w:pPr>
        <w:ind w:left="640" w:right="419" w:hanging="348"/>
        <w:spacing w:after="0" w:line="23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reported do not reflect the amounts actually received by our NEOs. Instead, these amounts reflect the aggregate grant date fair value of each stock option or restricted stock unit award granted to our NEOs on each of July 26, 2021 (during Fiscal Year 2022); July 26, 2022 (during Fiscal Year 2023); and July 26, 2023 (during Fiscal Year 2024),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2024.</w:t>
      </w:r>
    </w:p>
    <w:p>
      <w:pPr>
        <w:spacing w:after="0" w:line="15" w:lineRule="exact"/>
        <w:rPr>
          <w:rFonts w:ascii="Times New Roman" w:cs="Times New Roman" w:eastAsia="Times New Roman" w:hAnsi="Times New Roman"/>
          <w:sz w:val="14"/>
          <w:szCs w:val="14"/>
          <w:color w:val="auto"/>
        </w:rPr>
      </w:pPr>
    </w:p>
    <w:p>
      <w:pPr>
        <w:ind w:left="660" w:right="31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required by SEC rules, the amounts shown exclude the impact of estimated forfeitures related to service-based vesting conditions. RSU values in the Stock Awards column are based on performance achieved at 100% for the included RSUs, which was the probable outcome of performance conditions as of the grant date for the included RSUs.</w:t>
      </w:r>
    </w:p>
    <w:p>
      <w:pPr>
        <w:spacing w:after="0" w:line="14" w:lineRule="exact"/>
        <w:rPr>
          <w:rFonts w:ascii="Times New Roman" w:cs="Times New Roman" w:eastAsia="Times New Roman" w:hAnsi="Times New Roman"/>
          <w:sz w:val="14"/>
          <w:szCs w:val="14"/>
          <w:color w:val="auto"/>
        </w:rPr>
      </w:pPr>
    </w:p>
    <w:p>
      <w:pPr>
        <w:ind w:left="660" w:right="319"/>
        <w:spacing w:after="0" w:line="22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awards described in the Compensation Discussion &amp; Analysis section under “2024 EBITDA PSU Awards” represent a contingent right to receive its equivalent in shares of Common Stock (or cash) for which there was no grant date fair value for purposes of ASC 718 due to the three-year cumulative performance targets not having been set during Fiscal Year 2024. Therefore, there is no corresponding amount included in the Summary Compensation Table above for the 2024 EBITDA PSU Awards. For the 2024 EBITDA PSU Awards, the payout of each NEO’s included PSUs if earned at maximum levels would be $1.93 per PSU based on the value of a share of Company common stock as of the date of grant. The total payout of the 2024 EBITDA PSU Awards if earned at maximum levels based on the value of a share of Company common stock as of the date of grant would be $16,995,828 for Mr. Simon, $2,386,684 for Mr. Merton; $2,420,980 for</w:t>
      </w:r>
    </w:p>
    <w:p>
      <w:pPr>
        <w:spacing w:after="0" w:line="3" w:lineRule="exact"/>
        <w:rPr>
          <w:rFonts w:ascii="Times New Roman" w:cs="Times New Roman" w:eastAsia="Times New Roman" w:hAnsi="Times New Roman"/>
          <w:sz w:val="14"/>
          <w:szCs w:val="14"/>
          <w:color w:val="auto"/>
        </w:rPr>
      </w:pPr>
    </w:p>
    <w:p>
      <w:pPr>
        <w:ind w:left="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Faltischek; $1,743,504 for Mr. Savell; and $2,102,824 for Mr. Gendel.</w:t>
      </w:r>
    </w:p>
    <w:p>
      <w:pPr>
        <w:spacing w:after="0" w:line="25" w:lineRule="exact"/>
        <w:rPr>
          <w:rFonts w:ascii="Times New Roman" w:cs="Times New Roman" w:eastAsia="Times New Roman" w:hAnsi="Times New Roman"/>
          <w:sz w:val="14"/>
          <w:szCs w:val="14"/>
          <w:color w:val="auto"/>
        </w:rPr>
      </w:pPr>
    </w:p>
    <w:p>
      <w:pPr>
        <w:ind w:left="660" w:right="379"/>
        <w:spacing w:after="0" w:line="24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HEXO PSU Awards, the grant date fair value of each NEO’s included PSUs if earned at maximum levels was $3.54 per PSU. The total value of the 2022 HEXO PSU Awards if earned at maximum levels was $5,000,000 for Mr. Simon; $665,000 for Mr. Merton, $665,000 for Ms. Faltischek; $665,000 for Mr. Savell; and $665,000 for Mr. Gendel.</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cash performance bonus earned under our Annual Performance Bonus Plan described above.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details for Fiscal Year 2024 are included in the “All Other Compensation” table below.</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transaction bonuses paid to our NEOs in August 2022 (Fiscal Year 2023) in recognition of the HEXO convertible debt investment.</w:t>
      </w:r>
    </w:p>
    <w:p>
      <w:pPr>
        <w:ind w:left="640" w:right="379" w:hanging="348"/>
        <w:spacing w:after="0" w:line="26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include transaction bonuses paid to our NEOs in August 2023 (Fiscal Year 2024) in recognition of successful closing of the HEXO acquisition.</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2" w:name="page43"/>
    <w:bookmarkEnd w:id="42"/>
    <w:p>
      <w:pPr>
        <w:ind w:left="640" w:right="299"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compensation of Mr. Merton is converted into USD with the exchange rate of May 31, 2024 of $0.7326 (USD) to $1.0000 (CAD). The 2023 compensation of Mr. Merton is converted into USD with the exchange rate of May 31, 2023 of $0.7346 (USD) to $1.0000 (CAD). The 2022 compensation of Mr. Merton is converted into USD with an exchange rate on May 31, 2022 of $0.7899 (USD) to $1.0000 (CAD).</w:t>
      </w:r>
    </w:p>
    <w:p>
      <w:pPr>
        <w:spacing w:after="0" w:line="164" w:lineRule="exact"/>
        <w:rPr>
          <w:rFonts w:ascii="Times New Roman" w:cs="Times New Roman" w:eastAsia="Times New Roman" w:hAnsi="Times New Roman"/>
          <w:sz w:val="14"/>
          <w:szCs w:val="14"/>
          <w:color w:val="auto"/>
        </w:rPr>
      </w:pPr>
    </w:p>
    <w:p>
      <w:pPr>
        <w:ind w:left="640" w:right="3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Savell was hired as Chief Administrative Officer on March 31, 2022. No information is reported for 2022; he was not an NEO for that fiscal year.</w:t>
      </w:r>
    </w:p>
    <w:p>
      <w:pPr>
        <w:ind w:left="640" w:hanging="348"/>
        <w:spacing w:after="0"/>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Gendel was hired as Global General Counsel and Corporate Secretary on July 17, 2021.</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FY 2024 All Other Compensation</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Life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Car</w:t>
            </w:r>
          </w:p>
        </w:tc>
        <w:tc>
          <w:tcPr>
            <w:tcW w:w="440" w:type="dxa"/>
            <w:vAlign w:val="bottom"/>
          </w:tcPr>
          <w:p>
            <w:pPr>
              <w:spacing w:after="0"/>
              <w:rPr>
                <w:sz w:val="12"/>
                <w:szCs w:val="12"/>
                <w:color w:val="auto"/>
              </w:rPr>
            </w:pPr>
          </w:p>
        </w:tc>
        <w:tc>
          <w:tcPr>
            <w:tcW w:w="8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401(k)</w:t>
            </w:r>
          </w:p>
        </w:tc>
        <w:tc>
          <w:tcPr>
            <w:tcW w:w="440" w:type="dxa"/>
            <w:vAlign w:val="bottom"/>
          </w:tcPr>
          <w:p>
            <w:pPr>
              <w:spacing w:after="0"/>
              <w:rPr>
                <w:sz w:val="12"/>
                <w:szCs w:val="12"/>
                <w:color w:val="auto"/>
              </w:rPr>
            </w:pP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GLT-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&amp;</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Welfare</w:t>
            </w:r>
          </w:p>
        </w:tc>
        <w:tc>
          <w:tcPr>
            <w:tcW w:w="4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44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440" w:type="dxa"/>
            <w:vAlign w:val="bottom"/>
          </w:tcPr>
          <w:p>
            <w:pPr>
              <w:spacing w:after="0"/>
              <w:rPr>
                <w:sz w:val="16"/>
                <w:szCs w:val="16"/>
                <w:color w:val="auto"/>
              </w:rPr>
            </w:pPr>
          </w:p>
        </w:tc>
        <w:tc>
          <w:tcPr>
            <w:tcW w:w="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FICA</w:t>
            </w:r>
          </w:p>
        </w:tc>
        <w:tc>
          <w:tcPr>
            <w:tcW w:w="440" w:type="dxa"/>
            <w:vAlign w:val="bottom"/>
          </w:tcPr>
          <w:p>
            <w:pPr>
              <w:spacing w:after="0"/>
              <w:rPr>
                <w:sz w:val="16"/>
                <w:szCs w:val="16"/>
                <w:color w:val="auto"/>
              </w:rPr>
            </w:pP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440" w:type="dxa"/>
            <w:vAlign w:val="bottom"/>
          </w:tcPr>
          <w:p>
            <w:pPr>
              <w:spacing w:after="0"/>
              <w:rPr>
                <w:sz w:val="16"/>
                <w:szCs w:val="16"/>
                <w:color w:val="auto"/>
              </w:rPr>
            </w:pPr>
          </w:p>
        </w:tc>
        <w:tc>
          <w:tcPr>
            <w:tcW w:w="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shd w:val="clear" w:color="auto" w:fill="C7CDE8"/>
          </w:tcPr>
          <w:p>
            <w:pPr>
              <w:spacing w:after="0"/>
              <w:rPr>
                <w:sz w:val="18"/>
                <w:szCs w:val="18"/>
                <w:color w:val="auto"/>
              </w:rPr>
            </w:pPr>
          </w:p>
        </w:tc>
        <w:tc>
          <w:tcPr>
            <w:tcW w:w="16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rPr>
              <w:t>Irwin Simon</w:t>
            </w:r>
          </w:p>
        </w:tc>
        <w:tc>
          <w:tcPr>
            <w:tcW w:w="400" w:type="dxa"/>
            <w:vAlign w:val="bottom"/>
            <w:shd w:val="clear" w:color="auto" w:fill="C7CDE8"/>
          </w:tcPr>
          <w:p>
            <w:pPr>
              <w:spacing w:after="0"/>
              <w:rPr>
                <w:sz w:val="18"/>
                <w:szCs w:val="18"/>
                <w:color w:val="auto"/>
              </w:rPr>
            </w:pPr>
          </w:p>
        </w:tc>
        <w:tc>
          <w:tcPr>
            <w:tcW w:w="1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5"/>
              </w:rPr>
              <w:t>20,781</w:t>
            </w:r>
          </w:p>
        </w:tc>
        <w:tc>
          <w:tcPr>
            <w:tcW w:w="440" w:type="dxa"/>
            <w:vAlign w:val="bottom"/>
            <w:shd w:val="clear" w:color="auto" w:fill="C7CDE8"/>
          </w:tcPr>
          <w:p>
            <w:pPr>
              <w:spacing w:after="0"/>
              <w:rPr>
                <w:sz w:val="18"/>
                <w:szCs w:val="18"/>
                <w:color w:val="auto"/>
              </w:rPr>
            </w:pPr>
          </w:p>
        </w:tc>
        <w:tc>
          <w:tcPr>
            <w:tcW w:w="2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7CDE8"/>
          </w:tcPr>
          <w:p>
            <w:pPr>
              <w:jc w:val="right"/>
              <w:ind w:right="59"/>
              <w:spacing w:after="0"/>
              <w:rPr>
                <w:sz w:val="20"/>
                <w:szCs w:val="20"/>
                <w:color w:val="auto"/>
              </w:rPr>
            </w:pPr>
            <w:r>
              <w:rPr>
                <w:rFonts w:ascii="Times New Roman" w:cs="Times New Roman" w:eastAsia="Times New Roman" w:hAnsi="Times New Roman"/>
                <w:sz w:val="16"/>
                <w:szCs w:val="16"/>
                <w:color w:val="auto"/>
              </w:rPr>
              <w:t>6,186</w:t>
            </w:r>
          </w:p>
        </w:tc>
        <w:tc>
          <w:tcPr>
            <w:tcW w:w="440" w:type="dxa"/>
            <w:vAlign w:val="bottom"/>
            <w:shd w:val="clear" w:color="auto" w:fill="C7CDE8"/>
          </w:tcPr>
          <w:p>
            <w:pPr>
              <w:spacing w:after="0"/>
              <w:rPr>
                <w:sz w:val="18"/>
                <w:szCs w:val="18"/>
                <w:color w:val="auto"/>
              </w:rPr>
            </w:pPr>
          </w:p>
        </w:tc>
        <w:tc>
          <w:tcPr>
            <w:tcW w:w="260" w:type="dxa"/>
            <w:vAlign w:val="bottom"/>
            <w:shd w:val="clear" w:color="auto" w:fill="C7CDE8"/>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7CDE8"/>
          </w:tcPr>
          <w:p>
            <w:pPr>
              <w:jc w:val="right"/>
              <w:ind w:right="79"/>
              <w:spacing w:after="0"/>
              <w:rPr>
                <w:sz w:val="20"/>
                <w:szCs w:val="20"/>
                <w:color w:val="auto"/>
              </w:rPr>
            </w:pPr>
            <w:r>
              <w:rPr>
                <w:rFonts w:ascii="Times New Roman" w:cs="Times New Roman" w:eastAsia="Times New Roman" w:hAnsi="Times New Roman"/>
                <w:sz w:val="16"/>
                <w:szCs w:val="16"/>
                <w:color w:val="auto"/>
                <w:w w:val="91"/>
              </w:rPr>
              <w:t>889</w:t>
            </w:r>
          </w:p>
        </w:tc>
        <w:tc>
          <w:tcPr>
            <w:tcW w:w="440" w:type="dxa"/>
            <w:vAlign w:val="bottom"/>
            <w:shd w:val="clear" w:color="auto" w:fill="C7CDE8"/>
          </w:tcPr>
          <w:p>
            <w:pPr>
              <w:spacing w:after="0"/>
              <w:rPr>
                <w:sz w:val="18"/>
                <w:szCs w:val="18"/>
                <w:color w:val="auto"/>
              </w:rPr>
            </w:pPr>
          </w:p>
        </w:tc>
        <w:tc>
          <w:tcPr>
            <w:tcW w:w="10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5"/>
              </w:rPr>
              <w:t>20,261</w:t>
            </w:r>
          </w:p>
        </w:tc>
        <w:tc>
          <w:tcPr>
            <w:tcW w:w="440" w:type="dxa"/>
            <w:vAlign w:val="bottom"/>
            <w:shd w:val="clear" w:color="auto" w:fill="C7CDE8"/>
          </w:tcPr>
          <w:p>
            <w:pPr>
              <w:spacing w:after="0"/>
              <w:rPr>
                <w:sz w:val="18"/>
                <w:szCs w:val="18"/>
                <w:color w:val="auto"/>
              </w:rPr>
            </w:pPr>
          </w:p>
        </w:tc>
        <w:tc>
          <w:tcPr>
            <w:tcW w:w="140" w:type="dxa"/>
            <w:vAlign w:val="bottom"/>
            <w:shd w:val="clear" w:color="auto" w:fill="C7CDE8"/>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6"/>
              </w:rPr>
              <w:t>115,593</w:t>
            </w:r>
          </w:p>
        </w:tc>
        <w:tc>
          <w:tcPr>
            <w:tcW w:w="440" w:type="dxa"/>
            <w:vAlign w:val="bottom"/>
            <w:shd w:val="clear" w:color="auto" w:fill="C7CDE8"/>
          </w:tcPr>
          <w:p>
            <w:pPr>
              <w:spacing w:after="0"/>
              <w:rPr>
                <w:sz w:val="18"/>
                <w:szCs w:val="18"/>
                <w:color w:val="auto"/>
              </w:rPr>
            </w:pPr>
          </w:p>
        </w:tc>
        <w:tc>
          <w:tcPr>
            <w:tcW w:w="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6"/>
              </w:rPr>
              <w:t>163,710</w:t>
            </w: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Carl Merton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10,990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2,563</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7CDE8"/>
          </w:tcPr>
          <w:p>
            <w:pPr>
              <w:spacing w:after="0"/>
              <w:rPr>
                <w:sz w:val="19"/>
                <w:szCs w:val="19"/>
                <w:color w:val="auto"/>
              </w:rPr>
            </w:pPr>
          </w:p>
        </w:tc>
        <w:tc>
          <w:tcPr>
            <w:tcW w:w="16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rPr>
              <w:t>Denise Faltischek</w:t>
            </w:r>
          </w:p>
        </w:tc>
        <w:tc>
          <w:tcPr>
            <w:tcW w:w="5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7CDE8"/>
          </w:tcPr>
          <w:p>
            <w:pPr>
              <w:jc w:val="right"/>
              <w:ind w:right="59"/>
              <w:spacing w:after="0"/>
              <w:rPr>
                <w:sz w:val="20"/>
                <w:szCs w:val="20"/>
                <w:color w:val="auto"/>
              </w:rPr>
            </w:pPr>
            <w:r>
              <w:rPr>
                <w:rFonts w:ascii="Times New Roman" w:cs="Times New Roman" w:eastAsia="Times New Roman" w:hAnsi="Times New Roman"/>
                <w:sz w:val="16"/>
                <w:szCs w:val="16"/>
                <w:color w:val="auto"/>
                <w:w w:val="99"/>
              </w:rPr>
              <w:t>14,033</w:t>
            </w:r>
          </w:p>
        </w:tc>
        <w:tc>
          <w:tcPr>
            <w:tcW w:w="700" w:type="dxa"/>
            <w:vAlign w:val="bottom"/>
            <w:gridSpan w:val="2"/>
            <w:shd w:val="clear" w:color="auto" w:fill="C7CDE8"/>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7CDE8"/>
          </w:tcPr>
          <w:p>
            <w:pPr>
              <w:jc w:val="right"/>
              <w:ind w:right="79"/>
              <w:spacing w:after="0"/>
              <w:rPr>
                <w:sz w:val="20"/>
                <w:szCs w:val="20"/>
                <w:color w:val="auto"/>
              </w:rPr>
            </w:pPr>
            <w:r>
              <w:rPr>
                <w:rFonts w:ascii="Times New Roman" w:cs="Times New Roman" w:eastAsia="Times New Roman" w:hAnsi="Times New Roman"/>
                <w:sz w:val="16"/>
                <w:szCs w:val="16"/>
                <w:color w:val="auto"/>
                <w:w w:val="91"/>
              </w:rPr>
              <w:t>161</w:t>
            </w:r>
          </w:p>
        </w:tc>
        <w:tc>
          <w:tcPr>
            <w:tcW w:w="540" w:type="dxa"/>
            <w:vAlign w:val="bottom"/>
            <w:gridSpan w:val="2"/>
            <w:shd w:val="clear" w:color="auto" w:fill="C7CDE8"/>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5"/>
              </w:rPr>
              <w:t>20,387</w:t>
            </w:r>
          </w:p>
        </w:tc>
        <w:tc>
          <w:tcPr>
            <w:tcW w:w="580" w:type="dxa"/>
            <w:vAlign w:val="bottom"/>
            <w:gridSpan w:val="2"/>
            <w:shd w:val="clear" w:color="auto" w:fill="C7CDE8"/>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34,581</w:t>
            </w:r>
          </w:p>
        </w:tc>
        <w:tc>
          <w:tcPr>
            <w:tcW w:w="60" w:type="dxa"/>
            <w:vAlign w:val="bottom"/>
            <w:shd w:val="clear" w:color="auto" w:fill="C7CDE8"/>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Mitchell Gendel</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14,033</w:t>
            </w:r>
          </w:p>
        </w:tc>
        <w:tc>
          <w:tcPr>
            <w:tcW w:w="7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1"/>
              </w:rPr>
              <w:t>301</w:t>
            </w:r>
          </w:p>
        </w:tc>
        <w:tc>
          <w:tcPr>
            <w:tcW w:w="5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15,633</w:t>
            </w:r>
          </w:p>
        </w:tc>
        <w:tc>
          <w:tcPr>
            <w:tcW w:w="58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shd w:val="clear" w:color="auto" w:fill="C7CDE8"/>
          </w:tcPr>
          <w:p>
            <w:pPr>
              <w:spacing w:after="0"/>
              <w:rPr>
                <w:sz w:val="17"/>
                <w:szCs w:val="17"/>
                <w:color w:val="auto"/>
              </w:rPr>
            </w:pPr>
          </w:p>
        </w:tc>
        <w:tc>
          <w:tcPr>
            <w:tcW w:w="16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6"/>
                <w:szCs w:val="16"/>
                <w:color w:val="auto"/>
              </w:rPr>
              <w:t>Roger Savell</w:t>
            </w:r>
          </w:p>
        </w:tc>
        <w:tc>
          <w:tcPr>
            <w:tcW w:w="5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7CDE8"/>
          </w:tcPr>
          <w:p>
            <w:pPr>
              <w:jc w:val="right"/>
              <w:ind w:right="59"/>
              <w:spacing w:after="0"/>
              <w:rPr>
                <w:sz w:val="20"/>
                <w:szCs w:val="20"/>
                <w:color w:val="auto"/>
              </w:rPr>
            </w:pPr>
            <w:r>
              <w:rPr>
                <w:rFonts w:ascii="Times New Roman" w:cs="Times New Roman" w:eastAsia="Times New Roman" w:hAnsi="Times New Roman"/>
                <w:sz w:val="16"/>
                <w:szCs w:val="16"/>
                <w:color w:val="auto"/>
                <w:w w:val="99"/>
              </w:rPr>
              <w:t>13,617</w:t>
            </w:r>
          </w:p>
        </w:tc>
        <w:tc>
          <w:tcPr>
            <w:tcW w:w="700" w:type="dxa"/>
            <w:vAlign w:val="bottom"/>
            <w:gridSpan w:val="2"/>
            <w:shd w:val="clear" w:color="auto" w:fill="C7CDE8"/>
          </w:tcPr>
          <w:p>
            <w:pPr>
              <w:ind w:left="62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7CDE8"/>
          </w:tcPr>
          <w:p>
            <w:pPr>
              <w:jc w:val="right"/>
              <w:ind w:right="79"/>
              <w:spacing w:after="0"/>
              <w:rPr>
                <w:sz w:val="20"/>
                <w:szCs w:val="20"/>
                <w:color w:val="auto"/>
              </w:rPr>
            </w:pPr>
            <w:r>
              <w:rPr>
                <w:rFonts w:ascii="Times New Roman" w:cs="Times New Roman" w:eastAsia="Times New Roman" w:hAnsi="Times New Roman"/>
                <w:sz w:val="16"/>
                <w:szCs w:val="16"/>
                <w:color w:val="auto"/>
                <w:w w:val="91"/>
              </w:rPr>
              <w:t>462</w:t>
            </w:r>
          </w:p>
        </w:tc>
        <w:tc>
          <w:tcPr>
            <w:tcW w:w="540" w:type="dxa"/>
            <w:vAlign w:val="bottom"/>
            <w:gridSpan w:val="2"/>
            <w:shd w:val="clear" w:color="auto" w:fill="C7CDE8"/>
          </w:tcPr>
          <w:p>
            <w:pPr>
              <w:ind w:left="460"/>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w w:val="95"/>
              </w:rPr>
              <w:t>13,591</w:t>
            </w:r>
          </w:p>
        </w:tc>
        <w:tc>
          <w:tcPr>
            <w:tcW w:w="580" w:type="dxa"/>
            <w:vAlign w:val="bottom"/>
            <w:gridSpan w:val="2"/>
            <w:shd w:val="clear" w:color="auto" w:fill="C7CDE8"/>
          </w:tcPr>
          <w:p>
            <w:pPr>
              <w:ind w:left="5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5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6"/>
                <w:szCs w:val="16"/>
                <w:color w:val="auto"/>
              </w:rPr>
              <w:t>27,669</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1660" w:type="dxa"/>
            <w:vAlign w:val="bottom"/>
            <w:shd w:val="clear" w:color="auto" w:fill="C7CDE8"/>
          </w:tcPr>
          <w:p>
            <w:pPr>
              <w:spacing w:after="0"/>
              <w:rPr>
                <w:sz w:val="4"/>
                <w:szCs w:val="4"/>
                <w:color w:val="auto"/>
              </w:rPr>
            </w:pPr>
          </w:p>
        </w:tc>
        <w:tc>
          <w:tcPr>
            <w:tcW w:w="40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500" w:type="dxa"/>
            <w:vAlign w:val="bottom"/>
            <w:shd w:val="clear" w:color="auto" w:fill="C7CDE8"/>
          </w:tcPr>
          <w:p>
            <w:pPr>
              <w:spacing w:after="0"/>
              <w:rPr>
                <w:sz w:val="4"/>
                <w:szCs w:val="4"/>
                <w:color w:val="auto"/>
              </w:rPr>
            </w:pPr>
          </w:p>
        </w:tc>
        <w:tc>
          <w:tcPr>
            <w:tcW w:w="440" w:type="dxa"/>
            <w:vAlign w:val="bottom"/>
            <w:shd w:val="clear" w:color="auto" w:fill="C7CDE8"/>
          </w:tcPr>
          <w:p>
            <w:pPr>
              <w:spacing w:after="0"/>
              <w:rPr>
                <w:sz w:val="4"/>
                <w:szCs w:val="4"/>
                <w:color w:val="auto"/>
              </w:rPr>
            </w:pPr>
          </w:p>
        </w:tc>
        <w:tc>
          <w:tcPr>
            <w:tcW w:w="280" w:type="dxa"/>
            <w:vAlign w:val="bottom"/>
            <w:shd w:val="clear" w:color="auto" w:fill="C7CDE8"/>
          </w:tcPr>
          <w:p>
            <w:pPr>
              <w:spacing w:after="0"/>
              <w:rPr>
                <w:sz w:val="4"/>
                <w:szCs w:val="4"/>
                <w:color w:val="auto"/>
              </w:rPr>
            </w:pPr>
          </w:p>
        </w:tc>
        <w:tc>
          <w:tcPr>
            <w:tcW w:w="600" w:type="dxa"/>
            <w:vAlign w:val="bottom"/>
            <w:shd w:val="clear" w:color="auto" w:fill="C7CDE8"/>
          </w:tcPr>
          <w:p>
            <w:pPr>
              <w:spacing w:after="0"/>
              <w:rPr>
                <w:sz w:val="4"/>
                <w:szCs w:val="4"/>
                <w:color w:val="auto"/>
              </w:rPr>
            </w:pPr>
          </w:p>
        </w:tc>
        <w:tc>
          <w:tcPr>
            <w:tcW w:w="440" w:type="dxa"/>
            <w:vAlign w:val="bottom"/>
            <w:shd w:val="clear" w:color="auto" w:fill="C7CDE8"/>
          </w:tcPr>
          <w:p>
            <w:pPr>
              <w:spacing w:after="0"/>
              <w:rPr>
                <w:sz w:val="4"/>
                <w:szCs w:val="4"/>
                <w:color w:val="auto"/>
              </w:rPr>
            </w:pPr>
          </w:p>
        </w:tc>
        <w:tc>
          <w:tcPr>
            <w:tcW w:w="260" w:type="dxa"/>
            <w:vAlign w:val="bottom"/>
            <w:shd w:val="clear" w:color="auto" w:fill="C7CDE8"/>
          </w:tcPr>
          <w:p>
            <w:pPr>
              <w:spacing w:after="0"/>
              <w:rPr>
                <w:sz w:val="4"/>
                <w:szCs w:val="4"/>
                <w:color w:val="auto"/>
              </w:rPr>
            </w:pPr>
          </w:p>
        </w:tc>
        <w:tc>
          <w:tcPr>
            <w:tcW w:w="400" w:type="dxa"/>
            <w:vAlign w:val="bottom"/>
            <w:shd w:val="clear" w:color="auto" w:fill="C7CDE8"/>
          </w:tcPr>
          <w:p>
            <w:pPr>
              <w:spacing w:after="0"/>
              <w:rPr>
                <w:sz w:val="4"/>
                <w:szCs w:val="4"/>
                <w:color w:val="auto"/>
              </w:rPr>
            </w:pPr>
          </w:p>
        </w:tc>
        <w:tc>
          <w:tcPr>
            <w:tcW w:w="44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460" w:type="dxa"/>
            <w:vAlign w:val="bottom"/>
            <w:shd w:val="clear" w:color="auto" w:fill="C7CDE8"/>
          </w:tcPr>
          <w:p>
            <w:pPr>
              <w:spacing w:after="0"/>
              <w:rPr>
                <w:sz w:val="4"/>
                <w:szCs w:val="4"/>
                <w:color w:val="auto"/>
              </w:rPr>
            </w:pPr>
          </w:p>
        </w:tc>
        <w:tc>
          <w:tcPr>
            <w:tcW w:w="44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560" w:type="dxa"/>
            <w:vAlign w:val="bottom"/>
            <w:shd w:val="clear" w:color="auto" w:fill="C7CDE8"/>
          </w:tcPr>
          <w:p>
            <w:pPr>
              <w:spacing w:after="0"/>
              <w:rPr>
                <w:sz w:val="4"/>
                <w:szCs w:val="4"/>
                <w:color w:val="auto"/>
              </w:rPr>
            </w:pPr>
          </w:p>
        </w:tc>
        <w:tc>
          <w:tcPr>
            <w:tcW w:w="44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54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Grants of Plan-Based Awards</w:t>
      </w:r>
    </w:p>
    <w:p>
      <w:pPr>
        <w:spacing w:after="0" w:line="104"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Fiscal Year 2024, certain information regarding grants of plan-based awards, to the following named executive officers:</w:t>
      </w:r>
    </w:p>
    <w:p>
      <w:pPr>
        <w:spacing w:after="0" w:line="186" w:lineRule="exact"/>
        <w:rPr>
          <w:sz w:val="20"/>
          <w:szCs w:val="20"/>
          <w:color w:val="auto"/>
        </w:rPr>
      </w:pPr>
    </w:p>
    <w:tbl>
      <w:tblPr>
        <w:tblLayout w:type="fixed"/>
        <w:tblInd w:w="30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Estimated Possible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8"/>
          </w:tcPr>
          <w:p>
            <w:pPr>
              <w:ind w:left="240"/>
              <w:spacing w:after="0"/>
              <w:rPr>
                <w:sz w:val="20"/>
                <w:szCs w:val="20"/>
                <w:color w:val="auto"/>
              </w:rPr>
            </w:pPr>
            <w:r>
              <w:rPr>
                <w:rFonts w:ascii="Times New Roman" w:cs="Times New Roman" w:eastAsia="Times New Roman" w:hAnsi="Times New Roman"/>
                <w:sz w:val="13"/>
                <w:szCs w:val="13"/>
                <w:b w:val="1"/>
                <w:bCs w:val="1"/>
                <w:color w:val="auto"/>
              </w:rPr>
              <w:t>Estimated Possible Payouts Under</w:t>
            </w:r>
          </w:p>
        </w:tc>
        <w:tc>
          <w:tcPr>
            <w:tcW w:w="10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Payouts Under Equity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tcPr>
          <w:p>
            <w:pPr>
              <w:jc w:val="right"/>
              <w:ind w:right="124"/>
              <w:spacing w:after="0"/>
              <w:rPr>
                <w:sz w:val="20"/>
                <w:szCs w:val="20"/>
                <w:color w:val="auto"/>
              </w:rPr>
            </w:pPr>
            <w:r>
              <w:rPr>
                <w:rFonts w:ascii="Times New Roman" w:cs="Times New Roman" w:eastAsia="Times New Roman" w:hAnsi="Times New Roman"/>
                <w:sz w:val="13"/>
                <w:szCs w:val="13"/>
                <w:b w:val="1"/>
                <w:bCs w:val="1"/>
                <w:color w:val="auto"/>
                <w:w w:val="98"/>
              </w:rPr>
              <w:t>Grant Date fair value of</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3"/>
                <w:szCs w:val="13"/>
                <w:b w:val="1"/>
                <w:bCs w:val="1"/>
                <w:color w:val="auto"/>
              </w:rPr>
              <w:t>Non-Equity Incentive Plan</w:t>
            </w:r>
          </w:p>
        </w:tc>
        <w:tc>
          <w:tcPr>
            <w:tcW w:w="100" w:type="dxa"/>
            <w:vAlign w:val="bottom"/>
          </w:tcPr>
          <w:p>
            <w:pPr>
              <w:spacing w:after="0"/>
              <w:rPr>
                <w:sz w:val="16"/>
                <w:szCs w:val="16"/>
                <w:color w:val="auto"/>
              </w:rPr>
            </w:pPr>
          </w:p>
        </w:tc>
        <w:tc>
          <w:tcPr>
            <w:tcW w:w="1380" w:type="dxa"/>
            <w:vAlign w:val="bottom"/>
            <w:tcBorders>
              <w:bottom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3"/>
                <w:szCs w:val="13"/>
                <w:b w:val="1"/>
                <w:bCs w:val="1"/>
                <w:color w:val="auto"/>
                <w:w w:val="94"/>
              </w:rPr>
              <w:t>Incentive Plan</w:t>
            </w:r>
            <w:r>
              <w:rPr>
                <w:rFonts w:ascii="Times New Roman" w:cs="Times New Roman" w:eastAsia="Times New Roman" w:hAnsi="Times New Roman"/>
                <w:sz w:val="20"/>
                <w:szCs w:val="20"/>
                <w:b w:val="1"/>
                <w:bCs w:val="1"/>
                <w:color w:val="auto"/>
                <w:w w:val="94"/>
                <w:vertAlign w:val="superscript"/>
              </w:rPr>
              <w:t>(1)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284"/>
              <w:spacing w:after="0" w:line="189" w:lineRule="exact"/>
              <w:rPr>
                <w:sz w:val="20"/>
                <w:szCs w:val="20"/>
                <w:color w:val="auto"/>
              </w:rPr>
            </w:pPr>
            <w:r>
              <w:rPr>
                <w:rFonts w:ascii="Times New Roman" w:cs="Times New Roman" w:eastAsia="Times New Roman" w:hAnsi="Times New Roman"/>
                <w:sz w:val="13"/>
                <w:szCs w:val="13"/>
                <w:b w:val="1"/>
                <w:bCs w:val="1"/>
                <w:color w:val="auto"/>
              </w:rPr>
              <w:t>Equity Awards</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w w:val="93"/>
              </w:rPr>
              <w:t>Maximum</w:t>
            </w:r>
          </w:p>
        </w:tc>
        <w:tc>
          <w:tcPr>
            <w:tcW w:w="140" w:type="dxa"/>
            <w:vAlign w:val="bottom"/>
          </w:tcPr>
          <w:p>
            <w:pPr>
              <w:spacing w:after="0"/>
              <w:rPr>
                <w:sz w:val="14"/>
                <w:szCs w:val="14"/>
                <w:color w:val="auto"/>
              </w:rPr>
            </w:pPr>
          </w:p>
        </w:tc>
        <w:tc>
          <w:tcPr>
            <w:tcW w:w="14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3"/>
                <w:szCs w:val="13"/>
                <w:b w:val="1"/>
                <w:bCs w:val="1"/>
                <w:color w:val="auto"/>
              </w:rPr>
              <w:t>Type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 w:type="dxa"/>
            <w:vAlign w:val="bottom"/>
            <w:shd w:val="clear" w:color="auto" w:fill="C7CDE8"/>
          </w:tcPr>
          <w:p>
            <w:pPr>
              <w:spacing w:after="0"/>
              <w:rPr>
                <w:sz w:val="17"/>
                <w:szCs w:val="17"/>
                <w:color w:val="auto"/>
              </w:rPr>
            </w:pPr>
          </w:p>
        </w:tc>
        <w:tc>
          <w:tcPr>
            <w:tcW w:w="9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5"/>
                <w:szCs w:val="15"/>
                <w:color w:val="auto"/>
              </w:rPr>
              <w:t>Irwin Simon</w:t>
            </w:r>
          </w:p>
        </w:tc>
        <w:tc>
          <w:tcPr>
            <w:tcW w:w="120" w:type="dxa"/>
            <w:vAlign w:val="bottom"/>
            <w:shd w:val="clear" w:color="auto" w:fill="C7CDE8"/>
          </w:tcPr>
          <w:p>
            <w:pPr>
              <w:spacing w:after="0"/>
              <w:rPr>
                <w:sz w:val="17"/>
                <w:szCs w:val="17"/>
                <w:color w:val="auto"/>
              </w:rPr>
            </w:pPr>
          </w:p>
        </w:tc>
        <w:tc>
          <w:tcPr>
            <w:tcW w:w="740" w:type="dxa"/>
            <w:vAlign w:val="bottom"/>
            <w:shd w:val="clear" w:color="auto" w:fill="C7CDE8"/>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58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140" w:type="dxa"/>
            <w:vAlign w:val="bottom"/>
            <w:shd w:val="clear" w:color="auto" w:fill="C7CDE8"/>
          </w:tcPr>
          <w:p>
            <w:pPr>
              <w:spacing w:after="0"/>
              <w:rPr>
                <w:sz w:val="17"/>
                <w:szCs w:val="17"/>
                <w:color w:val="auto"/>
              </w:rPr>
            </w:pPr>
          </w:p>
        </w:tc>
        <w:tc>
          <w:tcPr>
            <w:tcW w:w="560" w:type="dxa"/>
            <w:vAlign w:val="bottom"/>
            <w:shd w:val="clear" w:color="auto" w:fill="C7CDE8"/>
          </w:tcPr>
          <w:p>
            <w:pPr>
              <w:spacing w:after="0"/>
              <w:rPr>
                <w:sz w:val="17"/>
                <w:szCs w:val="17"/>
                <w:color w:val="auto"/>
              </w:rPr>
            </w:pPr>
          </w:p>
        </w:tc>
        <w:tc>
          <w:tcPr>
            <w:tcW w:w="100" w:type="dxa"/>
            <w:vAlign w:val="bottom"/>
            <w:shd w:val="clear" w:color="auto" w:fill="C7CDE8"/>
          </w:tcPr>
          <w:p>
            <w:pPr>
              <w:spacing w:after="0"/>
              <w:rPr>
                <w:sz w:val="17"/>
                <w:szCs w:val="17"/>
                <w:color w:val="auto"/>
              </w:rPr>
            </w:pPr>
          </w:p>
        </w:tc>
        <w:tc>
          <w:tcPr>
            <w:tcW w:w="6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w w:val="99"/>
              </w:rPr>
              <w:t>2,356,218</w:t>
            </w:r>
          </w:p>
        </w:tc>
        <w:tc>
          <w:tcPr>
            <w:tcW w:w="100" w:type="dxa"/>
            <w:vAlign w:val="bottom"/>
            <w:shd w:val="clear" w:color="auto" w:fill="C7CDE8"/>
          </w:tcPr>
          <w:p>
            <w:pPr>
              <w:spacing w:after="0"/>
              <w:rPr>
                <w:sz w:val="17"/>
                <w:szCs w:val="17"/>
                <w:color w:val="auto"/>
              </w:rPr>
            </w:pPr>
          </w:p>
        </w:tc>
        <w:tc>
          <w:tcPr>
            <w:tcW w:w="6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w w:val="99"/>
              </w:rPr>
              <w:t>2,356,218</w:t>
            </w:r>
          </w:p>
        </w:tc>
        <w:tc>
          <w:tcPr>
            <w:tcW w:w="140" w:type="dxa"/>
            <w:vAlign w:val="bottom"/>
            <w:shd w:val="clear" w:color="auto" w:fill="C7CDE8"/>
          </w:tcPr>
          <w:p>
            <w:pPr>
              <w:spacing w:after="0"/>
              <w:rPr>
                <w:sz w:val="17"/>
                <w:szCs w:val="17"/>
                <w:color w:val="auto"/>
              </w:rPr>
            </w:pPr>
          </w:p>
        </w:tc>
        <w:tc>
          <w:tcPr>
            <w:tcW w:w="760" w:type="dxa"/>
            <w:vAlign w:val="bottom"/>
            <w:gridSpan w:val="2"/>
            <w:shd w:val="clear" w:color="auto" w:fill="C7CDE8"/>
          </w:tcPr>
          <w:p>
            <w:pPr>
              <w:jc w:val="right"/>
              <w:ind w:right="6"/>
              <w:spacing w:after="0"/>
              <w:rPr>
                <w:sz w:val="20"/>
                <w:szCs w:val="20"/>
                <w:color w:val="auto"/>
              </w:rPr>
            </w:pPr>
            <w:r>
              <w:rPr>
                <w:rFonts w:ascii="Times New Roman" w:cs="Times New Roman" w:eastAsia="Times New Roman" w:hAnsi="Times New Roman"/>
                <w:sz w:val="15"/>
                <w:szCs w:val="15"/>
                <w:color w:val="auto"/>
                <w:w w:val="97"/>
              </w:rPr>
              <w:t>$4,547,501</w:t>
            </w:r>
          </w:p>
        </w:tc>
        <w:tc>
          <w:tcPr>
            <w:tcW w:w="140" w:type="dxa"/>
            <w:vAlign w:val="bottom"/>
            <w:shd w:val="clear" w:color="auto" w:fill="C7CDE8"/>
          </w:tcPr>
          <w:p>
            <w:pPr>
              <w:spacing w:after="0"/>
              <w:rPr>
                <w:sz w:val="17"/>
                <w:szCs w:val="17"/>
                <w:color w:val="auto"/>
              </w:rPr>
            </w:pPr>
          </w:p>
        </w:tc>
        <w:tc>
          <w:tcPr>
            <w:tcW w:w="760" w:type="dxa"/>
            <w:vAlign w:val="bottom"/>
            <w:gridSpan w:val="2"/>
            <w:shd w:val="clear" w:color="auto" w:fill="C7CDE8"/>
          </w:tcPr>
          <w:p>
            <w:pPr>
              <w:jc w:val="right"/>
              <w:ind w:right="4"/>
              <w:spacing w:after="0"/>
              <w:rPr>
                <w:sz w:val="20"/>
                <w:szCs w:val="20"/>
                <w:color w:val="auto"/>
              </w:rPr>
            </w:pPr>
            <w:r>
              <w:rPr>
                <w:rFonts w:ascii="Times New Roman" w:cs="Times New Roman" w:eastAsia="Times New Roman" w:hAnsi="Times New Roman"/>
                <w:sz w:val="15"/>
                <w:szCs w:val="15"/>
                <w:color w:val="auto"/>
                <w:w w:val="97"/>
              </w:rPr>
              <w:t>$4,547,501</w:t>
            </w:r>
          </w:p>
        </w:tc>
        <w:tc>
          <w:tcPr>
            <w:tcW w:w="140" w:type="dxa"/>
            <w:vAlign w:val="bottom"/>
            <w:shd w:val="clear" w:color="auto" w:fill="C7CDE8"/>
          </w:tcPr>
          <w:p>
            <w:pPr>
              <w:spacing w:after="0"/>
              <w:rPr>
                <w:sz w:val="17"/>
                <w:szCs w:val="17"/>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Annual LTIP Incentive</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shd w:val="clear" w:color="auto" w:fill="C7CDE8"/>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58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560" w:type="dxa"/>
            <w:vAlign w:val="bottom"/>
            <w:shd w:val="clear" w:color="auto" w:fill="C7CDE8"/>
          </w:tcPr>
          <w:p>
            <w:pPr>
              <w:spacing w:after="0"/>
              <w:rPr>
                <w:sz w:val="16"/>
                <w:szCs w:val="16"/>
                <w:color w:val="auto"/>
              </w:rPr>
            </w:pPr>
          </w:p>
        </w:tc>
        <w:tc>
          <w:tcPr>
            <w:tcW w:w="7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4,403,064</w:t>
            </w:r>
          </w:p>
        </w:tc>
        <w:tc>
          <w:tcPr>
            <w:tcW w:w="7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4,403,064</w:t>
            </w: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shd w:val="clear" w:color="auto" w:fill="C7CDE8"/>
          </w:tcPr>
          <w:p>
            <w:pPr>
              <w:spacing w:after="0"/>
              <w:rPr>
                <w:sz w:val="16"/>
                <w:szCs w:val="16"/>
                <w:color w:val="auto"/>
              </w:rPr>
            </w:pPr>
          </w:p>
        </w:tc>
        <w:tc>
          <w:tcPr>
            <w:tcW w:w="4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58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56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7CDE8"/>
          </w:tcPr>
          <w:p>
            <w:pPr>
              <w:spacing w:after="0"/>
              <w:rPr>
                <w:sz w:val="13"/>
                <w:szCs w:val="13"/>
                <w:color w:val="auto"/>
              </w:rPr>
            </w:pPr>
          </w:p>
        </w:tc>
        <w:tc>
          <w:tcPr>
            <w:tcW w:w="9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740" w:type="dxa"/>
            <w:vAlign w:val="bottom"/>
            <w:shd w:val="clear" w:color="auto" w:fill="C7CDE8"/>
          </w:tcPr>
          <w:p>
            <w:pPr>
              <w:ind w:left="160"/>
              <w:spacing w:after="0" w:line="159" w:lineRule="exact"/>
              <w:rPr>
                <w:sz w:val="20"/>
                <w:szCs w:val="20"/>
                <w:color w:val="auto"/>
              </w:rPr>
            </w:pPr>
            <w:r>
              <w:rPr>
                <w:rFonts w:ascii="Times New Roman" w:cs="Times New Roman" w:eastAsia="Times New Roman" w:hAnsi="Times New Roman"/>
                <w:sz w:val="15"/>
                <w:szCs w:val="15"/>
                <w:color w:val="auto"/>
              </w:rPr>
              <w:t>5-Apr-24</w:t>
            </w:r>
          </w:p>
        </w:tc>
        <w:tc>
          <w:tcPr>
            <w:tcW w:w="40" w:type="dxa"/>
            <w:vAlign w:val="bottom"/>
            <w:shd w:val="clear" w:color="auto" w:fill="C7CDE8"/>
          </w:tcPr>
          <w:p>
            <w:pPr>
              <w:spacing w:after="0"/>
              <w:rPr>
                <w:sz w:val="13"/>
                <w:szCs w:val="13"/>
                <w:color w:val="auto"/>
              </w:rPr>
            </w:pPr>
          </w:p>
        </w:tc>
        <w:tc>
          <w:tcPr>
            <w:tcW w:w="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58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140" w:type="dxa"/>
            <w:vAlign w:val="bottom"/>
            <w:shd w:val="clear" w:color="auto" w:fill="C7CDE8"/>
          </w:tcPr>
          <w:p>
            <w:pPr>
              <w:spacing w:after="0"/>
              <w:rPr>
                <w:sz w:val="13"/>
                <w:szCs w:val="13"/>
                <w:color w:val="auto"/>
              </w:rPr>
            </w:pPr>
          </w:p>
        </w:tc>
        <w:tc>
          <w:tcPr>
            <w:tcW w:w="560" w:type="dxa"/>
            <w:vAlign w:val="bottom"/>
            <w:shd w:val="clear" w:color="auto" w:fill="C7CDE8"/>
          </w:tcPr>
          <w:p>
            <w:pPr>
              <w:spacing w:after="0"/>
              <w:rPr>
                <w:sz w:val="13"/>
                <w:szCs w:val="13"/>
                <w:color w:val="auto"/>
              </w:rPr>
            </w:pP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4,403,064</w:t>
            </w: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4,403,064</w:t>
            </w:r>
          </w:p>
        </w:tc>
        <w:tc>
          <w:tcPr>
            <w:tcW w:w="14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64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00" w:type="dxa"/>
            <w:vAlign w:val="bottom"/>
            <w:shd w:val="clear" w:color="auto" w:fill="C7CDE8"/>
          </w:tcPr>
          <w:p>
            <w:pPr>
              <w:spacing w:after="0"/>
              <w:rPr>
                <w:sz w:val="13"/>
                <w:szCs w:val="13"/>
                <w:color w:val="auto"/>
              </w:rPr>
            </w:pPr>
          </w:p>
        </w:tc>
        <w:tc>
          <w:tcPr>
            <w:tcW w:w="66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460" w:type="dxa"/>
            <w:vAlign w:val="bottom"/>
            <w:shd w:val="clear" w:color="auto" w:fill="C7CDE8"/>
          </w:tcPr>
          <w:p>
            <w:pPr>
              <w:spacing w:after="0" w:line="159" w:lineRule="exact"/>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vMerge w:val="restart"/>
            <w:shd w:val="clear" w:color="auto" w:fill="C7CDE8"/>
          </w:tcPr>
          <w:p>
            <w:pPr>
              <w:jc w:val="right"/>
              <w:ind w:right="105"/>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7CDE8"/>
          </w:tcPr>
          <w:p>
            <w:pPr>
              <w:spacing w:after="0"/>
              <w:rPr>
                <w:sz w:val="16"/>
                <w:szCs w:val="16"/>
                <w:color w:val="auto"/>
              </w:rPr>
            </w:pPr>
          </w:p>
        </w:tc>
        <w:tc>
          <w:tcPr>
            <w:tcW w:w="76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$3,783,520</w:t>
            </w:r>
          </w:p>
        </w:tc>
        <w:tc>
          <w:tcPr>
            <w:tcW w:w="820" w:type="dxa"/>
            <w:vAlign w:val="bottom"/>
            <w:gridSpan w:val="3"/>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$6,621,160</w:t>
            </w: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vMerge w:val="continue"/>
            <w:shd w:val="clear" w:color="auto" w:fill="C7CDE8"/>
          </w:tcPr>
          <w:p>
            <w:pPr>
              <w:spacing w:after="0"/>
              <w:rPr>
                <w:sz w:val="16"/>
                <w:szCs w:val="16"/>
                <w:color w:val="auto"/>
              </w:rPr>
            </w:pPr>
          </w:p>
        </w:tc>
        <w:tc>
          <w:tcPr>
            <w:tcW w:w="40" w:type="dxa"/>
            <w:vAlign w:val="bottom"/>
            <w:shd w:val="clear" w:color="auto" w:fill="C7CDE8"/>
          </w:tcPr>
          <w:p>
            <w:pPr>
              <w:spacing w:after="0"/>
              <w:rPr>
                <w:sz w:val="16"/>
                <w:szCs w:val="16"/>
                <w:color w:val="auto"/>
              </w:rPr>
            </w:pPr>
          </w:p>
        </w:tc>
        <w:tc>
          <w:tcPr>
            <w:tcW w:w="760" w:type="dxa"/>
            <w:vAlign w:val="bottom"/>
            <w:gridSpan w:val="3"/>
            <w:vMerge w:val="continue"/>
            <w:shd w:val="clear" w:color="auto" w:fill="C7CDE8"/>
          </w:tcPr>
          <w:p>
            <w:pPr>
              <w:spacing w:after="0"/>
              <w:rPr>
                <w:sz w:val="16"/>
                <w:szCs w:val="16"/>
                <w:color w:val="auto"/>
              </w:rPr>
            </w:pPr>
          </w:p>
        </w:tc>
        <w:tc>
          <w:tcPr>
            <w:tcW w:w="820" w:type="dxa"/>
            <w:vAlign w:val="bottom"/>
            <w:gridSpan w:val="3"/>
            <w:vMerge w:val="continue"/>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Carl Merton</w:t>
            </w:r>
          </w:p>
        </w:tc>
        <w:tc>
          <w:tcPr>
            <w:tcW w:w="12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348,954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348,954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673,481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673,481</w:t>
            </w: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Annual LTIP Incentive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5"/>
                <w:szCs w:val="15"/>
                <w:color w:val="auto"/>
                <w:w w:val="98"/>
              </w:rPr>
              <w:t>618,311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618,311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gridSpan w:val="2"/>
          </w:tcPr>
          <w:p>
            <w:pPr>
              <w:jc w:val="right"/>
              <w:ind w:right="105"/>
              <w:spacing w:after="0" w:line="162" w:lineRule="exact"/>
              <w:rPr>
                <w:sz w:val="20"/>
                <w:szCs w:val="20"/>
                <w:color w:val="auto"/>
              </w:rPr>
            </w:pPr>
            <w:r>
              <w:rPr>
                <w:rFonts w:ascii="Times New Roman" w:cs="Times New Roman" w:eastAsia="Times New Roman" w:hAnsi="Times New Roman"/>
                <w:sz w:val="15"/>
                <w:szCs w:val="15"/>
                <w:color w:val="auto"/>
              </w:rPr>
              <w:t>5-Apr-24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w w:val="98"/>
              </w:rPr>
              <w:t>618,311</w:t>
            </w:r>
          </w:p>
        </w:tc>
        <w:tc>
          <w:tcPr>
            <w:tcW w:w="7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618,311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4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388,304</w:t>
            </w:r>
          </w:p>
        </w:tc>
        <w:tc>
          <w:tcPr>
            <w:tcW w:w="2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388,304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7CDE8"/>
          </w:tcPr>
          <w:p>
            <w:pPr>
              <w:spacing w:after="0"/>
              <w:rPr>
                <w:sz w:val="13"/>
                <w:szCs w:val="13"/>
                <w:color w:val="auto"/>
              </w:rPr>
            </w:pPr>
          </w:p>
        </w:tc>
        <w:tc>
          <w:tcPr>
            <w:tcW w:w="960" w:type="dxa"/>
            <w:vAlign w:val="bottom"/>
            <w:shd w:val="clear" w:color="auto" w:fill="C7CDE8"/>
          </w:tcPr>
          <w:p>
            <w:pPr>
              <w:ind w:left="20"/>
              <w:spacing w:after="0" w:line="159" w:lineRule="exact"/>
              <w:rPr>
                <w:sz w:val="20"/>
                <w:szCs w:val="20"/>
                <w:color w:val="auto"/>
              </w:rPr>
            </w:pPr>
            <w:r>
              <w:rPr>
                <w:rFonts w:ascii="Times New Roman" w:cs="Times New Roman" w:eastAsia="Times New Roman" w:hAnsi="Times New Roman"/>
                <w:sz w:val="15"/>
                <w:szCs w:val="15"/>
                <w:color w:val="auto"/>
              </w:rPr>
              <w:t>Denise</w:t>
            </w:r>
          </w:p>
        </w:tc>
        <w:tc>
          <w:tcPr>
            <w:tcW w:w="120" w:type="dxa"/>
            <w:vAlign w:val="bottom"/>
            <w:shd w:val="clear" w:color="auto" w:fill="C7CDE8"/>
          </w:tcPr>
          <w:p>
            <w:pPr>
              <w:spacing w:after="0"/>
              <w:rPr>
                <w:sz w:val="13"/>
                <w:szCs w:val="13"/>
                <w:color w:val="auto"/>
              </w:rPr>
            </w:pPr>
          </w:p>
        </w:tc>
        <w:tc>
          <w:tcPr>
            <w:tcW w:w="740" w:type="dxa"/>
            <w:vAlign w:val="bottom"/>
            <w:shd w:val="clear" w:color="auto" w:fill="C7CDE8"/>
          </w:tcPr>
          <w:p>
            <w:pPr>
              <w:ind w:left="120"/>
              <w:spacing w:after="0" w:line="159" w:lineRule="exact"/>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3"/>
                <w:szCs w:val="13"/>
                <w:color w:val="auto"/>
              </w:rPr>
            </w:pPr>
          </w:p>
        </w:tc>
        <w:tc>
          <w:tcPr>
            <w:tcW w:w="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58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140" w:type="dxa"/>
            <w:vAlign w:val="bottom"/>
            <w:shd w:val="clear" w:color="auto" w:fill="C7CDE8"/>
          </w:tcPr>
          <w:p>
            <w:pPr>
              <w:spacing w:after="0"/>
              <w:rPr>
                <w:sz w:val="13"/>
                <w:szCs w:val="13"/>
                <w:color w:val="auto"/>
              </w:rPr>
            </w:pPr>
          </w:p>
        </w:tc>
        <w:tc>
          <w:tcPr>
            <w:tcW w:w="560" w:type="dxa"/>
            <w:vAlign w:val="bottom"/>
            <w:shd w:val="clear" w:color="auto" w:fill="C7CDE8"/>
          </w:tcPr>
          <w:p>
            <w:pPr>
              <w:spacing w:after="0"/>
              <w:rPr>
                <w:sz w:val="13"/>
                <w:szCs w:val="13"/>
                <w:color w:val="auto"/>
              </w:rPr>
            </w:pP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498,705</w:t>
            </w: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498,705</w:t>
            </w:r>
          </w:p>
        </w:tc>
        <w:tc>
          <w:tcPr>
            <w:tcW w:w="26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7CDE8"/>
          </w:tcPr>
          <w:p>
            <w:pPr>
              <w:jc w:val="right"/>
              <w:ind w:right="6"/>
              <w:spacing w:after="0" w:line="159" w:lineRule="exact"/>
              <w:rPr>
                <w:sz w:val="20"/>
                <w:szCs w:val="20"/>
                <w:color w:val="auto"/>
              </w:rPr>
            </w:pPr>
            <w:r>
              <w:rPr>
                <w:rFonts w:ascii="Times New Roman" w:cs="Times New Roman" w:eastAsia="Times New Roman" w:hAnsi="Times New Roman"/>
                <w:sz w:val="15"/>
                <w:szCs w:val="15"/>
                <w:color w:val="auto"/>
              </w:rPr>
              <w:t>962,501</w:t>
            </w:r>
          </w:p>
        </w:tc>
        <w:tc>
          <w:tcPr>
            <w:tcW w:w="2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962,501</w:t>
            </w:r>
          </w:p>
        </w:tc>
        <w:tc>
          <w:tcPr>
            <w:tcW w:w="140" w:type="dxa"/>
            <w:vAlign w:val="bottom"/>
            <w:shd w:val="clear" w:color="auto" w:fill="C7CDE8"/>
          </w:tcPr>
          <w:p>
            <w:pPr>
              <w:spacing w:after="0"/>
              <w:rPr>
                <w:sz w:val="13"/>
                <w:szCs w:val="13"/>
                <w:color w:val="auto"/>
              </w:rPr>
            </w:pPr>
          </w:p>
        </w:tc>
        <w:tc>
          <w:tcPr>
            <w:tcW w:w="1460" w:type="dxa"/>
            <w:vAlign w:val="bottom"/>
            <w:shd w:val="clear" w:color="auto" w:fill="C7CDE8"/>
          </w:tcPr>
          <w:p>
            <w:pPr>
              <w:spacing w:after="0" w:line="159" w:lineRule="exact"/>
              <w:rPr>
                <w:sz w:val="20"/>
                <w:szCs w:val="20"/>
                <w:color w:val="auto"/>
              </w:rPr>
            </w:pPr>
            <w:r>
              <w:rPr>
                <w:rFonts w:ascii="Times New Roman" w:cs="Times New Roman" w:eastAsia="Times New Roman" w:hAnsi="Times New Roman"/>
                <w:sz w:val="15"/>
                <w:szCs w:val="15"/>
                <w:color w:val="auto"/>
              </w:rPr>
              <w:t>Annual LTIP Incentive</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7CDE8"/>
          </w:tcPr>
          <w:p>
            <w:pPr>
              <w:spacing w:after="0"/>
              <w:rPr>
                <w:sz w:val="17"/>
                <w:szCs w:val="17"/>
                <w:color w:val="auto"/>
              </w:rPr>
            </w:pPr>
          </w:p>
        </w:tc>
        <w:tc>
          <w:tcPr>
            <w:tcW w:w="9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5"/>
                <w:szCs w:val="15"/>
                <w:color w:val="auto"/>
              </w:rPr>
              <w:t>Faltischek</w:t>
            </w:r>
          </w:p>
        </w:tc>
        <w:tc>
          <w:tcPr>
            <w:tcW w:w="120" w:type="dxa"/>
            <w:vAlign w:val="bottom"/>
            <w:shd w:val="clear" w:color="auto" w:fill="C7CDE8"/>
          </w:tcPr>
          <w:p>
            <w:pPr>
              <w:spacing w:after="0"/>
              <w:rPr>
                <w:sz w:val="17"/>
                <w:szCs w:val="17"/>
                <w:color w:val="auto"/>
              </w:rPr>
            </w:pPr>
          </w:p>
        </w:tc>
        <w:tc>
          <w:tcPr>
            <w:tcW w:w="740" w:type="dxa"/>
            <w:vAlign w:val="bottom"/>
            <w:vMerge w:val="restart"/>
            <w:shd w:val="clear" w:color="auto" w:fill="C7CDE8"/>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58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140" w:type="dxa"/>
            <w:vAlign w:val="bottom"/>
            <w:shd w:val="clear" w:color="auto" w:fill="C7CDE8"/>
          </w:tcPr>
          <w:p>
            <w:pPr>
              <w:spacing w:after="0"/>
              <w:rPr>
                <w:sz w:val="17"/>
                <w:szCs w:val="17"/>
                <w:color w:val="auto"/>
              </w:rPr>
            </w:pPr>
          </w:p>
        </w:tc>
        <w:tc>
          <w:tcPr>
            <w:tcW w:w="560" w:type="dxa"/>
            <w:vAlign w:val="bottom"/>
            <w:shd w:val="clear" w:color="auto" w:fill="C7CDE8"/>
          </w:tcPr>
          <w:p>
            <w:pPr>
              <w:spacing w:after="0"/>
              <w:rPr>
                <w:sz w:val="17"/>
                <w:szCs w:val="17"/>
                <w:color w:val="auto"/>
              </w:rPr>
            </w:pPr>
          </w:p>
        </w:tc>
        <w:tc>
          <w:tcPr>
            <w:tcW w:w="7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627,197</w:t>
            </w:r>
          </w:p>
        </w:tc>
        <w:tc>
          <w:tcPr>
            <w:tcW w:w="7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627,197</w:t>
            </w:r>
          </w:p>
        </w:tc>
        <w:tc>
          <w:tcPr>
            <w:tcW w:w="14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7"/>
                <w:szCs w:val="17"/>
                <w:color w:val="auto"/>
              </w:rPr>
            </w:pPr>
          </w:p>
        </w:tc>
        <w:tc>
          <w:tcPr>
            <w:tcW w:w="100" w:type="dxa"/>
            <w:vAlign w:val="bottom"/>
            <w:shd w:val="clear" w:color="auto" w:fill="C7CDE8"/>
          </w:tcPr>
          <w:p>
            <w:pPr>
              <w:spacing w:after="0"/>
              <w:rPr>
                <w:sz w:val="17"/>
                <w:szCs w:val="17"/>
                <w:color w:val="auto"/>
              </w:rPr>
            </w:pPr>
          </w:p>
        </w:tc>
        <w:tc>
          <w:tcPr>
            <w:tcW w:w="66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7"/>
                <w:szCs w:val="17"/>
                <w:color w:val="auto"/>
              </w:rPr>
            </w:pPr>
          </w:p>
        </w:tc>
        <w:tc>
          <w:tcPr>
            <w:tcW w:w="1460" w:type="dxa"/>
            <w:vAlign w:val="bottom"/>
            <w:vMerge w:val="restart"/>
            <w:shd w:val="clear" w:color="auto" w:fill="C7CDE8"/>
          </w:tcPr>
          <w:p>
            <w:pPr>
              <w:spacing w:after="0"/>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0" w:type="dxa"/>
            <w:vAlign w:val="bottom"/>
            <w:shd w:val="clear" w:color="auto" w:fill="C7CDE8"/>
          </w:tcPr>
          <w:p>
            <w:pPr>
              <w:spacing w:after="0"/>
              <w:rPr>
                <w:sz w:val="2"/>
                <w:szCs w:val="2"/>
                <w:color w:val="auto"/>
              </w:rPr>
            </w:pPr>
          </w:p>
        </w:tc>
        <w:tc>
          <w:tcPr>
            <w:tcW w:w="96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740" w:type="dxa"/>
            <w:vAlign w:val="bottom"/>
            <w:vMerge w:val="continue"/>
            <w:shd w:val="clear" w:color="auto" w:fill="C7CDE8"/>
          </w:tcPr>
          <w:p>
            <w:pPr>
              <w:spacing w:after="0"/>
              <w:rPr>
                <w:sz w:val="2"/>
                <w:szCs w:val="2"/>
                <w:color w:val="auto"/>
              </w:rPr>
            </w:pPr>
          </w:p>
        </w:tc>
        <w:tc>
          <w:tcPr>
            <w:tcW w:w="40" w:type="dxa"/>
            <w:vAlign w:val="bottom"/>
            <w:shd w:val="clear" w:color="auto" w:fill="C7CDE8"/>
          </w:tcPr>
          <w:p>
            <w:pPr>
              <w:spacing w:after="0"/>
              <w:rPr>
                <w:sz w:val="2"/>
                <w:szCs w:val="2"/>
                <w:color w:val="auto"/>
              </w:rPr>
            </w:pPr>
          </w:p>
        </w:tc>
        <w:tc>
          <w:tcPr>
            <w:tcW w:w="6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58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560" w:type="dxa"/>
            <w:vAlign w:val="bottom"/>
            <w:shd w:val="clear" w:color="auto" w:fill="C7CDE8"/>
          </w:tcPr>
          <w:p>
            <w:pPr>
              <w:spacing w:after="0"/>
              <w:rPr>
                <w:sz w:val="2"/>
                <w:szCs w:val="2"/>
                <w:color w:val="auto"/>
              </w:rPr>
            </w:pPr>
          </w:p>
        </w:tc>
        <w:tc>
          <w:tcPr>
            <w:tcW w:w="740" w:type="dxa"/>
            <w:vAlign w:val="bottom"/>
            <w:gridSpan w:val="2"/>
            <w:vMerge w:val="continue"/>
            <w:shd w:val="clear" w:color="auto" w:fill="C7CDE8"/>
          </w:tcPr>
          <w:p>
            <w:pPr>
              <w:spacing w:after="0"/>
              <w:rPr>
                <w:sz w:val="2"/>
                <w:szCs w:val="2"/>
                <w:color w:val="auto"/>
              </w:rPr>
            </w:pPr>
          </w:p>
        </w:tc>
        <w:tc>
          <w:tcPr>
            <w:tcW w:w="740" w:type="dxa"/>
            <w:vAlign w:val="bottom"/>
            <w:gridSpan w:val="2"/>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640" w:type="dxa"/>
            <w:vAlign w:val="bottom"/>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00" w:type="dxa"/>
            <w:vAlign w:val="bottom"/>
            <w:shd w:val="clear" w:color="auto" w:fill="C7CDE8"/>
          </w:tcPr>
          <w:p>
            <w:pPr>
              <w:spacing w:after="0"/>
              <w:rPr>
                <w:sz w:val="2"/>
                <w:szCs w:val="2"/>
                <w:color w:val="auto"/>
              </w:rPr>
            </w:pPr>
          </w:p>
        </w:tc>
        <w:tc>
          <w:tcPr>
            <w:tcW w:w="660" w:type="dxa"/>
            <w:vAlign w:val="bottom"/>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460" w:type="dxa"/>
            <w:vAlign w:val="bottom"/>
            <w:vMerge w:val="continue"/>
            <w:shd w:val="clear" w:color="auto" w:fill="C7CDE8"/>
          </w:tcPr>
          <w:p>
            <w:pPr>
              <w:spacing w:after="0"/>
              <w:rPr>
                <w:sz w:val="2"/>
                <w:szCs w:val="2"/>
                <w:color w:val="auto"/>
              </w:rPr>
            </w:pPr>
          </w:p>
        </w:tc>
        <w:tc>
          <w:tcPr>
            <w:tcW w:w="60" w:type="dxa"/>
            <w:vAlign w:val="bottom"/>
            <w:shd w:val="clear" w:color="auto" w:fill="C7CD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shd w:val="clear" w:color="auto" w:fill="C7CDE8"/>
          </w:tcPr>
          <w:p>
            <w:pPr>
              <w:spacing w:after="0"/>
              <w:rPr>
                <w:sz w:val="16"/>
                <w:szCs w:val="16"/>
                <w:color w:val="auto"/>
              </w:rPr>
            </w:pPr>
          </w:p>
        </w:tc>
        <w:tc>
          <w:tcPr>
            <w:tcW w:w="4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58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56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7CDE8"/>
          </w:tcPr>
          <w:p>
            <w:pPr>
              <w:spacing w:after="0"/>
              <w:rPr>
                <w:sz w:val="13"/>
                <w:szCs w:val="13"/>
                <w:color w:val="auto"/>
              </w:rPr>
            </w:pPr>
          </w:p>
        </w:tc>
        <w:tc>
          <w:tcPr>
            <w:tcW w:w="9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740" w:type="dxa"/>
            <w:vAlign w:val="bottom"/>
            <w:shd w:val="clear" w:color="auto" w:fill="C7CDE8"/>
          </w:tcPr>
          <w:p>
            <w:pPr>
              <w:ind w:left="160"/>
              <w:spacing w:after="0" w:line="159" w:lineRule="exact"/>
              <w:rPr>
                <w:sz w:val="20"/>
                <w:szCs w:val="20"/>
                <w:color w:val="auto"/>
              </w:rPr>
            </w:pPr>
            <w:r>
              <w:rPr>
                <w:rFonts w:ascii="Times New Roman" w:cs="Times New Roman" w:eastAsia="Times New Roman" w:hAnsi="Times New Roman"/>
                <w:sz w:val="15"/>
                <w:szCs w:val="15"/>
                <w:color w:val="auto"/>
              </w:rPr>
              <w:t>5-Apr-24</w:t>
            </w:r>
          </w:p>
        </w:tc>
        <w:tc>
          <w:tcPr>
            <w:tcW w:w="40" w:type="dxa"/>
            <w:vAlign w:val="bottom"/>
            <w:shd w:val="clear" w:color="auto" w:fill="C7CDE8"/>
          </w:tcPr>
          <w:p>
            <w:pPr>
              <w:spacing w:after="0"/>
              <w:rPr>
                <w:sz w:val="13"/>
                <w:szCs w:val="13"/>
                <w:color w:val="auto"/>
              </w:rPr>
            </w:pPr>
          </w:p>
        </w:tc>
        <w:tc>
          <w:tcPr>
            <w:tcW w:w="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58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140" w:type="dxa"/>
            <w:vAlign w:val="bottom"/>
            <w:shd w:val="clear" w:color="auto" w:fill="C7CDE8"/>
          </w:tcPr>
          <w:p>
            <w:pPr>
              <w:spacing w:after="0"/>
              <w:rPr>
                <w:sz w:val="13"/>
                <w:szCs w:val="13"/>
                <w:color w:val="auto"/>
              </w:rPr>
            </w:pPr>
          </w:p>
        </w:tc>
        <w:tc>
          <w:tcPr>
            <w:tcW w:w="560" w:type="dxa"/>
            <w:vAlign w:val="bottom"/>
            <w:shd w:val="clear" w:color="auto" w:fill="C7CDE8"/>
          </w:tcPr>
          <w:p>
            <w:pPr>
              <w:spacing w:after="0"/>
              <w:rPr>
                <w:sz w:val="13"/>
                <w:szCs w:val="13"/>
                <w:color w:val="auto"/>
              </w:rPr>
            </w:pP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627,197</w:t>
            </w: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627,197</w:t>
            </w:r>
          </w:p>
        </w:tc>
        <w:tc>
          <w:tcPr>
            <w:tcW w:w="14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64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00" w:type="dxa"/>
            <w:vAlign w:val="bottom"/>
            <w:shd w:val="clear" w:color="auto" w:fill="C7CDE8"/>
          </w:tcPr>
          <w:p>
            <w:pPr>
              <w:spacing w:after="0"/>
              <w:rPr>
                <w:sz w:val="13"/>
                <w:szCs w:val="13"/>
                <w:color w:val="auto"/>
              </w:rPr>
            </w:pPr>
          </w:p>
        </w:tc>
        <w:tc>
          <w:tcPr>
            <w:tcW w:w="66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460" w:type="dxa"/>
            <w:vAlign w:val="bottom"/>
            <w:shd w:val="clear" w:color="auto" w:fill="C7CDE8"/>
          </w:tcPr>
          <w:p>
            <w:pPr>
              <w:spacing w:after="0" w:line="159" w:lineRule="exact"/>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vMerge w:val="restart"/>
            <w:shd w:val="clear" w:color="auto" w:fill="C7CDE8"/>
          </w:tcPr>
          <w:p>
            <w:pPr>
              <w:jc w:val="right"/>
              <w:ind w:right="105"/>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7CDE8"/>
          </w:tcPr>
          <w:p>
            <w:pPr>
              <w:spacing w:after="0"/>
              <w:rPr>
                <w:sz w:val="16"/>
                <w:szCs w:val="16"/>
                <w:color w:val="auto"/>
              </w:rPr>
            </w:pPr>
          </w:p>
        </w:tc>
        <w:tc>
          <w:tcPr>
            <w:tcW w:w="1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260" w:type="dxa"/>
            <w:vAlign w:val="bottom"/>
            <w:gridSpan w:val="2"/>
            <w:vMerge w:val="restart"/>
            <w:shd w:val="clear" w:color="auto" w:fill="C7CDE8"/>
          </w:tcPr>
          <w:p>
            <w:pPr>
              <w:jc w:val="right"/>
              <w:ind w:right="1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600,000</w:t>
            </w: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vMerge w:val="continue"/>
            <w:shd w:val="clear" w:color="auto" w:fill="C7CDE8"/>
          </w:tcPr>
          <w:p>
            <w:pPr>
              <w:spacing w:after="0"/>
              <w:rPr>
                <w:sz w:val="16"/>
                <w:szCs w:val="16"/>
                <w:color w:val="auto"/>
              </w:rPr>
            </w:pPr>
          </w:p>
        </w:tc>
        <w:tc>
          <w:tcPr>
            <w:tcW w:w="40" w:type="dxa"/>
            <w:vAlign w:val="bottom"/>
            <w:shd w:val="clear" w:color="auto" w:fill="C7CDE8"/>
          </w:tcPr>
          <w:p>
            <w:pPr>
              <w:spacing w:after="0"/>
              <w:rPr>
                <w:sz w:val="16"/>
                <w:szCs w:val="16"/>
                <w:color w:val="auto"/>
              </w:rPr>
            </w:pPr>
          </w:p>
        </w:tc>
        <w:tc>
          <w:tcPr>
            <w:tcW w:w="180" w:type="dxa"/>
            <w:vAlign w:val="bottom"/>
            <w:gridSpan w:val="2"/>
            <w:vMerge w:val="continue"/>
            <w:shd w:val="clear" w:color="auto" w:fill="C7CDE8"/>
          </w:tcPr>
          <w:p>
            <w:pPr>
              <w:spacing w:after="0"/>
              <w:rPr>
                <w:sz w:val="16"/>
                <w:szCs w:val="16"/>
                <w:color w:val="auto"/>
              </w:rPr>
            </w:pPr>
          </w:p>
        </w:tc>
        <w:tc>
          <w:tcPr>
            <w:tcW w:w="580" w:type="dxa"/>
            <w:vAlign w:val="bottom"/>
            <w:vMerge w:val="continue"/>
            <w:shd w:val="clear" w:color="auto" w:fill="C7CDE8"/>
          </w:tcPr>
          <w:p>
            <w:pPr>
              <w:spacing w:after="0"/>
              <w:rPr>
                <w:sz w:val="16"/>
                <w:szCs w:val="16"/>
                <w:color w:val="auto"/>
              </w:rPr>
            </w:pPr>
          </w:p>
        </w:tc>
        <w:tc>
          <w:tcPr>
            <w:tcW w:w="260" w:type="dxa"/>
            <w:vAlign w:val="bottom"/>
            <w:gridSpan w:val="2"/>
            <w:vMerge w:val="continue"/>
            <w:shd w:val="clear" w:color="auto" w:fill="C7CDE8"/>
          </w:tcPr>
          <w:p>
            <w:pPr>
              <w:spacing w:after="0"/>
              <w:rPr>
                <w:sz w:val="16"/>
                <w:szCs w:val="16"/>
                <w:color w:val="auto"/>
              </w:rPr>
            </w:pPr>
          </w:p>
        </w:tc>
        <w:tc>
          <w:tcPr>
            <w:tcW w:w="560" w:type="dxa"/>
            <w:vAlign w:val="bottom"/>
            <w:vMerge w:val="continue"/>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Roger Savell</w:t>
            </w:r>
          </w:p>
        </w:tc>
        <w:tc>
          <w:tcPr>
            <w:tcW w:w="12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453,368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453,368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875,000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875,000</w:t>
            </w: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Annual LTIP Incentive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449,353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449,353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160"/>
              <w:spacing w:after="0" w:line="162" w:lineRule="exact"/>
              <w:rPr>
                <w:sz w:val="20"/>
                <w:szCs w:val="20"/>
                <w:color w:val="auto"/>
              </w:rPr>
            </w:pPr>
            <w:r>
              <w:rPr>
                <w:rFonts w:ascii="Times New Roman" w:cs="Times New Roman" w:eastAsia="Times New Roman" w:hAnsi="Times New Roman"/>
                <w:sz w:val="15"/>
                <w:szCs w:val="15"/>
                <w:color w:val="auto"/>
              </w:rPr>
              <w:t>5-Apr-24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449,353</w:t>
            </w:r>
          </w:p>
        </w:tc>
        <w:tc>
          <w:tcPr>
            <w:tcW w:w="7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449,353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4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525,000</w:t>
            </w:r>
          </w:p>
        </w:tc>
        <w:tc>
          <w:tcPr>
            <w:tcW w:w="2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525,000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7CDE8"/>
          </w:tcPr>
          <w:p>
            <w:pPr>
              <w:spacing w:after="0"/>
              <w:rPr>
                <w:sz w:val="13"/>
                <w:szCs w:val="13"/>
                <w:color w:val="auto"/>
              </w:rPr>
            </w:pPr>
          </w:p>
        </w:tc>
        <w:tc>
          <w:tcPr>
            <w:tcW w:w="960" w:type="dxa"/>
            <w:vAlign w:val="bottom"/>
            <w:shd w:val="clear" w:color="auto" w:fill="C7CDE8"/>
          </w:tcPr>
          <w:p>
            <w:pPr>
              <w:ind w:left="20"/>
              <w:spacing w:after="0" w:line="159" w:lineRule="exact"/>
              <w:rPr>
                <w:sz w:val="20"/>
                <w:szCs w:val="20"/>
                <w:color w:val="auto"/>
              </w:rPr>
            </w:pPr>
            <w:r>
              <w:rPr>
                <w:rFonts w:ascii="Times New Roman" w:cs="Times New Roman" w:eastAsia="Times New Roman" w:hAnsi="Times New Roman"/>
                <w:sz w:val="15"/>
                <w:szCs w:val="15"/>
                <w:color w:val="auto"/>
              </w:rPr>
              <w:t>Mitchell</w:t>
            </w:r>
          </w:p>
        </w:tc>
        <w:tc>
          <w:tcPr>
            <w:tcW w:w="120" w:type="dxa"/>
            <w:vAlign w:val="bottom"/>
            <w:shd w:val="clear" w:color="auto" w:fill="C7CDE8"/>
          </w:tcPr>
          <w:p>
            <w:pPr>
              <w:spacing w:after="0"/>
              <w:rPr>
                <w:sz w:val="13"/>
                <w:szCs w:val="13"/>
                <w:color w:val="auto"/>
              </w:rPr>
            </w:pPr>
          </w:p>
        </w:tc>
        <w:tc>
          <w:tcPr>
            <w:tcW w:w="740" w:type="dxa"/>
            <w:vAlign w:val="bottom"/>
            <w:shd w:val="clear" w:color="auto" w:fill="C7CDE8"/>
          </w:tcPr>
          <w:p>
            <w:pPr>
              <w:ind w:left="120"/>
              <w:spacing w:after="0" w:line="159" w:lineRule="exact"/>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3"/>
                <w:szCs w:val="13"/>
                <w:color w:val="auto"/>
              </w:rPr>
            </w:pPr>
          </w:p>
        </w:tc>
        <w:tc>
          <w:tcPr>
            <w:tcW w:w="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58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140" w:type="dxa"/>
            <w:vAlign w:val="bottom"/>
            <w:shd w:val="clear" w:color="auto" w:fill="C7CDE8"/>
          </w:tcPr>
          <w:p>
            <w:pPr>
              <w:spacing w:after="0"/>
              <w:rPr>
                <w:sz w:val="13"/>
                <w:szCs w:val="13"/>
                <w:color w:val="auto"/>
              </w:rPr>
            </w:pPr>
          </w:p>
        </w:tc>
        <w:tc>
          <w:tcPr>
            <w:tcW w:w="560" w:type="dxa"/>
            <w:vAlign w:val="bottom"/>
            <w:shd w:val="clear" w:color="auto" w:fill="C7CDE8"/>
          </w:tcPr>
          <w:p>
            <w:pPr>
              <w:spacing w:after="0"/>
              <w:rPr>
                <w:sz w:val="13"/>
                <w:szCs w:val="13"/>
                <w:color w:val="auto"/>
              </w:rPr>
            </w:pP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462,435</w:t>
            </w: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462,435</w:t>
            </w:r>
          </w:p>
        </w:tc>
        <w:tc>
          <w:tcPr>
            <w:tcW w:w="26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7CDE8"/>
          </w:tcPr>
          <w:p>
            <w:pPr>
              <w:jc w:val="right"/>
              <w:ind w:right="6"/>
              <w:spacing w:after="0" w:line="159" w:lineRule="exact"/>
              <w:rPr>
                <w:sz w:val="20"/>
                <w:szCs w:val="20"/>
                <w:color w:val="auto"/>
              </w:rPr>
            </w:pPr>
            <w:r>
              <w:rPr>
                <w:rFonts w:ascii="Times New Roman" w:cs="Times New Roman" w:eastAsia="Times New Roman" w:hAnsi="Times New Roman"/>
                <w:sz w:val="15"/>
                <w:szCs w:val="15"/>
                <w:color w:val="auto"/>
              </w:rPr>
              <w:t>892,500</w:t>
            </w:r>
          </w:p>
        </w:tc>
        <w:tc>
          <w:tcPr>
            <w:tcW w:w="140" w:type="dxa"/>
            <w:vAlign w:val="bottom"/>
            <w:shd w:val="clear" w:color="auto" w:fill="C7CDE8"/>
          </w:tcPr>
          <w:p>
            <w:pPr>
              <w:spacing w:after="0"/>
              <w:rPr>
                <w:sz w:val="13"/>
                <w:szCs w:val="13"/>
                <w:color w:val="auto"/>
              </w:rPr>
            </w:pPr>
          </w:p>
        </w:tc>
        <w:tc>
          <w:tcPr>
            <w:tcW w:w="100" w:type="dxa"/>
            <w:vAlign w:val="bottom"/>
            <w:shd w:val="clear" w:color="auto" w:fill="C7CDE8"/>
          </w:tcPr>
          <w:p>
            <w:pPr>
              <w:spacing w:after="0"/>
              <w:rPr>
                <w:sz w:val="13"/>
                <w:szCs w:val="13"/>
                <w:color w:val="auto"/>
              </w:rPr>
            </w:pPr>
          </w:p>
        </w:tc>
        <w:tc>
          <w:tcPr>
            <w:tcW w:w="66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892,500</w:t>
            </w:r>
          </w:p>
        </w:tc>
        <w:tc>
          <w:tcPr>
            <w:tcW w:w="140" w:type="dxa"/>
            <w:vAlign w:val="bottom"/>
            <w:shd w:val="clear" w:color="auto" w:fill="C7CDE8"/>
          </w:tcPr>
          <w:p>
            <w:pPr>
              <w:spacing w:after="0"/>
              <w:rPr>
                <w:sz w:val="13"/>
                <w:szCs w:val="13"/>
                <w:color w:val="auto"/>
              </w:rPr>
            </w:pPr>
          </w:p>
        </w:tc>
        <w:tc>
          <w:tcPr>
            <w:tcW w:w="1460" w:type="dxa"/>
            <w:vAlign w:val="bottom"/>
            <w:shd w:val="clear" w:color="auto" w:fill="C7CDE8"/>
          </w:tcPr>
          <w:p>
            <w:pPr>
              <w:spacing w:after="0" w:line="159" w:lineRule="exact"/>
              <w:rPr>
                <w:sz w:val="20"/>
                <w:szCs w:val="20"/>
                <w:color w:val="auto"/>
              </w:rPr>
            </w:pPr>
            <w:r>
              <w:rPr>
                <w:rFonts w:ascii="Times New Roman" w:cs="Times New Roman" w:eastAsia="Times New Roman" w:hAnsi="Times New Roman"/>
                <w:sz w:val="15"/>
                <w:szCs w:val="15"/>
                <w:color w:val="auto"/>
              </w:rPr>
              <w:t>Annual LTIP Incentive</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7CDE8"/>
          </w:tcPr>
          <w:p>
            <w:pPr>
              <w:spacing w:after="0"/>
              <w:rPr>
                <w:sz w:val="17"/>
                <w:szCs w:val="17"/>
                <w:color w:val="auto"/>
              </w:rPr>
            </w:pPr>
          </w:p>
        </w:tc>
        <w:tc>
          <w:tcPr>
            <w:tcW w:w="96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5"/>
                <w:szCs w:val="15"/>
                <w:color w:val="auto"/>
              </w:rPr>
              <w:t>Gendel</w:t>
            </w:r>
          </w:p>
        </w:tc>
        <w:tc>
          <w:tcPr>
            <w:tcW w:w="120" w:type="dxa"/>
            <w:vAlign w:val="bottom"/>
            <w:shd w:val="clear" w:color="auto" w:fill="C7CDE8"/>
          </w:tcPr>
          <w:p>
            <w:pPr>
              <w:spacing w:after="0"/>
              <w:rPr>
                <w:sz w:val="17"/>
                <w:szCs w:val="17"/>
                <w:color w:val="auto"/>
              </w:rPr>
            </w:pPr>
          </w:p>
        </w:tc>
        <w:tc>
          <w:tcPr>
            <w:tcW w:w="740" w:type="dxa"/>
            <w:vAlign w:val="bottom"/>
            <w:vMerge w:val="restart"/>
            <w:shd w:val="clear" w:color="auto" w:fill="C7CDE8"/>
          </w:tcPr>
          <w:p>
            <w:pPr>
              <w:ind w:left="120"/>
              <w:spacing w:after="0"/>
              <w:rPr>
                <w:sz w:val="20"/>
                <w:szCs w:val="20"/>
                <w:color w:val="auto"/>
              </w:rPr>
            </w:pPr>
            <w:r>
              <w:rPr>
                <w:rFonts w:ascii="Times New Roman" w:cs="Times New Roman" w:eastAsia="Times New Roman" w:hAnsi="Times New Roman"/>
                <w:sz w:val="15"/>
                <w:szCs w:val="15"/>
                <w:color w:val="auto"/>
              </w:rPr>
              <w:t>26-Jul-23</w:t>
            </w:r>
          </w:p>
        </w:tc>
        <w:tc>
          <w:tcPr>
            <w:tcW w:w="40" w:type="dxa"/>
            <w:vAlign w:val="bottom"/>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58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140" w:type="dxa"/>
            <w:vAlign w:val="bottom"/>
            <w:shd w:val="clear" w:color="auto" w:fill="C7CDE8"/>
          </w:tcPr>
          <w:p>
            <w:pPr>
              <w:spacing w:after="0"/>
              <w:rPr>
                <w:sz w:val="17"/>
                <w:szCs w:val="17"/>
                <w:color w:val="auto"/>
              </w:rPr>
            </w:pPr>
          </w:p>
        </w:tc>
        <w:tc>
          <w:tcPr>
            <w:tcW w:w="560" w:type="dxa"/>
            <w:vAlign w:val="bottom"/>
            <w:shd w:val="clear" w:color="auto" w:fill="C7CDE8"/>
          </w:tcPr>
          <w:p>
            <w:pPr>
              <w:spacing w:after="0"/>
              <w:rPr>
                <w:sz w:val="17"/>
                <w:szCs w:val="17"/>
                <w:color w:val="auto"/>
              </w:rPr>
            </w:pPr>
          </w:p>
        </w:tc>
        <w:tc>
          <w:tcPr>
            <w:tcW w:w="7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544,773</w:t>
            </w:r>
          </w:p>
        </w:tc>
        <w:tc>
          <w:tcPr>
            <w:tcW w:w="74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544,773</w:t>
            </w:r>
          </w:p>
        </w:tc>
        <w:tc>
          <w:tcPr>
            <w:tcW w:w="140" w:type="dxa"/>
            <w:vAlign w:val="bottom"/>
            <w:shd w:val="clear" w:color="auto" w:fill="C7CDE8"/>
          </w:tcPr>
          <w:p>
            <w:pPr>
              <w:spacing w:after="0"/>
              <w:rPr>
                <w:sz w:val="17"/>
                <w:szCs w:val="17"/>
                <w:color w:val="auto"/>
              </w:rPr>
            </w:pPr>
          </w:p>
        </w:tc>
        <w:tc>
          <w:tcPr>
            <w:tcW w:w="120" w:type="dxa"/>
            <w:vAlign w:val="bottom"/>
            <w:shd w:val="clear" w:color="auto" w:fill="C7CDE8"/>
          </w:tcPr>
          <w:p>
            <w:pPr>
              <w:spacing w:after="0"/>
              <w:rPr>
                <w:sz w:val="17"/>
                <w:szCs w:val="17"/>
                <w:color w:val="auto"/>
              </w:rPr>
            </w:pP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7"/>
                <w:szCs w:val="17"/>
                <w:color w:val="auto"/>
              </w:rPr>
            </w:pPr>
          </w:p>
        </w:tc>
        <w:tc>
          <w:tcPr>
            <w:tcW w:w="100" w:type="dxa"/>
            <w:vAlign w:val="bottom"/>
            <w:shd w:val="clear" w:color="auto" w:fill="C7CDE8"/>
          </w:tcPr>
          <w:p>
            <w:pPr>
              <w:spacing w:after="0"/>
              <w:rPr>
                <w:sz w:val="17"/>
                <w:szCs w:val="17"/>
                <w:color w:val="auto"/>
              </w:rPr>
            </w:pPr>
          </w:p>
        </w:tc>
        <w:tc>
          <w:tcPr>
            <w:tcW w:w="66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7"/>
                <w:szCs w:val="17"/>
                <w:color w:val="auto"/>
              </w:rPr>
            </w:pPr>
          </w:p>
        </w:tc>
        <w:tc>
          <w:tcPr>
            <w:tcW w:w="1460" w:type="dxa"/>
            <w:vAlign w:val="bottom"/>
            <w:vMerge w:val="restart"/>
            <w:shd w:val="clear" w:color="auto" w:fill="C7CDE8"/>
          </w:tcPr>
          <w:p>
            <w:pPr>
              <w:spacing w:after="0"/>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40" w:type="dxa"/>
            <w:vAlign w:val="bottom"/>
            <w:shd w:val="clear" w:color="auto" w:fill="C7CDE8"/>
          </w:tcPr>
          <w:p>
            <w:pPr>
              <w:spacing w:after="0"/>
              <w:rPr>
                <w:sz w:val="2"/>
                <w:szCs w:val="2"/>
                <w:color w:val="auto"/>
              </w:rPr>
            </w:pPr>
          </w:p>
        </w:tc>
        <w:tc>
          <w:tcPr>
            <w:tcW w:w="96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740" w:type="dxa"/>
            <w:vAlign w:val="bottom"/>
            <w:vMerge w:val="continue"/>
            <w:shd w:val="clear" w:color="auto" w:fill="C7CDE8"/>
          </w:tcPr>
          <w:p>
            <w:pPr>
              <w:spacing w:after="0"/>
              <w:rPr>
                <w:sz w:val="2"/>
                <w:szCs w:val="2"/>
                <w:color w:val="auto"/>
              </w:rPr>
            </w:pPr>
          </w:p>
        </w:tc>
        <w:tc>
          <w:tcPr>
            <w:tcW w:w="40" w:type="dxa"/>
            <w:vAlign w:val="bottom"/>
            <w:shd w:val="clear" w:color="auto" w:fill="C7CDE8"/>
          </w:tcPr>
          <w:p>
            <w:pPr>
              <w:spacing w:after="0"/>
              <w:rPr>
                <w:sz w:val="2"/>
                <w:szCs w:val="2"/>
                <w:color w:val="auto"/>
              </w:rPr>
            </w:pPr>
          </w:p>
        </w:tc>
        <w:tc>
          <w:tcPr>
            <w:tcW w:w="6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58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560" w:type="dxa"/>
            <w:vAlign w:val="bottom"/>
            <w:shd w:val="clear" w:color="auto" w:fill="C7CDE8"/>
          </w:tcPr>
          <w:p>
            <w:pPr>
              <w:spacing w:after="0"/>
              <w:rPr>
                <w:sz w:val="2"/>
                <w:szCs w:val="2"/>
                <w:color w:val="auto"/>
              </w:rPr>
            </w:pPr>
          </w:p>
        </w:tc>
        <w:tc>
          <w:tcPr>
            <w:tcW w:w="740" w:type="dxa"/>
            <w:vAlign w:val="bottom"/>
            <w:gridSpan w:val="2"/>
            <w:vMerge w:val="continue"/>
            <w:shd w:val="clear" w:color="auto" w:fill="C7CDE8"/>
          </w:tcPr>
          <w:p>
            <w:pPr>
              <w:spacing w:after="0"/>
              <w:rPr>
                <w:sz w:val="2"/>
                <w:szCs w:val="2"/>
                <w:color w:val="auto"/>
              </w:rPr>
            </w:pPr>
          </w:p>
        </w:tc>
        <w:tc>
          <w:tcPr>
            <w:tcW w:w="740" w:type="dxa"/>
            <w:vAlign w:val="bottom"/>
            <w:gridSpan w:val="2"/>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20" w:type="dxa"/>
            <w:vAlign w:val="bottom"/>
            <w:shd w:val="clear" w:color="auto" w:fill="C7CDE8"/>
          </w:tcPr>
          <w:p>
            <w:pPr>
              <w:spacing w:after="0"/>
              <w:rPr>
                <w:sz w:val="2"/>
                <w:szCs w:val="2"/>
                <w:color w:val="auto"/>
              </w:rPr>
            </w:pPr>
          </w:p>
        </w:tc>
        <w:tc>
          <w:tcPr>
            <w:tcW w:w="640" w:type="dxa"/>
            <w:vAlign w:val="bottom"/>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00" w:type="dxa"/>
            <w:vAlign w:val="bottom"/>
            <w:shd w:val="clear" w:color="auto" w:fill="C7CDE8"/>
          </w:tcPr>
          <w:p>
            <w:pPr>
              <w:spacing w:after="0"/>
              <w:rPr>
                <w:sz w:val="2"/>
                <w:szCs w:val="2"/>
                <w:color w:val="auto"/>
              </w:rPr>
            </w:pPr>
          </w:p>
        </w:tc>
        <w:tc>
          <w:tcPr>
            <w:tcW w:w="660" w:type="dxa"/>
            <w:vAlign w:val="bottom"/>
            <w:vMerge w:val="continue"/>
            <w:shd w:val="clear" w:color="auto" w:fill="C7CDE8"/>
          </w:tcPr>
          <w:p>
            <w:pPr>
              <w:spacing w:after="0"/>
              <w:rPr>
                <w:sz w:val="2"/>
                <w:szCs w:val="2"/>
                <w:color w:val="auto"/>
              </w:rPr>
            </w:pPr>
          </w:p>
        </w:tc>
        <w:tc>
          <w:tcPr>
            <w:tcW w:w="140" w:type="dxa"/>
            <w:vAlign w:val="bottom"/>
            <w:shd w:val="clear" w:color="auto" w:fill="C7CDE8"/>
          </w:tcPr>
          <w:p>
            <w:pPr>
              <w:spacing w:after="0"/>
              <w:rPr>
                <w:sz w:val="2"/>
                <w:szCs w:val="2"/>
                <w:color w:val="auto"/>
              </w:rPr>
            </w:pPr>
          </w:p>
        </w:tc>
        <w:tc>
          <w:tcPr>
            <w:tcW w:w="1460" w:type="dxa"/>
            <w:vAlign w:val="bottom"/>
            <w:vMerge w:val="continue"/>
            <w:shd w:val="clear" w:color="auto" w:fill="C7CDE8"/>
          </w:tcPr>
          <w:p>
            <w:pPr>
              <w:spacing w:after="0"/>
              <w:rPr>
                <w:sz w:val="2"/>
                <w:szCs w:val="2"/>
                <w:color w:val="auto"/>
              </w:rPr>
            </w:pPr>
          </w:p>
        </w:tc>
        <w:tc>
          <w:tcPr>
            <w:tcW w:w="60" w:type="dxa"/>
            <w:vAlign w:val="bottom"/>
            <w:shd w:val="clear" w:color="auto" w:fill="C7CD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shd w:val="clear" w:color="auto" w:fill="C7CDE8"/>
          </w:tcPr>
          <w:p>
            <w:pPr>
              <w:spacing w:after="0"/>
              <w:rPr>
                <w:sz w:val="16"/>
                <w:szCs w:val="16"/>
                <w:color w:val="auto"/>
              </w:rPr>
            </w:pPr>
          </w:p>
        </w:tc>
        <w:tc>
          <w:tcPr>
            <w:tcW w:w="4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58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56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C7CDE8"/>
          </w:tcPr>
          <w:p>
            <w:pPr>
              <w:spacing w:after="0"/>
              <w:rPr>
                <w:sz w:val="13"/>
                <w:szCs w:val="13"/>
                <w:color w:val="auto"/>
              </w:rPr>
            </w:pPr>
          </w:p>
        </w:tc>
        <w:tc>
          <w:tcPr>
            <w:tcW w:w="9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740" w:type="dxa"/>
            <w:vAlign w:val="bottom"/>
            <w:shd w:val="clear" w:color="auto" w:fill="C7CDE8"/>
          </w:tcPr>
          <w:p>
            <w:pPr>
              <w:ind w:left="160"/>
              <w:spacing w:after="0" w:line="159" w:lineRule="exact"/>
              <w:rPr>
                <w:sz w:val="20"/>
                <w:szCs w:val="20"/>
                <w:color w:val="auto"/>
              </w:rPr>
            </w:pPr>
            <w:r>
              <w:rPr>
                <w:rFonts w:ascii="Times New Roman" w:cs="Times New Roman" w:eastAsia="Times New Roman" w:hAnsi="Times New Roman"/>
                <w:sz w:val="15"/>
                <w:szCs w:val="15"/>
                <w:color w:val="auto"/>
              </w:rPr>
              <w:t>5-Apr-24</w:t>
            </w:r>
          </w:p>
        </w:tc>
        <w:tc>
          <w:tcPr>
            <w:tcW w:w="40" w:type="dxa"/>
            <w:vAlign w:val="bottom"/>
            <w:shd w:val="clear" w:color="auto" w:fill="C7CDE8"/>
          </w:tcPr>
          <w:p>
            <w:pPr>
              <w:spacing w:after="0"/>
              <w:rPr>
                <w:sz w:val="13"/>
                <w:szCs w:val="13"/>
                <w:color w:val="auto"/>
              </w:rPr>
            </w:pPr>
          </w:p>
        </w:tc>
        <w:tc>
          <w:tcPr>
            <w:tcW w:w="6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58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140" w:type="dxa"/>
            <w:vAlign w:val="bottom"/>
            <w:shd w:val="clear" w:color="auto" w:fill="C7CDE8"/>
          </w:tcPr>
          <w:p>
            <w:pPr>
              <w:spacing w:after="0"/>
              <w:rPr>
                <w:sz w:val="13"/>
                <w:szCs w:val="13"/>
                <w:color w:val="auto"/>
              </w:rPr>
            </w:pPr>
          </w:p>
        </w:tc>
        <w:tc>
          <w:tcPr>
            <w:tcW w:w="560" w:type="dxa"/>
            <w:vAlign w:val="bottom"/>
            <w:shd w:val="clear" w:color="auto" w:fill="C7CDE8"/>
          </w:tcPr>
          <w:p>
            <w:pPr>
              <w:spacing w:after="0"/>
              <w:rPr>
                <w:sz w:val="13"/>
                <w:szCs w:val="13"/>
                <w:color w:val="auto"/>
              </w:rPr>
            </w:pP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544,773</w:t>
            </w:r>
          </w:p>
        </w:tc>
        <w:tc>
          <w:tcPr>
            <w:tcW w:w="740" w:type="dxa"/>
            <w:vAlign w:val="bottom"/>
            <w:gridSpan w:val="2"/>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544,773</w:t>
            </w:r>
          </w:p>
        </w:tc>
        <w:tc>
          <w:tcPr>
            <w:tcW w:w="140" w:type="dxa"/>
            <w:vAlign w:val="bottom"/>
            <w:shd w:val="clear" w:color="auto" w:fill="C7CDE8"/>
          </w:tcPr>
          <w:p>
            <w:pPr>
              <w:spacing w:after="0"/>
              <w:rPr>
                <w:sz w:val="13"/>
                <w:szCs w:val="13"/>
                <w:color w:val="auto"/>
              </w:rPr>
            </w:pPr>
          </w:p>
        </w:tc>
        <w:tc>
          <w:tcPr>
            <w:tcW w:w="120" w:type="dxa"/>
            <w:vAlign w:val="bottom"/>
            <w:shd w:val="clear" w:color="auto" w:fill="C7CDE8"/>
          </w:tcPr>
          <w:p>
            <w:pPr>
              <w:spacing w:after="0"/>
              <w:rPr>
                <w:sz w:val="13"/>
                <w:szCs w:val="13"/>
                <w:color w:val="auto"/>
              </w:rPr>
            </w:pPr>
          </w:p>
        </w:tc>
        <w:tc>
          <w:tcPr>
            <w:tcW w:w="64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00" w:type="dxa"/>
            <w:vAlign w:val="bottom"/>
            <w:shd w:val="clear" w:color="auto" w:fill="C7CDE8"/>
          </w:tcPr>
          <w:p>
            <w:pPr>
              <w:spacing w:after="0"/>
              <w:rPr>
                <w:sz w:val="13"/>
                <w:szCs w:val="13"/>
                <w:color w:val="auto"/>
              </w:rPr>
            </w:pPr>
          </w:p>
        </w:tc>
        <w:tc>
          <w:tcPr>
            <w:tcW w:w="660" w:type="dxa"/>
            <w:vAlign w:val="bottom"/>
            <w:shd w:val="clear" w:color="auto" w:fill="C7CDE8"/>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7CDE8"/>
          </w:tcPr>
          <w:p>
            <w:pPr>
              <w:spacing w:after="0"/>
              <w:rPr>
                <w:sz w:val="13"/>
                <w:szCs w:val="13"/>
                <w:color w:val="auto"/>
              </w:rPr>
            </w:pPr>
          </w:p>
        </w:tc>
        <w:tc>
          <w:tcPr>
            <w:tcW w:w="1460" w:type="dxa"/>
            <w:vAlign w:val="bottom"/>
            <w:shd w:val="clear" w:color="auto" w:fill="C7CDE8"/>
          </w:tcPr>
          <w:p>
            <w:pPr>
              <w:spacing w:after="0" w:line="159" w:lineRule="exact"/>
              <w:rPr>
                <w:sz w:val="20"/>
                <w:szCs w:val="20"/>
                <w:color w:val="auto"/>
              </w:rPr>
            </w:pPr>
            <w:r>
              <w:rPr>
                <w:rFonts w:ascii="Times New Roman" w:cs="Times New Roman" w:eastAsia="Times New Roman" w:hAnsi="Times New Roman"/>
                <w:sz w:val="15"/>
                <w:szCs w:val="15"/>
                <w:color w:val="auto"/>
              </w:rPr>
              <w:t>2024 EBITDA PSU</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0" w:type="dxa"/>
            <w:vAlign w:val="bottom"/>
            <w:shd w:val="clear" w:color="auto" w:fill="C7CDE8"/>
          </w:tcPr>
          <w:p>
            <w:pPr>
              <w:spacing w:after="0"/>
              <w:rPr>
                <w:sz w:val="16"/>
                <w:szCs w:val="16"/>
                <w:color w:val="auto"/>
              </w:rPr>
            </w:pPr>
          </w:p>
        </w:tc>
        <w:tc>
          <w:tcPr>
            <w:tcW w:w="9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740" w:type="dxa"/>
            <w:vAlign w:val="bottom"/>
            <w:vMerge w:val="restart"/>
            <w:shd w:val="clear" w:color="auto" w:fill="C7CDE8"/>
          </w:tcPr>
          <w:p>
            <w:pPr>
              <w:jc w:val="right"/>
              <w:ind w:right="105"/>
              <w:spacing w:after="0"/>
              <w:rPr>
                <w:sz w:val="20"/>
                <w:szCs w:val="20"/>
                <w:color w:val="auto"/>
              </w:rPr>
            </w:pPr>
            <w:r>
              <w:rPr>
                <w:rFonts w:ascii="Times New Roman" w:cs="Times New Roman" w:eastAsia="Times New Roman" w:hAnsi="Times New Roman"/>
                <w:sz w:val="15"/>
                <w:szCs w:val="15"/>
                <w:color w:val="auto"/>
              </w:rPr>
              <w:t> </w:t>
            </w:r>
          </w:p>
        </w:tc>
        <w:tc>
          <w:tcPr>
            <w:tcW w:w="40" w:type="dxa"/>
            <w:vAlign w:val="bottom"/>
            <w:shd w:val="clear" w:color="auto" w:fill="C7CDE8"/>
          </w:tcPr>
          <w:p>
            <w:pPr>
              <w:spacing w:after="0"/>
              <w:rPr>
                <w:sz w:val="16"/>
                <w:szCs w:val="16"/>
                <w:color w:val="auto"/>
              </w:rPr>
            </w:pPr>
          </w:p>
        </w:tc>
        <w:tc>
          <w:tcPr>
            <w:tcW w:w="6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58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560,000</w:t>
            </w:r>
          </w:p>
        </w:tc>
        <w:tc>
          <w:tcPr>
            <w:tcW w:w="260" w:type="dxa"/>
            <w:vAlign w:val="bottom"/>
            <w:gridSpan w:val="2"/>
            <w:vMerge w:val="restart"/>
            <w:shd w:val="clear" w:color="auto" w:fill="C7CDE8"/>
          </w:tcPr>
          <w:p>
            <w:pPr>
              <w:jc w:val="right"/>
              <w:ind w:right="17"/>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rPr>
              <w:t>560,000</w:t>
            </w: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20" w:type="dxa"/>
            <w:vAlign w:val="bottom"/>
            <w:shd w:val="clear" w:color="auto" w:fill="C7CDE8"/>
          </w:tcPr>
          <w:p>
            <w:pPr>
              <w:spacing w:after="0"/>
              <w:rPr>
                <w:sz w:val="16"/>
                <w:szCs w:val="16"/>
                <w:color w:val="auto"/>
              </w:rPr>
            </w:pPr>
          </w:p>
        </w:tc>
        <w:tc>
          <w:tcPr>
            <w:tcW w:w="64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00" w:type="dxa"/>
            <w:vAlign w:val="bottom"/>
            <w:shd w:val="clear" w:color="auto" w:fill="C7CDE8"/>
          </w:tcPr>
          <w:p>
            <w:pPr>
              <w:spacing w:after="0"/>
              <w:rPr>
                <w:sz w:val="16"/>
                <w:szCs w:val="16"/>
                <w:color w:val="auto"/>
              </w:rPr>
            </w:pPr>
          </w:p>
        </w:tc>
        <w:tc>
          <w:tcPr>
            <w:tcW w:w="660" w:type="dxa"/>
            <w:vAlign w:val="bottom"/>
            <w:shd w:val="clear" w:color="auto" w:fill="C7CDE8"/>
          </w:tcPr>
          <w:p>
            <w:pPr>
              <w:spacing w:after="0"/>
              <w:rPr>
                <w:sz w:val="16"/>
                <w:szCs w:val="16"/>
                <w:color w:val="auto"/>
              </w:rPr>
            </w:pPr>
          </w:p>
        </w:tc>
        <w:tc>
          <w:tcPr>
            <w:tcW w:w="140" w:type="dxa"/>
            <w:vAlign w:val="bottom"/>
            <w:shd w:val="clear" w:color="auto" w:fill="C7CDE8"/>
          </w:tcPr>
          <w:p>
            <w:pPr>
              <w:spacing w:after="0"/>
              <w:rPr>
                <w:sz w:val="16"/>
                <w:szCs w:val="16"/>
                <w:color w:val="auto"/>
              </w:rPr>
            </w:pPr>
          </w:p>
        </w:tc>
        <w:tc>
          <w:tcPr>
            <w:tcW w:w="1460" w:type="dxa"/>
            <w:vAlign w:val="bottom"/>
            <w:shd w:val="clear" w:color="auto" w:fill="C7CDE8"/>
          </w:tcPr>
          <w:p>
            <w:pPr>
              <w:spacing w:after="0"/>
              <w:rPr>
                <w:sz w:val="20"/>
                <w:szCs w:val="20"/>
                <w:color w:val="auto"/>
              </w:rPr>
            </w:pPr>
            <w:r>
              <w:rPr>
                <w:rFonts w:ascii="Times New Roman" w:cs="Times New Roman" w:eastAsia="Times New Roman" w:hAnsi="Times New Roman"/>
                <w:sz w:val="15"/>
                <w:szCs w:val="15"/>
                <w:color w:val="auto"/>
              </w:rPr>
              <w:t>Awards</w:t>
            </w:r>
          </w:p>
        </w:tc>
        <w:tc>
          <w:tcPr>
            <w:tcW w:w="60" w:type="dxa"/>
            <w:vAlign w:val="bottom"/>
            <w:shd w:val="clear" w:color="auto" w:fill="C7CDE8"/>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7CDE8"/>
          </w:tcPr>
          <w:p>
            <w:pPr>
              <w:spacing w:after="0"/>
              <w:rPr>
                <w:sz w:val="15"/>
                <w:szCs w:val="15"/>
                <w:color w:val="auto"/>
              </w:rPr>
            </w:pPr>
          </w:p>
        </w:tc>
        <w:tc>
          <w:tcPr>
            <w:tcW w:w="960" w:type="dxa"/>
            <w:vAlign w:val="bottom"/>
            <w:shd w:val="clear" w:color="auto" w:fill="C7CDE8"/>
          </w:tcPr>
          <w:p>
            <w:pPr>
              <w:spacing w:after="0"/>
              <w:rPr>
                <w:sz w:val="15"/>
                <w:szCs w:val="15"/>
                <w:color w:val="auto"/>
              </w:rPr>
            </w:pPr>
          </w:p>
        </w:tc>
        <w:tc>
          <w:tcPr>
            <w:tcW w:w="120" w:type="dxa"/>
            <w:vAlign w:val="bottom"/>
            <w:shd w:val="clear" w:color="auto" w:fill="C7CDE8"/>
          </w:tcPr>
          <w:p>
            <w:pPr>
              <w:spacing w:after="0"/>
              <w:rPr>
                <w:sz w:val="15"/>
                <w:szCs w:val="15"/>
                <w:color w:val="auto"/>
              </w:rPr>
            </w:pPr>
          </w:p>
        </w:tc>
        <w:tc>
          <w:tcPr>
            <w:tcW w:w="740" w:type="dxa"/>
            <w:vAlign w:val="bottom"/>
            <w:vMerge w:val="continue"/>
            <w:shd w:val="clear" w:color="auto" w:fill="C7CDE8"/>
          </w:tcPr>
          <w:p>
            <w:pPr>
              <w:spacing w:after="0"/>
              <w:rPr>
                <w:sz w:val="15"/>
                <w:szCs w:val="15"/>
                <w:color w:val="auto"/>
              </w:rPr>
            </w:pPr>
          </w:p>
        </w:tc>
        <w:tc>
          <w:tcPr>
            <w:tcW w:w="40" w:type="dxa"/>
            <w:vAlign w:val="bottom"/>
            <w:shd w:val="clear" w:color="auto" w:fill="C7CDE8"/>
          </w:tcPr>
          <w:p>
            <w:pPr>
              <w:spacing w:after="0"/>
              <w:rPr>
                <w:sz w:val="15"/>
                <w:szCs w:val="15"/>
                <w:color w:val="auto"/>
              </w:rPr>
            </w:pPr>
          </w:p>
        </w:tc>
        <w:tc>
          <w:tcPr>
            <w:tcW w:w="60" w:type="dxa"/>
            <w:vAlign w:val="bottom"/>
            <w:shd w:val="clear" w:color="auto" w:fill="C7CDE8"/>
          </w:tcPr>
          <w:p>
            <w:pPr>
              <w:spacing w:after="0"/>
              <w:rPr>
                <w:sz w:val="15"/>
                <w:szCs w:val="15"/>
                <w:color w:val="auto"/>
              </w:rPr>
            </w:pPr>
          </w:p>
        </w:tc>
        <w:tc>
          <w:tcPr>
            <w:tcW w:w="1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continue"/>
            <w:shd w:val="clear" w:color="auto" w:fill="C7CDE8"/>
          </w:tcPr>
          <w:p>
            <w:pPr>
              <w:spacing w:after="0"/>
              <w:rPr>
                <w:sz w:val="15"/>
                <w:szCs w:val="15"/>
                <w:color w:val="auto"/>
              </w:rPr>
            </w:pPr>
          </w:p>
        </w:tc>
        <w:tc>
          <w:tcPr>
            <w:tcW w:w="260" w:type="dxa"/>
            <w:vAlign w:val="bottom"/>
            <w:gridSpan w:val="2"/>
            <w:vMerge w:val="continue"/>
            <w:shd w:val="clear" w:color="auto" w:fill="C7CDE8"/>
          </w:tcPr>
          <w:p>
            <w:pPr>
              <w:spacing w:after="0"/>
              <w:rPr>
                <w:sz w:val="15"/>
                <w:szCs w:val="15"/>
                <w:color w:val="auto"/>
              </w:rPr>
            </w:pPr>
          </w:p>
        </w:tc>
        <w:tc>
          <w:tcPr>
            <w:tcW w:w="560" w:type="dxa"/>
            <w:vAlign w:val="bottom"/>
            <w:vMerge w:val="continue"/>
            <w:shd w:val="clear" w:color="auto" w:fill="C7CDE8"/>
          </w:tcPr>
          <w:p>
            <w:pPr>
              <w:spacing w:after="0"/>
              <w:rPr>
                <w:sz w:val="15"/>
                <w:szCs w:val="15"/>
                <w:color w:val="auto"/>
              </w:rPr>
            </w:pPr>
          </w:p>
        </w:tc>
        <w:tc>
          <w:tcPr>
            <w:tcW w:w="100" w:type="dxa"/>
            <w:vAlign w:val="bottom"/>
            <w:shd w:val="clear" w:color="auto" w:fill="C7CDE8"/>
          </w:tcPr>
          <w:p>
            <w:pPr>
              <w:spacing w:after="0"/>
              <w:rPr>
                <w:sz w:val="15"/>
                <w:szCs w:val="15"/>
                <w:color w:val="auto"/>
              </w:rPr>
            </w:pPr>
          </w:p>
        </w:tc>
        <w:tc>
          <w:tcPr>
            <w:tcW w:w="640" w:type="dxa"/>
            <w:vAlign w:val="bottom"/>
            <w:shd w:val="clear" w:color="auto" w:fill="C7CDE8"/>
          </w:tcPr>
          <w:p>
            <w:pPr>
              <w:spacing w:after="0"/>
              <w:rPr>
                <w:sz w:val="15"/>
                <w:szCs w:val="15"/>
                <w:color w:val="auto"/>
              </w:rPr>
            </w:pPr>
          </w:p>
        </w:tc>
        <w:tc>
          <w:tcPr>
            <w:tcW w:w="100" w:type="dxa"/>
            <w:vAlign w:val="bottom"/>
            <w:shd w:val="clear" w:color="auto" w:fill="C7CDE8"/>
          </w:tcPr>
          <w:p>
            <w:pPr>
              <w:spacing w:after="0"/>
              <w:rPr>
                <w:sz w:val="15"/>
                <w:szCs w:val="15"/>
                <w:color w:val="auto"/>
              </w:rPr>
            </w:pPr>
          </w:p>
        </w:tc>
        <w:tc>
          <w:tcPr>
            <w:tcW w:w="640" w:type="dxa"/>
            <w:vAlign w:val="bottom"/>
            <w:shd w:val="clear" w:color="auto" w:fill="C7CDE8"/>
          </w:tcPr>
          <w:p>
            <w:pPr>
              <w:spacing w:after="0"/>
              <w:rPr>
                <w:sz w:val="15"/>
                <w:szCs w:val="15"/>
                <w:color w:val="auto"/>
              </w:rPr>
            </w:pPr>
          </w:p>
        </w:tc>
        <w:tc>
          <w:tcPr>
            <w:tcW w:w="140" w:type="dxa"/>
            <w:vAlign w:val="bottom"/>
            <w:shd w:val="clear" w:color="auto" w:fill="C7CDE8"/>
          </w:tcPr>
          <w:p>
            <w:pPr>
              <w:spacing w:after="0"/>
              <w:rPr>
                <w:sz w:val="15"/>
                <w:szCs w:val="15"/>
                <w:color w:val="auto"/>
              </w:rPr>
            </w:pPr>
          </w:p>
        </w:tc>
        <w:tc>
          <w:tcPr>
            <w:tcW w:w="120" w:type="dxa"/>
            <w:vAlign w:val="bottom"/>
            <w:shd w:val="clear" w:color="auto" w:fill="C7CDE8"/>
          </w:tcPr>
          <w:p>
            <w:pPr>
              <w:spacing w:after="0"/>
              <w:rPr>
                <w:sz w:val="15"/>
                <w:szCs w:val="15"/>
                <w:color w:val="auto"/>
              </w:rPr>
            </w:pPr>
          </w:p>
        </w:tc>
        <w:tc>
          <w:tcPr>
            <w:tcW w:w="640" w:type="dxa"/>
            <w:vAlign w:val="bottom"/>
            <w:shd w:val="clear" w:color="auto" w:fill="C7CDE8"/>
          </w:tcPr>
          <w:p>
            <w:pPr>
              <w:spacing w:after="0"/>
              <w:rPr>
                <w:sz w:val="15"/>
                <w:szCs w:val="15"/>
                <w:color w:val="auto"/>
              </w:rPr>
            </w:pPr>
          </w:p>
        </w:tc>
        <w:tc>
          <w:tcPr>
            <w:tcW w:w="140" w:type="dxa"/>
            <w:vAlign w:val="bottom"/>
            <w:shd w:val="clear" w:color="auto" w:fill="C7CDE8"/>
          </w:tcPr>
          <w:p>
            <w:pPr>
              <w:spacing w:after="0"/>
              <w:rPr>
                <w:sz w:val="15"/>
                <w:szCs w:val="15"/>
                <w:color w:val="auto"/>
              </w:rPr>
            </w:pPr>
          </w:p>
        </w:tc>
        <w:tc>
          <w:tcPr>
            <w:tcW w:w="100" w:type="dxa"/>
            <w:vAlign w:val="bottom"/>
            <w:shd w:val="clear" w:color="auto" w:fill="C7CDE8"/>
          </w:tcPr>
          <w:p>
            <w:pPr>
              <w:spacing w:after="0"/>
              <w:rPr>
                <w:sz w:val="15"/>
                <w:szCs w:val="15"/>
                <w:color w:val="auto"/>
              </w:rPr>
            </w:pPr>
          </w:p>
        </w:tc>
        <w:tc>
          <w:tcPr>
            <w:tcW w:w="660" w:type="dxa"/>
            <w:vAlign w:val="bottom"/>
            <w:shd w:val="clear" w:color="auto" w:fill="C7CDE8"/>
          </w:tcPr>
          <w:p>
            <w:pPr>
              <w:spacing w:after="0"/>
              <w:rPr>
                <w:sz w:val="15"/>
                <w:szCs w:val="15"/>
                <w:color w:val="auto"/>
              </w:rPr>
            </w:pPr>
          </w:p>
        </w:tc>
        <w:tc>
          <w:tcPr>
            <w:tcW w:w="140" w:type="dxa"/>
            <w:vAlign w:val="bottom"/>
            <w:shd w:val="clear" w:color="auto" w:fill="C7CDE8"/>
          </w:tcPr>
          <w:p>
            <w:pPr>
              <w:spacing w:after="0"/>
              <w:rPr>
                <w:sz w:val="15"/>
                <w:szCs w:val="15"/>
                <w:color w:val="auto"/>
              </w:rPr>
            </w:pPr>
          </w:p>
        </w:tc>
        <w:tc>
          <w:tcPr>
            <w:tcW w:w="1460" w:type="dxa"/>
            <w:vAlign w:val="bottom"/>
            <w:shd w:val="clear" w:color="auto" w:fill="C7CDE8"/>
          </w:tcPr>
          <w:p>
            <w:pPr>
              <w:spacing w:after="0"/>
              <w:rPr>
                <w:sz w:val="15"/>
                <w:szCs w:val="15"/>
                <w:color w:val="auto"/>
              </w:rPr>
            </w:pPr>
          </w:p>
        </w:tc>
        <w:tc>
          <w:tcPr>
            <w:tcW w:w="60" w:type="dxa"/>
            <w:vAlign w:val="bottom"/>
            <w:shd w:val="clear" w:color="auto" w:fill="C7CDE8"/>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96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740" w:type="dxa"/>
            <w:vAlign w:val="bottom"/>
            <w:shd w:val="clear" w:color="auto" w:fill="C7CDE8"/>
          </w:tcPr>
          <w:p>
            <w:pPr>
              <w:spacing w:after="0"/>
              <w:rPr>
                <w:sz w:val="4"/>
                <w:szCs w:val="4"/>
                <w:color w:val="auto"/>
              </w:rPr>
            </w:pPr>
          </w:p>
        </w:tc>
        <w:tc>
          <w:tcPr>
            <w:tcW w:w="4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58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56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66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46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ind w:left="640" w:right="319" w:hanging="348"/>
        <w:spacing w:after="0" w:line="228"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 amounts in this column for the awards labeled “2024 EBITDA PSU Awards” represent the number of shares granted on the grant date for 2024 EBITDA PSU Awards. These awards are described in the Compensation Discussion &amp; Analysis section under “2024 EBITDA PSU Awards” granted during Fiscal Year 2024, and did not have a fair value for purposes of ASC 718 on the grant date due to the three-year cumulative performance targets not having been set during Fiscal Year 2024. Therefore, there is no corresponding dollar amount for the 2024 EBITDA PSU Awards included in the Grant of Plan-Based Awards table. In addition, the 2024 EBITDA PSU Awards that were made in April 2024 represent a contingent right to receive a cash payment or its equivalent in shares of Common Stock (as determined by the Compensation Committee). See footnote 2 to the Summary Compensation Table for a discussion of the value of the 2024 EBITDA PSU Awards based on the value of a share of Company common stock as of the date of grant.</w:t>
      </w:r>
    </w:p>
    <w:p>
      <w:pPr>
        <w:spacing w:after="0" w:line="18"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in this column represent the grant date fair value of the product of the number of shares granted and the closing market price of our common stock on the grant date for time-based restricted stock units. These annual LTIP grants vest at the rate of 50% of the RSUs on the twelve (12) month anniversary of the grant date (the “</w:t>
      </w:r>
      <w:r>
        <w:rPr>
          <w:rFonts w:ascii="Times New Roman" w:cs="Times New Roman" w:eastAsia="Times New Roman" w:hAnsi="Times New Roman"/>
          <w:sz w:val="14"/>
          <w:szCs w:val="14"/>
          <w:b w:val="1"/>
          <w:bCs w:val="1"/>
          <w:i w:val="1"/>
          <w:iCs w:val="1"/>
          <w:color w:val="auto"/>
        </w:rPr>
        <w:t>Vesting Date</w:t>
      </w:r>
      <w:r>
        <w:rPr>
          <w:rFonts w:ascii="Times New Roman" w:cs="Times New Roman" w:eastAsia="Times New Roman" w:hAnsi="Times New Roman"/>
          <w:sz w:val="14"/>
          <w:szCs w:val="14"/>
          <w:color w:val="auto"/>
        </w:rPr>
        <w:t>”), and the remaining 50% RSUs on the 24 months anniversary of the Vesting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ind w:left="300"/>
        <w:spacing w:after="0"/>
        <w:rPr>
          <w:sz w:val="20"/>
          <w:szCs w:val="20"/>
          <w:color w:val="auto"/>
        </w:rPr>
      </w:pPr>
      <w:r>
        <w:rPr>
          <w:rFonts w:ascii="Arial" w:cs="Arial" w:eastAsia="Arial" w:hAnsi="Arial"/>
          <w:sz w:val="18"/>
          <w:szCs w:val="18"/>
          <w:b w:val="1"/>
          <w:bCs w:val="1"/>
          <w:color w:val="00489A"/>
        </w:rPr>
        <w:t>Narrative Disclosure To Grants Of Plan-Based Awards Table</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Annual Performance Bonus Cash Awards</w:t>
      </w:r>
    </w:p>
    <w:p>
      <w:pPr>
        <w:spacing w:after="0" w:line="102" w:lineRule="exact"/>
        <w:rPr>
          <w:sz w:val="20"/>
          <w:szCs w:val="20"/>
          <w:color w:val="auto"/>
        </w:rPr>
      </w:pPr>
    </w:p>
    <w:p>
      <w:pPr>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Company provides eligibility for annual cash bonus awards to reward named executive officers for performance in the fiscal year. For more information regarding our annual performance bonus cash awards, please see the section of the CD&amp;A titled “Annual Performance Bonus Plan.”</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Compensation Awards</w:t>
      </w:r>
    </w:p>
    <w:p>
      <w:pPr>
        <w:spacing w:after="0" w:line="10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Consistent with its practices for awarding restricted stock units described in the CD&amp;A above, the Compensation Committee approved equity compensation awards in the form restricted stock units to each of the named executive officers listed in the table above that are eligible to vest both based on continued service and achievement of performance goals.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Outstanding Equity Awards At Fiscal Year 2024 End</w:t>
      </w:r>
    </w:p>
    <w:p>
      <w:pPr>
        <w:sectPr>
          <w:pgSz w:w="11900" w:h="16838" w:orient="portrait"/>
          <w:cols w:equalWidth="0" w:num="1">
            <w:col w:w="9019"/>
          </w:cols>
          <w:pgMar w:left="1440"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720090" cy="2177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 cy="2177415"/>
                    </a:xfrm>
                    <a:prstGeom prst="rect">
                      <a:avLst/>
                    </a:prstGeom>
                    <a:noFill/>
                  </pic:spPr>
                </pic:pic>
              </a:graphicData>
            </a:graphic>
          </wp:anchor>
        </w:drawing>
      </w:r>
    </w:p>
    <w:p>
      <w:pPr>
        <w:spacing w:after="0" w:line="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Irwin Simon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Carl Merton</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units</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stock</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6"/>
                <w:szCs w:val="16"/>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unexercisable  price ($)</w:t>
            </w: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8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 w:type="dxa"/>
            <w:vAlign w:val="bottom"/>
            <w:shd w:val="clear" w:color="auto" w:fill="C7CDE8"/>
          </w:tcPr>
          <w:p>
            <w:pPr>
              <w:spacing w:after="0"/>
              <w:rPr>
                <w:sz w:val="22"/>
                <w:szCs w:val="22"/>
                <w:color w:val="auto"/>
              </w:rPr>
            </w:pPr>
          </w:p>
        </w:tc>
        <w:tc>
          <w:tcPr>
            <w:tcW w:w="760" w:type="dxa"/>
            <w:vAlign w:val="bottom"/>
            <w:tcBorders>
              <w:top w:val="single" w:sz="8" w:color="auto"/>
            </w:tcBorders>
            <w:shd w:val="clear" w:color="auto" w:fill="C7CDE8"/>
          </w:tcPr>
          <w:p>
            <w:pPr>
              <w:jc w:val="right"/>
              <w:spacing w:after="0" w:line="255" w:lineRule="exact"/>
              <w:rPr>
                <w:sz w:val="20"/>
                <w:szCs w:val="20"/>
                <w:color w:val="auto"/>
              </w:rPr>
            </w:pPr>
            <w:r>
              <w:rPr>
                <w:rFonts w:ascii="Times New Roman" w:cs="Times New Roman" w:eastAsia="Times New Roman" w:hAnsi="Times New Roman"/>
                <w:sz w:val="14"/>
                <w:szCs w:val="14"/>
                <w:color w:val="auto"/>
              </w:rPr>
              <w:t>8/7/2019</w:t>
            </w:r>
            <w:r>
              <w:rPr>
                <w:rFonts w:ascii="Times New Roman" w:cs="Times New Roman" w:eastAsia="Times New Roman" w:hAnsi="Times New Roman"/>
                <w:sz w:val="23"/>
                <w:szCs w:val="23"/>
                <w:color w:val="auto"/>
                <w:vertAlign w:val="superscript"/>
              </w:rPr>
              <w:t>(1)</w:t>
            </w:r>
          </w:p>
        </w:tc>
        <w:tc>
          <w:tcPr>
            <w:tcW w:w="80" w:type="dxa"/>
            <w:vAlign w:val="bottom"/>
            <w:shd w:val="clear" w:color="auto" w:fill="C7CDE8"/>
          </w:tcPr>
          <w:p>
            <w:pPr>
              <w:spacing w:after="0"/>
              <w:rPr>
                <w:sz w:val="22"/>
                <w:szCs w:val="22"/>
                <w:color w:val="auto"/>
              </w:rPr>
            </w:pPr>
          </w:p>
        </w:tc>
        <w:tc>
          <w:tcPr>
            <w:tcW w:w="520" w:type="dxa"/>
            <w:vAlign w:val="bottom"/>
            <w:tcBorders>
              <w:top w:val="single" w:sz="8" w:color="auto"/>
            </w:tcBorders>
            <w:shd w:val="clear" w:color="auto" w:fill="C7CDE8"/>
          </w:tcPr>
          <w:p>
            <w:pPr>
              <w:spacing w:after="0"/>
              <w:rPr>
                <w:sz w:val="20"/>
                <w:szCs w:val="20"/>
                <w:color w:val="auto"/>
              </w:rPr>
            </w:pPr>
            <w:r>
              <w:rPr>
                <w:rFonts w:ascii="Times New Roman" w:cs="Times New Roman" w:eastAsia="Times New Roman" w:hAnsi="Times New Roman"/>
                <w:sz w:val="14"/>
                <w:szCs w:val="14"/>
                <w:color w:val="auto"/>
              </w:rPr>
              <w:t>APH Ex</w:t>
            </w:r>
          </w:p>
        </w:tc>
        <w:tc>
          <w:tcPr>
            <w:tcW w:w="100" w:type="dxa"/>
            <w:vAlign w:val="bottom"/>
            <w:gridSpan w:val="2"/>
            <w:shd w:val="clear" w:color="auto" w:fill="C7CDE8"/>
          </w:tcPr>
          <w:p>
            <w:pPr>
              <w:spacing w:after="0"/>
              <w:rPr>
                <w:sz w:val="22"/>
                <w:szCs w:val="22"/>
                <w:color w:val="auto"/>
              </w:rPr>
            </w:pPr>
          </w:p>
        </w:tc>
        <w:tc>
          <w:tcPr>
            <w:tcW w:w="1020" w:type="dxa"/>
            <w:vAlign w:val="bottom"/>
            <w:tcBorders>
              <w:top w:val="single" w:sz="8" w:color="auto"/>
            </w:tcBorders>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8/7/2019</w:t>
            </w:r>
          </w:p>
        </w:tc>
        <w:tc>
          <w:tcPr>
            <w:tcW w:w="100" w:type="dxa"/>
            <w:vAlign w:val="bottom"/>
            <w:shd w:val="clear" w:color="auto" w:fill="C7CDE8"/>
          </w:tcPr>
          <w:p>
            <w:pPr>
              <w:spacing w:after="0"/>
              <w:rPr>
                <w:sz w:val="22"/>
                <w:szCs w:val="22"/>
                <w:color w:val="auto"/>
              </w:rPr>
            </w:pPr>
          </w:p>
        </w:tc>
        <w:tc>
          <w:tcPr>
            <w:tcW w:w="740" w:type="dxa"/>
            <w:vAlign w:val="bottom"/>
            <w:tcBorders>
              <w:top w:val="single" w:sz="8" w:color="auto"/>
            </w:tcBorders>
            <w:shd w:val="clear" w:color="auto" w:fill="C7CDE8"/>
          </w:tcPr>
          <w:p>
            <w:pPr>
              <w:jc w:val="right"/>
              <w:ind w:right="88"/>
              <w:spacing w:after="0"/>
              <w:rPr>
                <w:sz w:val="20"/>
                <w:szCs w:val="20"/>
                <w:color w:val="auto"/>
              </w:rPr>
            </w:pPr>
            <w:r>
              <w:rPr>
                <w:rFonts w:ascii="Times New Roman" w:cs="Times New Roman" w:eastAsia="Times New Roman" w:hAnsi="Times New Roman"/>
                <w:sz w:val="14"/>
                <w:szCs w:val="14"/>
                <w:color w:val="auto"/>
              </w:rPr>
              <w:t>31,887</w:t>
            </w:r>
          </w:p>
        </w:tc>
        <w:tc>
          <w:tcPr>
            <w:tcW w:w="80" w:type="dxa"/>
            <w:vAlign w:val="bottom"/>
            <w:shd w:val="clear" w:color="auto" w:fill="C7CDE8"/>
          </w:tcPr>
          <w:p>
            <w:pPr>
              <w:spacing w:after="0"/>
              <w:rPr>
                <w:sz w:val="22"/>
                <w:szCs w:val="22"/>
                <w:color w:val="auto"/>
              </w:rPr>
            </w:pPr>
          </w:p>
        </w:tc>
        <w:tc>
          <w:tcPr>
            <w:tcW w:w="860" w:type="dxa"/>
            <w:vAlign w:val="bottom"/>
            <w:tcBorders>
              <w:top w:val="single" w:sz="8" w:color="auto"/>
            </w:tcBorders>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2"/>
                <w:szCs w:val="22"/>
                <w:color w:val="auto"/>
              </w:rPr>
            </w:pPr>
          </w:p>
        </w:tc>
        <w:tc>
          <w:tcPr>
            <w:tcW w:w="640" w:type="dxa"/>
            <w:vAlign w:val="bottom"/>
            <w:tcBorders>
              <w:top w:val="single" w:sz="8" w:color="auto"/>
            </w:tcBorders>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shd w:val="clear" w:color="auto" w:fill="C7CDE8"/>
          </w:tcPr>
          <w:p>
            <w:pPr>
              <w:spacing w:after="0"/>
              <w:rPr>
                <w:sz w:val="22"/>
                <w:szCs w:val="22"/>
                <w:color w:val="auto"/>
              </w:rPr>
            </w:pPr>
          </w:p>
        </w:tc>
        <w:tc>
          <w:tcPr>
            <w:tcW w:w="640" w:type="dxa"/>
            <w:vAlign w:val="bottom"/>
            <w:tcBorders>
              <w:top w:val="single" w:sz="8" w:color="auto"/>
            </w:tcBorders>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8/7/2024</w:t>
            </w:r>
          </w:p>
        </w:tc>
        <w:tc>
          <w:tcPr>
            <w:tcW w:w="80" w:type="dxa"/>
            <w:vAlign w:val="bottom"/>
            <w:shd w:val="clear" w:color="auto" w:fill="C7CDE8"/>
          </w:tcPr>
          <w:p>
            <w:pPr>
              <w:spacing w:after="0"/>
              <w:rPr>
                <w:sz w:val="22"/>
                <w:szCs w:val="22"/>
                <w:color w:val="auto"/>
              </w:rPr>
            </w:pPr>
          </w:p>
        </w:tc>
        <w:tc>
          <w:tcPr>
            <w:tcW w:w="700" w:type="dxa"/>
            <w:vAlign w:val="bottom"/>
            <w:tcBorders>
              <w:top w:val="single" w:sz="8" w:color="auto"/>
            </w:tcBorders>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2"/>
                <w:szCs w:val="22"/>
                <w:color w:val="auto"/>
              </w:rPr>
            </w:pPr>
          </w:p>
        </w:tc>
        <w:tc>
          <w:tcPr>
            <w:tcW w:w="680" w:type="dxa"/>
            <w:vAlign w:val="bottom"/>
            <w:tcBorders>
              <w:top w:val="single" w:sz="8" w:color="auto"/>
            </w:tcBorders>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6/1/2021</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130,951</w:t>
            </w:r>
          </w:p>
        </w:tc>
        <w:tc>
          <w:tcPr>
            <w:tcW w:w="76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235,712</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7/27/2021</w:t>
            </w:r>
          </w:p>
        </w:tc>
        <w:tc>
          <w:tcPr>
            <w:tcW w:w="600" w:type="dxa"/>
            <w:vAlign w:val="bottom"/>
            <w:gridSpan w:val="2"/>
            <w:shd w:val="clear" w:color="auto" w:fill="C7CDE8"/>
          </w:tcPr>
          <w:p>
            <w:pPr>
              <w:ind w:left="80"/>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1120" w:type="dxa"/>
            <w:vAlign w:val="bottom"/>
            <w:gridSpan w:val="3"/>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7/27/2021</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392,772</w:t>
            </w:r>
          </w:p>
        </w:tc>
        <w:tc>
          <w:tcPr>
            <w:tcW w:w="76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706,990</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7/27/2021</w:t>
            </w:r>
          </w:p>
        </w:tc>
        <w:tc>
          <w:tcPr>
            <w:tcW w:w="600" w:type="dxa"/>
            <w:vAlign w:val="bottom"/>
            <w:gridSpan w:val="2"/>
            <w:shd w:val="clear" w:color="auto" w:fill="C7CDE8"/>
          </w:tcPr>
          <w:p>
            <w:pPr>
              <w:ind w:left="80"/>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1120" w:type="dxa"/>
            <w:vAlign w:val="bottom"/>
            <w:gridSpan w:val="3"/>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7/27/2021</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49,097</w:t>
            </w:r>
          </w:p>
        </w:tc>
        <w:tc>
          <w:tcPr>
            <w:tcW w:w="76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88,375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7/27/2021</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1120" w:type="dxa"/>
            <w:vAlign w:val="bottom"/>
            <w:gridSpan w:val="3"/>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7/27/2021</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49,097</w:t>
            </w:r>
          </w:p>
        </w:tc>
        <w:tc>
          <w:tcPr>
            <w:tcW w:w="76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88,375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7/27/2021</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1120" w:type="dxa"/>
            <w:vAlign w:val="bottom"/>
            <w:gridSpan w:val="3"/>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40" w:type="dxa"/>
            <w:vAlign w:val="bottom"/>
            <w:shd w:val="clear" w:color="auto" w:fill="C7CDE8"/>
          </w:tcPr>
          <w:p>
            <w:pPr>
              <w:spacing w:after="0"/>
              <w:rPr>
                <w:sz w:val="21"/>
                <w:szCs w:val="21"/>
                <w:color w:val="auto"/>
              </w:rPr>
            </w:pPr>
          </w:p>
        </w:tc>
        <w:tc>
          <w:tcPr>
            <w:tcW w:w="1080" w:type="dxa"/>
            <w:vAlign w:val="bottom"/>
            <w:gridSpan w:val="2"/>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6/1/2022</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600,283</w:t>
            </w:r>
          </w:p>
        </w:tc>
        <w:tc>
          <w:tcPr>
            <w:tcW w:w="76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1,080,509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7/26/2022</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40" w:type="dxa"/>
            <w:vAlign w:val="bottom"/>
            <w:shd w:val="clear" w:color="auto" w:fill="C7CDE8"/>
          </w:tcPr>
          <w:p>
            <w:pPr>
              <w:spacing w:after="0"/>
              <w:rPr>
                <w:sz w:val="9"/>
                <w:szCs w:val="9"/>
                <w:color w:val="auto"/>
              </w:rPr>
            </w:pPr>
          </w:p>
        </w:tc>
        <w:tc>
          <w:tcPr>
            <w:tcW w:w="1080" w:type="dxa"/>
            <w:vAlign w:val="bottom"/>
            <w:gridSpan w:val="2"/>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40" w:type="dxa"/>
            <w:vAlign w:val="bottom"/>
            <w:shd w:val="clear" w:color="auto" w:fill="C7CDE8"/>
          </w:tcPr>
          <w:p>
            <w:pPr>
              <w:spacing w:after="0"/>
              <w:rPr>
                <w:sz w:val="21"/>
                <w:szCs w:val="21"/>
                <w:color w:val="auto"/>
              </w:rPr>
            </w:pPr>
          </w:p>
        </w:tc>
        <w:tc>
          <w:tcPr>
            <w:tcW w:w="60" w:type="dxa"/>
            <w:vAlign w:val="bottom"/>
            <w:shd w:val="clear" w:color="auto" w:fill="C7CDE8"/>
          </w:tcPr>
          <w:p>
            <w:pPr>
              <w:spacing w:after="0"/>
              <w:rPr>
                <w:sz w:val="21"/>
                <w:szCs w:val="21"/>
                <w:color w:val="auto"/>
              </w:rPr>
            </w:pPr>
          </w:p>
        </w:tc>
        <w:tc>
          <w:tcPr>
            <w:tcW w:w="1020" w:type="dxa"/>
            <w:vAlign w:val="bottom"/>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7/26/2022</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1,412,430</w:t>
            </w:r>
          </w:p>
        </w:tc>
        <w:tc>
          <w:tcPr>
            <w:tcW w:w="76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2,542,374</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7/26/2022</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40" w:type="dxa"/>
            <w:vAlign w:val="bottom"/>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1020" w:type="dxa"/>
            <w:vAlign w:val="bottom"/>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40" w:type="dxa"/>
            <w:vAlign w:val="bottom"/>
            <w:shd w:val="clear" w:color="auto" w:fill="C7CDE8"/>
          </w:tcPr>
          <w:p>
            <w:pPr>
              <w:spacing w:after="0"/>
              <w:rPr>
                <w:sz w:val="21"/>
                <w:szCs w:val="21"/>
                <w:color w:val="auto"/>
              </w:rPr>
            </w:pPr>
          </w:p>
        </w:tc>
        <w:tc>
          <w:tcPr>
            <w:tcW w:w="60" w:type="dxa"/>
            <w:vAlign w:val="bottom"/>
            <w:shd w:val="clear" w:color="auto" w:fill="C7CDE8"/>
          </w:tcPr>
          <w:p>
            <w:pPr>
              <w:spacing w:after="0"/>
              <w:rPr>
                <w:sz w:val="21"/>
                <w:szCs w:val="21"/>
                <w:color w:val="auto"/>
              </w:rPr>
            </w:pPr>
          </w:p>
        </w:tc>
        <w:tc>
          <w:tcPr>
            <w:tcW w:w="1020" w:type="dxa"/>
            <w:vAlign w:val="bottom"/>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6/1/2023</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2,356,218</w:t>
            </w:r>
          </w:p>
        </w:tc>
        <w:tc>
          <w:tcPr>
            <w:tcW w:w="76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4,241,192</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7/26/2023</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40" w:type="dxa"/>
            <w:vAlign w:val="bottom"/>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1020" w:type="dxa"/>
            <w:vAlign w:val="bottom"/>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40" w:type="dxa"/>
            <w:vAlign w:val="bottom"/>
            <w:shd w:val="clear" w:color="auto" w:fill="C7CDE8"/>
          </w:tcPr>
          <w:p>
            <w:pPr>
              <w:spacing w:after="0"/>
              <w:rPr>
                <w:sz w:val="21"/>
                <w:szCs w:val="21"/>
                <w:color w:val="auto"/>
              </w:rPr>
            </w:pPr>
          </w:p>
        </w:tc>
        <w:tc>
          <w:tcPr>
            <w:tcW w:w="60" w:type="dxa"/>
            <w:vAlign w:val="bottom"/>
            <w:shd w:val="clear" w:color="auto" w:fill="C7CDE8"/>
          </w:tcPr>
          <w:p>
            <w:pPr>
              <w:spacing w:after="0"/>
              <w:rPr>
                <w:sz w:val="21"/>
                <w:szCs w:val="21"/>
                <w:color w:val="auto"/>
              </w:rPr>
            </w:pPr>
          </w:p>
        </w:tc>
        <w:tc>
          <w:tcPr>
            <w:tcW w:w="1020" w:type="dxa"/>
            <w:vAlign w:val="bottom"/>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7/26/2023</w:t>
            </w:r>
          </w:p>
        </w:tc>
        <w:tc>
          <w:tcPr>
            <w:tcW w:w="100" w:type="dxa"/>
            <w:vAlign w:val="bottom"/>
            <w:shd w:val="clear" w:color="auto" w:fill="C7CDE8"/>
          </w:tcPr>
          <w:p>
            <w:pPr>
              <w:spacing w:after="0"/>
              <w:rPr>
                <w:sz w:val="21"/>
                <w:szCs w:val="21"/>
                <w:color w:val="auto"/>
              </w:rPr>
            </w:pPr>
          </w:p>
        </w:tc>
        <w:tc>
          <w:tcPr>
            <w:tcW w:w="740" w:type="dxa"/>
            <w:vAlign w:val="bottom"/>
            <w:vMerge w:val="restart"/>
            <w:shd w:val="clear" w:color="auto" w:fill="C7CDE8"/>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vMerge w:val="restart"/>
            <w:shd w:val="clear" w:color="auto" w:fill="C7CDE8"/>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720" w:type="dxa"/>
            <w:vAlign w:val="bottom"/>
            <w:gridSpan w:val="2"/>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4,403,064</w:t>
            </w:r>
          </w:p>
        </w:tc>
        <w:tc>
          <w:tcPr>
            <w:tcW w:w="76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7,925,515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97"/>
              <w:spacing w:after="0" w:line="108" w:lineRule="exact"/>
              <w:rPr>
                <w:sz w:val="20"/>
                <w:szCs w:val="20"/>
                <w:color w:val="auto"/>
              </w:rPr>
            </w:pPr>
            <w:r>
              <w:rPr>
                <w:rFonts w:ascii="Times New Roman" w:cs="Times New Roman" w:eastAsia="Times New Roman" w:hAnsi="Times New Roman"/>
                <w:sz w:val="12"/>
                <w:szCs w:val="12"/>
                <w:color w:val="auto"/>
              </w:rPr>
              <w:t>7/26/2023</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40" w:type="dxa"/>
            <w:vAlign w:val="bottom"/>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1020" w:type="dxa"/>
            <w:vAlign w:val="bottom"/>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vMerge w:val="continue"/>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720" w:type="dxa"/>
            <w:vAlign w:val="bottom"/>
            <w:gridSpan w:val="2"/>
            <w:vMerge w:val="continue"/>
            <w:shd w:val="clear" w:color="auto" w:fill="C7CDE8"/>
          </w:tcPr>
          <w:p>
            <w:pPr>
              <w:spacing w:after="0"/>
              <w:rPr>
                <w:sz w:val="9"/>
                <w:szCs w:val="9"/>
                <w:color w:val="auto"/>
              </w:rPr>
            </w:pPr>
          </w:p>
        </w:tc>
        <w:tc>
          <w:tcPr>
            <w:tcW w:w="640" w:type="dxa"/>
            <w:vAlign w:val="bottom"/>
            <w:vMerge w:val="continue"/>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shd w:val="clear" w:color="auto" w:fill="C7CDE8"/>
          </w:tcPr>
          <w:p>
            <w:pPr>
              <w:spacing w:after="0"/>
              <w:rPr>
                <w:sz w:val="21"/>
                <w:szCs w:val="21"/>
                <w:color w:val="auto"/>
              </w:rPr>
            </w:pPr>
          </w:p>
        </w:tc>
        <w:tc>
          <w:tcPr>
            <w:tcW w:w="520" w:type="dxa"/>
            <w:vAlign w:val="bottom"/>
            <w:shd w:val="clear" w:color="auto" w:fill="C7CDE8"/>
          </w:tcPr>
          <w:p>
            <w:pPr>
              <w:spacing w:after="0"/>
              <w:rPr>
                <w:sz w:val="20"/>
                <w:szCs w:val="20"/>
                <w:color w:val="auto"/>
              </w:rPr>
            </w:pPr>
            <w:r>
              <w:rPr>
                <w:rFonts w:ascii="Times New Roman" w:cs="Times New Roman" w:eastAsia="Times New Roman" w:hAnsi="Times New Roman"/>
                <w:sz w:val="14"/>
                <w:szCs w:val="14"/>
                <w:color w:val="auto"/>
              </w:rPr>
              <w:t>EIP</w:t>
            </w:r>
          </w:p>
        </w:tc>
        <w:tc>
          <w:tcPr>
            <w:tcW w:w="40" w:type="dxa"/>
            <w:vAlign w:val="bottom"/>
            <w:shd w:val="clear" w:color="auto" w:fill="C7CDE8"/>
          </w:tcPr>
          <w:p>
            <w:pPr>
              <w:spacing w:after="0"/>
              <w:rPr>
                <w:sz w:val="21"/>
                <w:szCs w:val="21"/>
                <w:color w:val="auto"/>
              </w:rPr>
            </w:pPr>
          </w:p>
        </w:tc>
        <w:tc>
          <w:tcPr>
            <w:tcW w:w="60" w:type="dxa"/>
            <w:vAlign w:val="bottom"/>
            <w:shd w:val="clear" w:color="auto" w:fill="C7CDE8"/>
          </w:tcPr>
          <w:p>
            <w:pPr>
              <w:spacing w:after="0"/>
              <w:rPr>
                <w:sz w:val="21"/>
                <w:szCs w:val="21"/>
                <w:color w:val="auto"/>
              </w:rPr>
            </w:pPr>
          </w:p>
        </w:tc>
        <w:tc>
          <w:tcPr>
            <w:tcW w:w="1020" w:type="dxa"/>
            <w:vAlign w:val="bottom"/>
            <w:vMerge w:val="restart"/>
            <w:shd w:val="clear" w:color="auto" w:fill="C7CDE8"/>
          </w:tcPr>
          <w:p>
            <w:pPr>
              <w:jc w:val="right"/>
              <w:ind w:right="128"/>
              <w:spacing w:after="0"/>
              <w:rPr>
                <w:sz w:val="20"/>
                <w:szCs w:val="20"/>
                <w:color w:val="auto"/>
              </w:rPr>
            </w:pPr>
            <w:r>
              <w:rPr>
                <w:rFonts w:ascii="Times New Roman" w:cs="Times New Roman" w:eastAsia="Times New Roman" w:hAnsi="Times New Roman"/>
                <w:sz w:val="14"/>
                <w:szCs w:val="14"/>
                <w:color w:val="auto"/>
              </w:rPr>
              <w:t>6/1/2024</w:t>
            </w:r>
          </w:p>
        </w:tc>
        <w:tc>
          <w:tcPr>
            <w:tcW w:w="100" w:type="dxa"/>
            <w:vAlign w:val="bottom"/>
            <w:shd w:val="clear" w:color="auto" w:fill="C7CDE8"/>
          </w:tcPr>
          <w:p>
            <w:pPr>
              <w:spacing w:after="0"/>
              <w:rPr>
                <w:sz w:val="21"/>
                <w:szCs w:val="21"/>
                <w:color w:val="auto"/>
              </w:rPr>
            </w:pPr>
          </w:p>
        </w:tc>
        <w:tc>
          <w:tcPr>
            <w:tcW w:w="74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64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640" w:type="dxa"/>
            <w:vAlign w:val="bottom"/>
            <w:shd w:val="clear" w:color="auto" w:fill="C7CDE8"/>
          </w:tcPr>
          <w:p>
            <w:pPr>
              <w:spacing w:after="0"/>
              <w:rPr>
                <w:sz w:val="21"/>
                <w:szCs w:val="21"/>
                <w:color w:val="auto"/>
              </w:rPr>
            </w:pPr>
          </w:p>
        </w:tc>
        <w:tc>
          <w:tcPr>
            <w:tcW w:w="78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4,403,064</w:t>
            </w:r>
          </w:p>
        </w:tc>
        <w:tc>
          <w:tcPr>
            <w:tcW w:w="760" w:type="dxa"/>
            <w:vAlign w:val="bottom"/>
            <w:gridSpan w:val="2"/>
            <w:vMerge w:val="restart"/>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7,925,515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760" w:type="dxa"/>
            <w:vAlign w:val="bottom"/>
            <w:shd w:val="clear" w:color="auto" w:fill="C7CDE8"/>
          </w:tcPr>
          <w:p>
            <w:pPr>
              <w:jc w:val="right"/>
              <w:ind w:right="77"/>
              <w:spacing w:after="0" w:line="108" w:lineRule="exact"/>
              <w:rPr>
                <w:sz w:val="20"/>
                <w:szCs w:val="20"/>
                <w:color w:val="auto"/>
              </w:rPr>
            </w:pPr>
            <w:r>
              <w:rPr>
                <w:rFonts w:ascii="Times New Roman" w:cs="Times New Roman" w:eastAsia="Times New Roman" w:hAnsi="Times New Roman"/>
                <w:sz w:val="12"/>
                <w:szCs w:val="12"/>
                <w:color w:val="auto"/>
              </w:rPr>
              <w:t>4/5/2024</w:t>
            </w:r>
          </w:p>
        </w:tc>
        <w:tc>
          <w:tcPr>
            <w:tcW w:w="80" w:type="dxa"/>
            <w:vAlign w:val="bottom"/>
            <w:shd w:val="clear" w:color="auto" w:fill="C7CDE8"/>
          </w:tcPr>
          <w:p>
            <w:pPr>
              <w:spacing w:after="0"/>
              <w:rPr>
                <w:sz w:val="9"/>
                <w:szCs w:val="9"/>
                <w:color w:val="auto"/>
              </w:rPr>
            </w:pPr>
          </w:p>
        </w:tc>
        <w:tc>
          <w:tcPr>
            <w:tcW w:w="520" w:type="dxa"/>
            <w:vAlign w:val="bottom"/>
            <w:shd w:val="clear" w:color="auto" w:fill="C7CDE8"/>
          </w:tcPr>
          <w:p>
            <w:pPr>
              <w:spacing w:after="0" w:line="108" w:lineRule="exact"/>
              <w:rPr>
                <w:sz w:val="20"/>
                <w:szCs w:val="20"/>
                <w:color w:val="auto"/>
              </w:rPr>
            </w:pPr>
            <w:r>
              <w:rPr>
                <w:rFonts w:ascii="Times New Roman" w:cs="Times New Roman" w:eastAsia="Times New Roman" w:hAnsi="Times New Roman"/>
                <w:sz w:val="12"/>
                <w:szCs w:val="12"/>
                <w:color w:val="auto"/>
              </w:rPr>
              <w:t>2018</w:t>
            </w:r>
          </w:p>
        </w:tc>
        <w:tc>
          <w:tcPr>
            <w:tcW w:w="40" w:type="dxa"/>
            <w:vAlign w:val="bottom"/>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1020" w:type="dxa"/>
            <w:vAlign w:val="bottom"/>
            <w:vMerge w:val="continue"/>
            <w:shd w:val="clear" w:color="auto" w:fill="C7CDE8"/>
          </w:tcPr>
          <w:p>
            <w:pPr>
              <w:spacing w:after="0"/>
              <w:rPr>
                <w:sz w:val="9"/>
                <w:szCs w:val="9"/>
                <w:color w:val="auto"/>
              </w:rPr>
            </w:pPr>
          </w:p>
        </w:tc>
        <w:tc>
          <w:tcPr>
            <w:tcW w:w="100" w:type="dxa"/>
            <w:vAlign w:val="bottom"/>
            <w:shd w:val="clear" w:color="auto" w:fill="C7CDE8"/>
          </w:tcPr>
          <w:p>
            <w:pPr>
              <w:spacing w:after="0"/>
              <w:rPr>
                <w:sz w:val="9"/>
                <w:szCs w:val="9"/>
                <w:color w:val="auto"/>
              </w:rPr>
            </w:pPr>
          </w:p>
        </w:tc>
        <w:tc>
          <w:tcPr>
            <w:tcW w:w="740" w:type="dxa"/>
            <w:vAlign w:val="bottom"/>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860" w:type="dxa"/>
            <w:vAlign w:val="bottom"/>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640" w:type="dxa"/>
            <w:vAlign w:val="bottom"/>
            <w:shd w:val="clear" w:color="auto" w:fill="C7CDE8"/>
          </w:tcPr>
          <w:p>
            <w:pPr>
              <w:spacing w:after="0"/>
              <w:rPr>
                <w:sz w:val="9"/>
                <w:szCs w:val="9"/>
                <w:color w:val="auto"/>
              </w:rPr>
            </w:pPr>
          </w:p>
        </w:tc>
        <w:tc>
          <w:tcPr>
            <w:tcW w:w="80" w:type="dxa"/>
            <w:vAlign w:val="bottom"/>
            <w:shd w:val="clear" w:color="auto" w:fill="C7CDE8"/>
          </w:tcPr>
          <w:p>
            <w:pPr>
              <w:spacing w:after="0"/>
              <w:rPr>
                <w:sz w:val="9"/>
                <w:szCs w:val="9"/>
                <w:color w:val="auto"/>
              </w:rPr>
            </w:pPr>
          </w:p>
        </w:tc>
        <w:tc>
          <w:tcPr>
            <w:tcW w:w="640" w:type="dxa"/>
            <w:vAlign w:val="bottom"/>
            <w:shd w:val="clear" w:color="auto" w:fill="C7CDE8"/>
          </w:tcPr>
          <w:p>
            <w:pPr>
              <w:spacing w:after="0"/>
              <w:rPr>
                <w:sz w:val="9"/>
                <w:szCs w:val="9"/>
                <w:color w:val="auto"/>
              </w:rPr>
            </w:pPr>
          </w:p>
        </w:tc>
        <w:tc>
          <w:tcPr>
            <w:tcW w:w="780" w:type="dxa"/>
            <w:vAlign w:val="bottom"/>
            <w:gridSpan w:val="2"/>
            <w:vMerge w:val="continue"/>
            <w:shd w:val="clear" w:color="auto" w:fill="C7CDE8"/>
          </w:tcPr>
          <w:p>
            <w:pPr>
              <w:spacing w:after="0"/>
              <w:rPr>
                <w:sz w:val="9"/>
                <w:szCs w:val="9"/>
                <w:color w:val="auto"/>
              </w:rPr>
            </w:pPr>
          </w:p>
        </w:tc>
        <w:tc>
          <w:tcPr>
            <w:tcW w:w="760" w:type="dxa"/>
            <w:vAlign w:val="bottom"/>
            <w:gridSpan w:val="2"/>
            <w:vMerge w:val="continue"/>
            <w:shd w:val="clear" w:color="auto" w:fill="C7CDE8"/>
          </w:tcPr>
          <w:p>
            <w:pPr>
              <w:spacing w:after="0"/>
              <w:rPr>
                <w:sz w:val="9"/>
                <w:szCs w:val="9"/>
                <w:color w:val="auto"/>
              </w:rPr>
            </w:pPr>
          </w:p>
        </w:tc>
        <w:tc>
          <w:tcPr>
            <w:tcW w:w="60" w:type="dxa"/>
            <w:vAlign w:val="bottom"/>
            <w:shd w:val="clear" w:color="auto" w:fill="C7CDE8"/>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7/26/2021</w:t>
            </w:r>
          </w:p>
        </w:tc>
        <w:tc>
          <w:tcPr>
            <w:tcW w:w="100" w:type="dxa"/>
            <w:vAlign w:val="bottom"/>
          </w:tcPr>
          <w:p>
            <w:pPr>
              <w:spacing w:after="0"/>
              <w:rPr>
                <w:sz w:val="21"/>
                <w:szCs w:val="21"/>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87,592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7/26/2021</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7/26/2021</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7/26/2021</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7/26/2021</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7/26/2021</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6/1/2021</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16,224</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7/26/2021</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6/1/2022</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92,753</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166,955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7/26/2022</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7/26/2022</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187,854</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338,137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7/26/2022</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6/1/2023</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348,954</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628,117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760" w:type="dxa"/>
            <w:vAlign w:val="bottom"/>
          </w:tcPr>
          <w:p>
            <w:pPr>
              <w:jc w:val="right"/>
              <w:ind w:right="97"/>
              <w:spacing w:after="0" w:line="113" w:lineRule="exact"/>
              <w:rPr>
                <w:sz w:val="20"/>
                <w:szCs w:val="20"/>
                <w:color w:val="auto"/>
              </w:rPr>
            </w:pPr>
            <w:r>
              <w:rPr>
                <w:rFonts w:ascii="Times New Roman" w:cs="Times New Roman" w:eastAsia="Times New Roman" w:hAnsi="Times New Roman"/>
                <w:sz w:val="13"/>
                <w:szCs w:val="13"/>
                <w:color w:val="auto"/>
              </w:rPr>
              <w:t>7/26/2023</w:t>
            </w:r>
          </w:p>
        </w:tc>
        <w:tc>
          <w:tcPr>
            <w:tcW w:w="600" w:type="dxa"/>
            <w:vAlign w:val="bottom"/>
            <w:gridSpan w:val="2"/>
          </w:tcPr>
          <w:p>
            <w:pPr>
              <w:ind w:left="80"/>
              <w:spacing w:after="0" w:line="113" w:lineRule="exact"/>
              <w:rPr>
                <w:sz w:val="20"/>
                <w:szCs w:val="20"/>
                <w:color w:val="auto"/>
              </w:rPr>
            </w:pPr>
            <w:r>
              <w:rPr>
                <w:rFonts w:ascii="Times New Roman" w:cs="Times New Roman" w:eastAsia="Times New Roman" w:hAnsi="Times New Roman"/>
                <w:sz w:val="13"/>
                <w:szCs w:val="13"/>
                <w:color w:val="auto"/>
              </w:rPr>
              <w:t>2018</w:t>
            </w: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w:t>
            </w:r>
          </w:p>
        </w:tc>
        <w:tc>
          <w:tcPr>
            <w:tcW w:w="112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7/26/2023</w:t>
            </w:r>
          </w:p>
        </w:tc>
        <w:tc>
          <w:tcPr>
            <w:tcW w:w="100" w:type="dxa"/>
            <w:vAlign w:val="bottom"/>
          </w:tcPr>
          <w:p>
            <w:pPr>
              <w:spacing w:after="0"/>
              <w:rPr>
                <w:sz w:val="20"/>
                <w:szCs w:val="20"/>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8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618,311</w:t>
            </w:r>
          </w:p>
        </w:tc>
        <w:tc>
          <w:tcPr>
            <w:tcW w:w="7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1,112,960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4"/>
        </w:trPr>
        <w:tc>
          <w:tcPr>
            <w:tcW w:w="40" w:type="dxa"/>
            <w:vAlign w:val="bottom"/>
          </w:tcPr>
          <w:p>
            <w:pPr>
              <w:spacing w:after="0"/>
              <w:rPr>
                <w:sz w:val="10"/>
                <w:szCs w:val="10"/>
                <w:color w:val="auto"/>
              </w:rPr>
            </w:pPr>
          </w:p>
        </w:tc>
        <w:tc>
          <w:tcPr>
            <w:tcW w:w="760" w:type="dxa"/>
            <w:vAlign w:val="bottom"/>
          </w:tcPr>
          <w:p>
            <w:pPr>
              <w:jc w:val="right"/>
              <w:ind w:right="97"/>
              <w:spacing w:after="0" w:line="125" w:lineRule="exact"/>
              <w:rPr>
                <w:sz w:val="20"/>
                <w:szCs w:val="20"/>
                <w:color w:val="auto"/>
              </w:rPr>
            </w:pPr>
            <w:r>
              <w:rPr>
                <w:rFonts w:ascii="Times New Roman" w:cs="Times New Roman" w:eastAsia="Times New Roman" w:hAnsi="Times New Roman"/>
                <w:sz w:val="14"/>
                <w:szCs w:val="14"/>
                <w:color w:val="auto"/>
              </w:rPr>
              <w:t>7/26/2023</w:t>
            </w:r>
          </w:p>
        </w:tc>
        <w:tc>
          <w:tcPr>
            <w:tcW w:w="6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color w:val="auto"/>
              </w:rPr>
              <w:t>2018</w:t>
            </w: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4/5/2024</w:t>
            </w:r>
            <w:r>
              <w:rPr>
                <w:rFonts w:ascii="Times New Roman" w:cs="Times New Roman" w:eastAsia="Times New Roman" w:hAnsi="Times New Roman"/>
                <w:sz w:val="23"/>
                <w:szCs w:val="23"/>
                <w:color w:val="auto"/>
                <w:vertAlign w:val="superscript"/>
              </w:rPr>
              <w:t>(8)</w:t>
            </w:r>
          </w:p>
        </w:tc>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EIP2018</w:t>
            </w:r>
          </w:p>
        </w:tc>
        <w:tc>
          <w:tcPr>
            <w:tcW w:w="11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6/1/2024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618,311</w:t>
            </w:r>
          </w:p>
        </w:tc>
        <w:tc>
          <w:tcPr>
            <w:tcW w:w="7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1,112,960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1140" w:space="240"/>
            <w:col w:w="7639"/>
          </w:cols>
          <w:pgMar w:left="1440" w:top="122" w:right="1440"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type w:val="continuous"/>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617220" cy="16205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7220" cy="1620520"/>
                    </a:xfrm>
                    <a:prstGeom prst="rect">
                      <a:avLst/>
                    </a:prstGeom>
                    <a:noFill/>
                  </pic:spPr>
                </pic:pic>
              </a:graphicData>
            </a:graphic>
          </wp:anchor>
        </w:drawing>
      </w:r>
    </w:p>
    <w:p>
      <w:pPr>
        <w:spacing w:after="0" w:line="35" w:lineRule="exact"/>
        <w:rPr>
          <w:sz w:val="20"/>
          <w:szCs w:val="20"/>
          <w:color w:val="auto"/>
        </w:rPr>
      </w:pPr>
    </w:p>
    <w:p>
      <w:pPr>
        <w:ind w:left="340" w:right="140"/>
        <w:spacing w:after="0" w:line="264" w:lineRule="auto"/>
        <w:rPr>
          <w:sz w:val="20"/>
          <w:szCs w:val="20"/>
          <w:color w:val="auto"/>
        </w:rPr>
      </w:pPr>
      <w:r>
        <w:rPr>
          <w:rFonts w:ascii="Times New Roman" w:cs="Times New Roman" w:eastAsia="Times New Roman" w:hAnsi="Times New Roman"/>
          <w:sz w:val="14"/>
          <w:szCs w:val="14"/>
          <w:b w:val="1"/>
          <w:bCs w:val="1"/>
          <w:color w:val="auto"/>
        </w:rPr>
        <w:t>Denise Faltischek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Roger Savell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1285240</wp:posOffset>
            </wp:positionV>
            <wp:extent cx="617220" cy="140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Mitchell</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Gendel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units</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stock</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0" w:type="dxa"/>
            <w:vAlign w:val="bottom"/>
            <w:shd w:val="clear" w:color="auto" w:fill="C7CDE8"/>
          </w:tcPr>
          <w:p>
            <w:pPr>
              <w:spacing w:after="0"/>
              <w:rPr>
                <w:sz w:val="13"/>
                <w:szCs w:val="13"/>
                <w:color w:val="auto"/>
              </w:rPr>
            </w:pPr>
          </w:p>
        </w:tc>
        <w:tc>
          <w:tcPr>
            <w:tcW w:w="82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w w:val="95"/>
              </w:rPr>
              <w:t>10/17/2019</w:t>
            </w:r>
            <w:r>
              <w:rPr>
                <w:rFonts w:ascii="Times New Roman" w:cs="Times New Roman" w:eastAsia="Times New Roman" w:hAnsi="Times New Roman"/>
                <w:sz w:val="23"/>
                <w:szCs w:val="23"/>
                <w:color w:val="auto"/>
                <w:w w:val="95"/>
                <w:vertAlign w:val="superscript"/>
              </w:rPr>
              <w:t>(7)</w:t>
            </w:r>
          </w:p>
        </w:tc>
        <w:tc>
          <w:tcPr>
            <w:tcW w:w="80" w:type="dxa"/>
            <w:vAlign w:val="bottom"/>
            <w:shd w:val="clear" w:color="auto" w:fill="C7CDE8"/>
          </w:tcPr>
          <w:p>
            <w:pPr>
              <w:spacing w:after="0"/>
              <w:rPr>
                <w:sz w:val="13"/>
                <w:szCs w:val="13"/>
                <w:color w:val="auto"/>
              </w:rPr>
            </w:pPr>
          </w:p>
        </w:tc>
        <w:tc>
          <w:tcPr>
            <w:tcW w:w="560" w:type="dxa"/>
            <w:vAlign w:val="bottom"/>
            <w:shd w:val="clear" w:color="auto" w:fill="C7CDE8"/>
          </w:tcPr>
          <w:p>
            <w:pPr>
              <w:ind w:left="80"/>
              <w:spacing w:after="0" w:line="151" w:lineRule="exact"/>
              <w:rPr>
                <w:sz w:val="20"/>
                <w:szCs w:val="20"/>
                <w:color w:val="auto"/>
              </w:rPr>
            </w:pPr>
            <w:r>
              <w:rPr>
                <w:rFonts w:ascii="Times New Roman" w:cs="Times New Roman" w:eastAsia="Times New Roman" w:hAnsi="Times New Roman"/>
                <w:sz w:val="14"/>
                <w:szCs w:val="14"/>
                <w:color w:val="auto"/>
              </w:rPr>
              <w:t>APH</w:t>
            </w:r>
          </w:p>
        </w:tc>
        <w:tc>
          <w:tcPr>
            <w:tcW w:w="1100" w:type="dxa"/>
            <w:vAlign w:val="bottom"/>
            <w:gridSpan w:val="2"/>
            <w:vMerge w:val="restart"/>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10/17/2019</w:t>
            </w:r>
          </w:p>
        </w:tc>
        <w:tc>
          <w:tcPr>
            <w:tcW w:w="80" w:type="dxa"/>
            <w:vAlign w:val="bottom"/>
            <w:shd w:val="clear" w:color="auto" w:fill="C7CDE8"/>
          </w:tcPr>
          <w:p>
            <w:pPr>
              <w:spacing w:after="0"/>
              <w:rPr>
                <w:sz w:val="13"/>
                <w:szCs w:val="13"/>
                <w:color w:val="auto"/>
              </w:rPr>
            </w:pPr>
          </w:p>
        </w:tc>
        <w:tc>
          <w:tcPr>
            <w:tcW w:w="7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249,000</w:t>
            </w:r>
          </w:p>
        </w:tc>
        <w:tc>
          <w:tcPr>
            <w:tcW w:w="80" w:type="dxa"/>
            <w:vAlign w:val="bottom"/>
            <w:shd w:val="clear" w:color="auto" w:fill="C7CDE8"/>
          </w:tcPr>
          <w:p>
            <w:pPr>
              <w:spacing w:after="0"/>
              <w:rPr>
                <w:sz w:val="13"/>
                <w:szCs w:val="13"/>
                <w:color w:val="auto"/>
              </w:rPr>
            </w:pPr>
          </w:p>
        </w:tc>
        <w:tc>
          <w:tcPr>
            <w:tcW w:w="86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gridSpan w:val="3"/>
            <w:vMerge w:val="restart"/>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6.50</w:t>
            </w:r>
          </w:p>
        </w:tc>
        <w:tc>
          <w:tcPr>
            <w:tcW w:w="740" w:type="dxa"/>
            <w:vAlign w:val="bottom"/>
            <w:vMerge w:val="restart"/>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10/17/2024</w:t>
            </w:r>
          </w:p>
        </w:tc>
        <w:tc>
          <w:tcPr>
            <w:tcW w:w="100" w:type="dxa"/>
            <w:vAlign w:val="bottom"/>
            <w:shd w:val="clear" w:color="auto" w:fill="C7CDE8"/>
          </w:tcPr>
          <w:p>
            <w:pPr>
              <w:spacing w:after="0"/>
              <w:rPr>
                <w:sz w:val="13"/>
                <w:szCs w:val="13"/>
                <w:color w:val="auto"/>
              </w:rPr>
            </w:pPr>
          </w:p>
        </w:tc>
        <w:tc>
          <w:tcPr>
            <w:tcW w:w="62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13"/>
                <w:szCs w:val="13"/>
                <w:color w:val="auto"/>
              </w:rPr>
            </w:pPr>
          </w:p>
        </w:tc>
        <w:tc>
          <w:tcPr>
            <w:tcW w:w="720" w:type="dxa"/>
            <w:vAlign w:val="bottom"/>
            <w:vMerge w:val="restart"/>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7CDE8"/>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7CDE8"/>
          </w:tcPr>
          <w:p>
            <w:pPr>
              <w:spacing w:after="0"/>
              <w:rPr>
                <w:sz w:val="17"/>
                <w:szCs w:val="17"/>
                <w:color w:val="auto"/>
              </w:rPr>
            </w:pPr>
          </w:p>
        </w:tc>
        <w:tc>
          <w:tcPr>
            <w:tcW w:w="820" w:type="dxa"/>
            <w:vAlign w:val="bottom"/>
            <w:vMerge w:val="continue"/>
            <w:shd w:val="clear" w:color="auto" w:fill="C7CDE8"/>
          </w:tcPr>
          <w:p>
            <w:pPr>
              <w:spacing w:after="0"/>
              <w:rPr>
                <w:sz w:val="17"/>
                <w:szCs w:val="17"/>
                <w:color w:val="auto"/>
              </w:rPr>
            </w:pPr>
          </w:p>
        </w:tc>
        <w:tc>
          <w:tcPr>
            <w:tcW w:w="640" w:type="dxa"/>
            <w:vAlign w:val="bottom"/>
            <w:gridSpan w:val="2"/>
            <w:shd w:val="clear" w:color="auto" w:fill="C7CDE8"/>
          </w:tcPr>
          <w:p>
            <w:pPr>
              <w:ind w:left="80"/>
              <w:spacing w:after="0"/>
              <w:rPr>
                <w:sz w:val="20"/>
                <w:szCs w:val="20"/>
                <w:color w:val="auto"/>
              </w:rPr>
            </w:pPr>
            <w:r>
              <w:rPr>
                <w:rFonts w:ascii="Times New Roman" w:cs="Times New Roman" w:eastAsia="Times New Roman" w:hAnsi="Times New Roman"/>
                <w:sz w:val="14"/>
                <w:szCs w:val="14"/>
                <w:color w:val="auto"/>
              </w:rPr>
              <w:t>Ex</w:t>
            </w:r>
          </w:p>
        </w:tc>
        <w:tc>
          <w:tcPr>
            <w:tcW w:w="1100" w:type="dxa"/>
            <w:vAlign w:val="bottom"/>
            <w:gridSpan w:val="2"/>
            <w:vMerge w:val="continue"/>
            <w:shd w:val="clear" w:color="auto" w:fill="C7CDE8"/>
          </w:tcPr>
          <w:p>
            <w:pPr>
              <w:spacing w:after="0"/>
              <w:rPr>
                <w:sz w:val="17"/>
                <w:szCs w:val="17"/>
                <w:color w:val="auto"/>
              </w:rPr>
            </w:pPr>
          </w:p>
        </w:tc>
        <w:tc>
          <w:tcPr>
            <w:tcW w:w="80" w:type="dxa"/>
            <w:vAlign w:val="bottom"/>
            <w:shd w:val="clear" w:color="auto" w:fill="C7CDE8"/>
          </w:tcPr>
          <w:p>
            <w:pPr>
              <w:spacing w:after="0"/>
              <w:rPr>
                <w:sz w:val="17"/>
                <w:szCs w:val="17"/>
                <w:color w:val="auto"/>
              </w:rPr>
            </w:pPr>
          </w:p>
        </w:tc>
        <w:tc>
          <w:tcPr>
            <w:tcW w:w="760" w:type="dxa"/>
            <w:vAlign w:val="bottom"/>
            <w:vMerge w:val="continue"/>
            <w:shd w:val="clear" w:color="auto" w:fill="C7CDE8"/>
          </w:tcPr>
          <w:p>
            <w:pPr>
              <w:spacing w:after="0"/>
              <w:rPr>
                <w:sz w:val="17"/>
                <w:szCs w:val="17"/>
                <w:color w:val="auto"/>
              </w:rPr>
            </w:pPr>
          </w:p>
        </w:tc>
        <w:tc>
          <w:tcPr>
            <w:tcW w:w="80" w:type="dxa"/>
            <w:vAlign w:val="bottom"/>
            <w:shd w:val="clear" w:color="auto" w:fill="C7CDE8"/>
          </w:tcPr>
          <w:p>
            <w:pPr>
              <w:spacing w:after="0"/>
              <w:rPr>
                <w:sz w:val="17"/>
                <w:szCs w:val="17"/>
                <w:color w:val="auto"/>
              </w:rPr>
            </w:pPr>
          </w:p>
        </w:tc>
        <w:tc>
          <w:tcPr>
            <w:tcW w:w="860" w:type="dxa"/>
            <w:vAlign w:val="bottom"/>
            <w:vMerge w:val="continue"/>
            <w:shd w:val="clear" w:color="auto" w:fill="C7CDE8"/>
          </w:tcPr>
          <w:p>
            <w:pPr>
              <w:spacing w:after="0"/>
              <w:rPr>
                <w:sz w:val="17"/>
                <w:szCs w:val="17"/>
                <w:color w:val="auto"/>
              </w:rPr>
            </w:pPr>
          </w:p>
        </w:tc>
        <w:tc>
          <w:tcPr>
            <w:tcW w:w="800" w:type="dxa"/>
            <w:vAlign w:val="bottom"/>
            <w:gridSpan w:val="3"/>
            <w:vMerge w:val="continue"/>
            <w:shd w:val="clear" w:color="auto" w:fill="C7CDE8"/>
          </w:tcPr>
          <w:p>
            <w:pPr>
              <w:spacing w:after="0"/>
              <w:rPr>
                <w:sz w:val="17"/>
                <w:szCs w:val="17"/>
                <w:color w:val="auto"/>
              </w:rPr>
            </w:pPr>
          </w:p>
        </w:tc>
        <w:tc>
          <w:tcPr>
            <w:tcW w:w="740" w:type="dxa"/>
            <w:vAlign w:val="bottom"/>
            <w:vMerge w:val="continue"/>
            <w:shd w:val="clear" w:color="auto" w:fill="C7CDE8"/>
          </w:tcPr>
          <w:p>
            <w:pPr>
              <w:spacing w:after="0"/>
              <w:rPr>
                <w:sz w:val="17"/>
                <w:szCs w:val="17"/>
                <w:color w:val="auto"/>
              </w:rPr>
            </w:pPr>
          </w:p>
        </w:tc>
        <w:tc>
          <w:tcPr>
            <w:tcW w:w="100" w:type="dxa"/>
            <w:vAlign w:val="bottom"/>
            <w:shd w:val="clear" w:color="auto" w:fill="C7CDE8"/>
          </w:tcPr>
          <w:p>
            <w:pPr>
              <w:spacing w:after="0"/>
              <w:rPr>
                <w:sz w:val="17"/>
                <w:szCs w:val="17"/>
                <w:color w:val="auto"/>
              </w:rPr>
            </w:pPr>
          </w:p>
        </w:tc>
        <w:tc>
          <w:tcPr>
            <w:tcW w:w="620" w:type="dxa"/>
            <w:vAlign w:val="bottom"/>
            <w:vMerge w:val="continue"/>
            <w:shd w:val="clear" w:color="auto" w:fill="C7CDE8"/>
          </w:tcPr>
          <w:p>
            <w:pPr>
              <w:spacing w:after="0"/>
              <w:rPr>
                <w:sz w:val="17"/>
                <w:szCs w:val="17"/>
                <w:color w:val="auto"/>
              </w:rPr>
            </w:pPr>
          </w:p>
        </w:tc>
        <w:tc>
          <w:tcPr>
            <w:tcW w:w="80" w:type="dxa"/>
            <w:vAlign w:val="bottom"/>
            <w:shd w:val="clear" w:color="auto" w:fill="C7CDE8"/>
          </w:tcPr>
          <w:p>
            <w:pPr>
              <w:spacing w:after="0"/>
              <w:rPr>
                <w:sz w:val="17"/>
                <w:szCs w:val="17"/>
                <w:color w:val="auto"/>
              </w:rPr>
            </w:pPr>
          </w:p>
        </w:tc>
        <w:tc>
          <w:tcPr>
            <w:tcW w:w="720" w:type="dxa"/>
            <w:vAlign w:val="bottom"/>
            <w:vMerge w:val="continue"/>
            <w:shd w:val="clear" w:color="auto" w:fill="C7CDE8"/>
          </w:tcPr>
          <w:p>
            <w:pPr>
              <w:spacing w:after="0"/>
              <w:rPr>
                <w:sz w:val="17"/>
                <w:szCs w:val="17"/>
                <w:color w:val="auto"/>
              </w:rPr>
            </w:pPr>
          </w:p>
        </w:tc>
        <w:tc>
          <w:tcPr>
            <w:tcW w:w="60" w:type="dxa"/>
            <w:vAlign w:val="bottom"/>
            <w:shd w:val="clear" w:color="auto" w:fill="C7CDE8"/>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(2)</w:t>
            </w:r>
          </w:p>
        </w:tc>
        <w:tc>
          <w:tcPr>
            <w:tcW w:w="640" w:type="dxa"/>
            <w:vAlign w:val="bottom"/>
            <w:gridSpan w:val="2"/>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16,224</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(3)</w:t>
            </w:r>
          </w:p>
        </w:tc>
        <w:tc>
          <w:tcPr>
            <w:tcW w:w="640" w:type="dxa"/>
            <w:vAlign w:val="bottom"/>
            <w:gridSpan w:val="2"/>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87,592</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(4)</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(4)</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10,949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(5)</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6/1/2022</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123,588</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222,458</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(6)</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7/31/2022</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187,854</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338,137</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(5)</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6/1/2023</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498,705</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897,669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(8)</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7/26/2023</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627,197</w:t>
            </w:r>
          </w:p>
        </w:tc>
        <w:tc>
          <w:tcPr>
            <w:tcW w:w="800" w:type="dxa"/>
            <w:vAlign w:val="bottom"/>
            <w:gridSpan w:val="2"/>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1,128,955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4/5/2024</w:t>
            </w:r>
            <w:r>
              <w:rPr>
                <w:rFonts w:ascii="Times New Roman" w:cs="Times New Roman" w:eastAsia="Times New Roman" w:hAnsi="Times New Roman"/>
                <w:sz w:val="23"/>
                <w:szCs w:val="23"/>
                <w:color w:val="auto"/>
                <w:vertAlign w:val="superscript"/>
              </w:rPr>
              <w:t>(8)</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EIP2018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6/1/2024</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64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74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627,197</w:t>
            </w:r>
          </w:p>
        </w:tc>
        <w:tc>
          <w:tcPr>
            <w:tcW w:w="800" w:type="dxa"/>
            <w:vAlign w:val="bottom"/>
            <w:gridSpan w:val="2"/>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1,128,955</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820" w:type="dxa"/>
            <w:vAlign w:val="bottom"/>
          </w:tcPr>
          <w:p>
            <w:pPr>
              <w:jc w:val="right"/>
              <w:spacing w:after="0" w:line="259" w:lineRule="exact"/>
              <w:rPr>
                <w:sz w:val="20"/>
                <w:szCs w:val="20"/>
                <w:color w:val="auto"/>
              </w:rPr>
            </w:pPr>
            <w:r>
              <w:rPr>
                <w:rFonts w:ascii="Times New Roman" w:cs="Times New Roman" w:eastAsia="Times New Roman" w:hAnsi="Times New Roman"/>
                <w:sz w:val="14"/>
                <w:szCs w:val="14"/>
                <w:color w:val="auto"/>
              </w:rPr>
              <w:t>4/5/2022</w:t>
            </w:r>
            <w:r>
              <w:rPr>
                <w:rFonts w:ascii="Times New Roman" w:cs="Times New Roman" w:eastAsia="Times New Roman" w:hAnsi="Times New Roman"/>
                <w:sz w:val="23"/>
                <w:szCs w:val="23"/>
                <w:color w:val="auto"/>
                <w:vertAlign w:val="superscript"/>
              </w:rPr>
              <w:t>(2)</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4/5/2022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2"/>
                <w:szCs w:val="22"/>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29,830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53,694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4/5/2022</w:t>
            </w:r>
            <w:r>
              <w:rPr>
                <w:rFonts w:ascii="Times New Roman" w:cs="Times New Roman" w:eastAsia="Times New Roman" w:hAnsi="Times New Roman"/>
                <w:sz w:val="23"/>
                <w:szCs w:val="23"/>
                <w:color w:val="auto"/>
                <w:vertAlign w:val="superscript"/>
              </w:rPr>
              <w:t>(4)</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4/5/2022</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4/5/2022</w:t>
            </w:r>
            <w:r>
              <w:rPr>
                <w:rFonts w:ascii="Times New Roman" w:cs="Times New Roman" w:eastAsia="Times New Roman" w:hAnsi="Times New Roman"/>
                <w:sz w:val="23"/>
                <w:szCs w:val="23"/>
                <w:color w:val="auto"/>
                <w:vertAlign w:val="superscript"/>
              </w:rPr>
              <w:t>(4)</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4/5/2022</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11,186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4/5/2022</w:t>
            </w:r>
            <w:r>
              <w:rPr>
                <w:rFonts w:ascii="Times New Roman" w:cs="Times New Roman" w:eastAsia="Times New Roman" w:hAnsi="Times New Roman"/>
                <w:sz w:val="23"/>
                <w:szCs w:val="23"/>
                <w:color w:val="auto"/>
                <w:vertAlign w:val="superscript"/>
              </w:rPr>
              <w:t>(3)</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4/5/2022</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89,485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161,073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(6)</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7/26/2022</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187,854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338,137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(5)</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6/1/2022</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20,598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37,076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(5)</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6/1/2023</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453,368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816,062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(8)</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EIP 2028</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7/26/2023</w:t>
            </w:r>
          </w:p>
        </w:tc>
        <w:tc>
          <w:tcPr>
            <w:tcW w:w="80" w:type="dxa"/>
            <w:vAlign w:val="bottom"/>
          </w:tcPr>
          <w:p>
            <w:pPr>
              <w:spacing w:after="0"/>
              <w:rPr>
                <w:sz w:val="21"/>
                <w:szCs w:val="21"/>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21"/>
                <w:szCs w:val="2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449,353</w:t>
            </w:r>
          </w:p>
        </w:tc>
        <w:tc>
          <w:tcPr>
            <w:tcW w:w="8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808,8358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820" w:type="dxa"/>
            <w:vAlign w:val="bottom"/>
          </w:tcPr>
          <w:p>
            <w:pPr>
              <w:jc w:val="right"/>
              <w:spacing w:after="0" w:line="226" w:lineRule="exact"/>
              <w:rPr>
                <w:sz w:val="20"/>
                <w:szCs w:val="20"/>
                <w:color w:val="auto"/>
              </w:rPr>
            </w:pPr>
            <w:r>
              <w:rPr>
                <w:rFonts w:ascii="Times New Roman" w:cs="Times New Roman" w:eastAsia="Times New Roman" w:hAnsi="Times New Roman"/>
                <w:sz w:val="14"/>
                <w:szCs w:val="14"/>
                <w:color w:val="auto"/>
              </w:rPr>
              <w:t>4/5/2024</w:t>
            </w:r>
            <w:r>
              <w:rPr>
                <w:rFonts w:ascii="Times New Roman" w:cs="Times New Roman" w:eastAsia="Times New Roman" w:hAnsi="Times New Roman"/>
                <w:sz w:val="23"/>
                <w:szCs w:val="23"/>
                <w:color w:val="auto"/>
                <w:vertAlign w:val="superscript"/>
              </w:rPr>
              <w:t>(8)</w:t>
            </w:r>
          </w:p>
        </w:tc>
        <w:tc>
          <w:tcPr>
            <w:tcW w:w="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EIP2018</w:t>
            </w:r>
          </w:p>
        </w:tc>
        <w:tc>
          <w:tcPr>
            <w:tcW w:w="11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6/1/2024</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449,353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08,835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(4)</w:t>
            </w:r>
          </w:p>
        </w:tc>
        <w:tc>
          <w:tcPr>
            <w:tcW w:w="640" w:type="dxa"/>
            <w:vAlign w:val="bottom"/>
            <w:gridSpan w:val="2"/>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10,049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(4)</w:t>
            </w:r>
          </w:p>
        </w:tc>
        <w:tc>
          <w:tcPr>
            <w:tcW w:w="640" w:type="dxa"/>
            <w:vAlign w:val="bottom"/>
            <w:gridSpan w:val="2"/>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6,083</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10,049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(2)</w:t>
            </w:r>
          </w:p>
        </w:tc>
        <w:tc>
          <w:tcPr>
            <w:tcW w:w="640" w:type="dxa"/>
            <w:vAlign w:val="bottom"/>
            <w:gridSpan w:val="2"/>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16,224</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29,203</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7/26/2021</w:t>
            </w:r>
            <w:r>
              <w:rPr>
                <w:rFonts w:ascii="Times New Roman" w:cs="Times New Roman" w:eastAsia="Times New Roman" w:hAnsi="Times New Roman"/>
                <w:sz w:val="23"/>
                <w:szCs w:val="23"/>
                <w:color w:val="auto"/>
                <w:vertAlign w:val="superscript"/>
              </w:rPr>
              <w:t>(3)</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7/26/2021</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87,592</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(5)</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6/1/2022</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105,050</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189,090</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7/26/2022</w:t>
            </w:r>
            <w:r>
              <w:rPr>
                <w:rFonts w:ascii="Times New Roman" w:cs="Times New Roman" w:eastAsia="Times New Roman" w:hAnsi="Times New Roman"/>
                <w:sz w:val="23"/>
                <w:szCs w:val="23"/>
                <w:color w:val="auto"/>
                <w:vertAlign w:val="superscript"/>
              </w:rPr>
              <w:t>(6)</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1100" w:type="dxa"/>
            <w:vAlign w:val="bottom"/>
            <w:gridSpan w:val="2"/>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7/26/2022</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187,854</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338,137</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(5)</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6/1/2023</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462,435</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832,383</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20" w:type="dxa"/>
            <w:vAlign w:val="bottom"/>
            <w:shd w:val="clear" w:color="auto" w:fill="C7CDE8"/>
          </w:tcPr>
          <w:p>
            <w:pPr>
              <w:jc w:val="right"/>
              <w:spacing w:after="0" w:line="243" w:lineRule="exact"/>
              <w:rPr>
                <w:sz w:val="20"/>
                <w:szCs w:val="20"/>
                <w:color w:val="auto"/>
              </w:rPr>
            </w:pPr>
            <w:r>
              <w:rPr>
                <w:rFonts w:ascii="Times New Roman" w:cs="Times New Roman" w:eastAsia="Times New Roman" w:hAnsi="Times New Roman"/>
                <w:sz w:val="14"/>
                <w:szCs w:val="14"/>
                <w:color w:val="auto"/>
              </w:rPr>
              <w:t>7/26/2023</w:t>
            </w:r>
            <w:r>
              <w:rPr>
                <w:rFonts w:ascii="Times New Roman" w:cs="Times New Roman" w:eastAsia="Times New Roman" w:hAnsi="Times New Roman"/>
                <w:sz w:val="23"/>
                <w:szCs w:val="23"/>
                <w:color w:val="auto"/>
                <w:vertAlign w:val="superscript"/>
              </w:rPr>
              <w:t>(8)</w:t>
            </w:r>
          </w:p>
        </w:tc>
        <w:tc>
          <w:tcPr>
            <w:tcW w:w="80" w:type="dxa"/>
            <w:vAlign w:val="bottom"/>
            <w:shd w:val="clear" w:color="auto" w:fill="C7CDE8"/>
          </w:tcPr>
          <w:p>
            <w:pPr>
              <w:spacing w:after="0"/>
              <w:rPr>
                <w:sz w:val="21"/>
                <w:szCs w:val="21"/>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2028</w:t>
            </w:r>
          </w:p>
        </w:tc>
        <w:tc>
          <w:tcPr>
            <w:tcW w:w="80" w:type="dxa"/>
            <w:vAlign w:val="bottom"/>
            <w:shd w:val="clear" w:color="auto" w:fill="C7CDE8"/>
          </w:tcPr>
          <w:p>
            <w:pPr>
              <w:spacing w:after="0"/>
              <w:rPr>
                <w:sz w:val="21"/>
                <w:szCs w:val="21"/>
                <w:color w:val="auto"/>
              </w:rPr>
            </w:pPr>
          </w:p>
        </w:tc>
        <w:tc>
          <w:tcPr>
            <w:tcW w:w="1020" w:type="dxa"/>
            <w:vAlign w:val="bottom"/>
            <w:shd w:val="clear" w:color="auto" w:fill="C7CDE8"/>
          </w:tcPr>
          <w:p>
            <w:pPr>
              <w:jc w:val="right"/>
              <w:ind w:right="68"/>
              <w:spacing w:after="0"/>
              <w:rPr>
                <w:sz w:val="20"/>
                <w:szCs w:val="20"/>
                <w:color w:val="auto"/>
              </w:rPr>
            </w:pPr>
            <w:r>
              <w:rPr>
                <w:rFonts w:ascii="Times New Roman" w:cs="Times New Roman" w:eastAsia="Times New Roman" w:hAnsi="Times New Roman"/>
                <w:sz w:val="14"/>
                <w:szCs w:val="14"/>
                <w:color w:val="auto"/>
              </w:rPr>
              <w:t>7/26/2023</w:t>
            </w:r>
          </w:p>
        </w:tc>
        <w:tc>
          <w:tcPr>
            <w:tcW w:w="80" w:type="dxa"/>
            <w:vAlign w:val="bottom"/>
            <w:shd w:val="clear" w:color="auto" w:fill="C7CDE8"/>
          </w:tcPr>
          <w:p>
            <w:pPr>
              <w:spacing w:after="0"/>
              <w:rPr>
                <w:sz w:val="21"/>
                <w:szCs w:val="21"/>
                <w:color w:val="auto"/>
              </w:rPr>
            </w:pPr>
          </w:p>
        </w:tc>
        <w:tc>
          <w:tcPr>
            <w:tcW w:w="760" w:type="dxa"/>
            <w:vAlign w:val="bottom"/>
            <w:shd w:val="clear" w:color="auto" w:fill="C7CDE8"/>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7CDE8"/>
          </w:tcPr>
          <w:p>
            <w:pPr>
              <w:spacing w:after="0"/>
              <w:rPr>
                <w:sz w:val="21"/>
                <w:szCs w:val="21"/>
                <w:color w:val="auto"/>
              </w:rPr>
            </w:pPr>
          </w:p>
        </w:tc>
        <w:tc>
          <w:tcPr>
            <w:tcW w:w="8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7CDE8"/>
          </w:tcPr>
          <w:p>
            <w:pPr>
              <w:spacing w:after="0"/>
              <w:rPr>
                <w:sz w:val="21"/>
                <w:szCs w:val="21"/>
                <w:color w:val="auto"/>
              </w:rPr>
            </w:pPr>
          </w:p>
        </w:tc>
        <w:tc>
          <w:tcPr>
            <w:tcW w:w="720" w:type="dxa"/>
            <w:vAlign w:val="bottom"/>
            <w:gridSpan w:val="2"/>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7CDE8"/>
          </w:tcPr>
          <w:p>
            <w:pPr>
              <w:ind w:left="600"/>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544,773</w:t>
            </w:r>
          </w:p>
        </w:tc>
        <w:tc>
          <w:tcPr>
            <w:tcW w:w="800" w:type="dxa"/>
            <w:vAlign w:val="bottom"/>
            <w:gridSpan w:val="2"/>
            <w:shd w:val="clear" w:color="auto" w:fill="C7CDE8"/>
          </w:tcPr>
          <w:p>
            <w:pPr>
              <w:jc w:val="right"/>
              <w:ind w:right="8"/>
              <w:spacing w:after="0"/>
              <w:rPr>
                <w:sz w:val="20"/>
                <w:szCs w:val="20"/>
                <w:color w:val="auto"/>
              </w:rPr>
            </w:pPr>
            <w:r>
              <w:rPr>
                <w:rFonts w:ascii="Times New Roman" w:cs="Times New Roman" w:eastAsia="Times New Roman" w:hAnsi="Times New Roman"/>
                <w:sz w:val="14"/>
                <w:szCs w:val="14"/>
                <w:color w:val="auto"/>
              </w:rPr>
              <w:t>980,5919</w:t>
            </w:r>
          </w:p>
        </w:tc>
        <w:tc>
          <w:tcPr>
            <w:tcW w:w="6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shd w:val="clear" w:color="auto" w:fill="C7CDE8"/>
          </w:tcPr>
          <w:p>
            <w:pPr>
              <w:jc w:val="right"/>
              <w:spacing w:after="0" w:line="216" w:lineRule="exact"/>
              <w:rPr>
                <w:sz w:val="20"/>
                <w:szCs w:val="20"/>
                <w:color w:val="auto"/>
              </w:rPr>
            </w:pPr>
            <w:r>
              <w:rPr>
                <w:rFonts w:ascii="Times New Roman" w:cs="Times New Roman" w:eastAsia="Times New Roman" w:hAnsi="Times New Roman"/>
                <w:sz w:val="14"/>
                <w:szCs w:val="14"/>
                <w:color w:val="auto"/>
              </w:rPr>
              <w:t>4/5/2024</w:t>
            </w:r>
            <w:r>
              <w:rPr>
                <w:rFonts w:ascii="Times New Roman" w:cs="Times New Roman" w:eastAsia="Times New Roman" w:hAnsi="Times New Roman"/>
                <w:sz w:val="23"/>
                <w:szCs w:val="23"/>
                <w:color w:val="auto"/>
                <w:vertAlign w:val="superscript"/>
              </w:rPr>
              <w:t>(8)</w:t>
            </w:r>
          </w:p>
        </w:tc>
        <w:tc>
          <w:tcPr>
            <w:tcW w:w="80" w:type="dxa"/>
            <w:vAlign w:val="bottom"/>
            <w:shd w:val="clear" w:color="auto" w:fill="C7CDE8"/>
          </w:tcPr>
          <w:p>
            <w:pPr>
              <w:spacing w:after="0"/>
              <w:rPr>
                <w:sz w:val="18"/>
                <w:szCs w:val="18"/>
                <w:color w:val="auto"/>
              </w:rPr>
            </w:pPr>
          </w:p>
        </w:tc>
        <w:tc>
          <w:tcPr>
            <w:tcW w:w="5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EIP 2018</w:t>
            </w:r>
          </w:p>
        </w:tc>
        <w:tc>
          <w:tcPr>
            <w:tcW w:w="80" w:type="dxa"/>
            <w:vAlign w:val="bottom"/>
            <w:shd w:val="clear" w:color="auto" w:fill="C7CDE8"/>
          </w:tcPr>
          <w:p>
            <w:pPr>
              <w:spacing w:after="0"/>
              <w:rPr>
                <w:sz w:val="18"/>
                <w:szCs w:val="18"/>
                <w:color w:val="auto"/>
              </w:rPr>
            </w:pPr>
          </w:p>
        </w:tc>
        <w:tc>
          <w:tcPr>
            <w:tcW w:w="1020" w:type="dxa"/>
            <w:vAlign w:val="bottom"/>
            <w:shd w:val="clear" w:color="auto" w:fill="C7CDE8"/>
          </w:tcPr>
          <w:p>
            <w:pPr>
              <w:jc w:val="right"/>
              <w:ind w:right="48"/>
              <w:spacing w:after="0"/>
              <w:rPr>
                <w:sz w:val="20"/>
                <w:szCs w:val="20"/>
                <w:color w:val="auto"/>
              </w:rPr>
            </w:pPr>
            <w:r>
              <w:rPr>
                <w:rFonts w:ascii="Times New Roman" w:cs="Times New Roman" w:eastAsia="Times New Roman" w:hAnsi="Times New Roman"/>
                <w:sz w:val="14"/>
                <w:szCs w:val="14"/>
                <w:color w:val="auto"/>
              </w:rPr>
              <w:t>6/1/2024</w:t>
            </w:r>
          </w:p>
        </w:tc>
        <w:tc>
          <w:tcPr>
            <w:tcW w:w="80" w:type="dxa"/>
            <w:vAlign w:val="bottom"/>
            <w:shd w:val="clear" w:color="auto" w:fill="C7CDE8"/>
          </w:tcPr>
          <w:p>
            <w:pPr>
              <w:spacing w:after="0"/>
              <w:rPr>
                <w:sz w:val="18"/>
                <w:szCs w:val="18"/>
                <w:color w:val="auto"/>
              </w:rPr>
            </w:pPr>
          </w:p>
        </w:tc>
        <w:tc>
          <w:tcPr>
            <w:tcW w:w="76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86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64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740" w:type="dxa"/>
            <w:vAlign w:val="bottom"/>
            <w:shd w:val="clear" w:color="auto" w:fill="C7CDE8"/>
          </w:tcPr>
          <w:p>
            <w:pPr>
              <w:spacing w:after="0"/>
              <w:rPr>
                <w:sz w:val="18"/>
                <w:szCs w:val="18"/>
                <w:color w:val="auto"/>
              </w:rPr>
            </w:pPr>
          </w:p>
        </w:tc>
        <w:tc>
          <w:tcPr>
            <w:tcW w:w="7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544,773</w:t>
            </w:r>
          </w:p>
        </w:tc>
        <w:tc>
          <w:tcPr>
            <w:tcW w:w="8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4"/>
                <w:szCs w:val="14"/>
                <w:color w:val="auto"/>
              </w:rPr>
              <w:t>80,591</w:t>
            </w:r>
          </w:p>
        </w:tc>
        <w:tc>
          <w:tcPr>
            <w:tcW w:w="6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82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56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102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76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86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740" w:type="dxa"/>
            <w:vAlign w:val="bottom"/>
            <w:shd w:val="clear" w:color="auto" w:fill="C7CDE8"/>
          </w:tcPr>
          <w:p>
            <w:pPr>
              <w:spacing w:after="0"/>
              <w:rPr>
                <w:sz w:val="4"/>
                <w:szCs w:val="4"/>
                <w:color w:val="auto"/>
              </w:rPr>
            </w:pPr>
          </w:p>
        </w:tc>
        <w:tc>
          <w:tcPr>
            <w:tcW w:w="100" w:type="dxa"/>
            <w:vAlign w:val="bottom"/>
            <w:shd w:val="clear" w:color="auto" w:fill="C7CDE8"/>
          </w:tcPr>
          <w:p>
            <w:pPr>
              <w:spacing w:after="0"/>
              <w:rPr>
                <w:sz w:val="4"/>
                <w:szCs w:val="4"/>
                <w:color w:val="auto"/>
              </w:rPr>
            </w:pPr>
          </w:p>
        </w:tc>
        <w:tc>
          <w:tcPr>
            <w:tcW w:w="62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720" w:type="dxa"/>
            <w:vAlign w:val="bottom"/>
            <w:shd w:val="clear" w:color="auto" w:fill="C7CDE8"/>
          </w:tcPr>
          <w:p>
            <w:pPr>
              <w:spacing w:after="0"/>
              <w:rPr>
                <w:sz w:val="4"/>
                <w:szCs w:val="4"/>
                <w:color w:val="auto"/>
              </w:rPr>
            </w:pPr>
          </w:p>
        </w:tc>
        <w:tc>
          <w:tcPr>
            <w:tcW w:w="6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2">
            <w:col w:w="1120" w:space="100"/>
            <w:col w:w="7799"/>
          </w:cols>
          <w:pgMar w:left="1440" w:top="223" w:right="1440" w:bottom="1440" w:gutter="0" w:footer="0" w:header="0"/>
        </w:sectPr>
      </w:pPr>
    </w:p>
    <w:p>
      <w:pPr>
        <w:ind w:left="660"/>
        <w:spacing w:after="0"/>
        <w:rPr>
          <w:sz w:val="20"/>
          <w:szCs w:val="20"/>
          <w:color w:val="auto"/>
        </w:rPr>
      </w:pPr>
      <w:r>
        <w:rPr>
          <w:rFonts w:ascii="Times New Roman" w:cs="Times New Roman" w:eastAsia="Times New Roman" w:hAnsi="Times New Roman"/>
          <w:sz w:val="18"/>
          <w:szCs w:val="18"/>
          <w:color w:val="auto"/>
        </w:rPr>
        <w:t>The market value for each NEOs was based on the closing price $1.80 per share on May 31, 2024.</w:t>
      </w:r>
    </w:p>
    <w:p>
      <w:pPr>
        <w:spacing w:after="0" w:line="59" w:lineRule="exact"/>
        <w:rPr>
          <w:sz w:val="20"/>
          <w:szCs w:val="20"/>
          <w:color w:val="auto"/>
        </w:rPr>
      </w:pPr>
    </w:p>
    <w:p>
      <w:pPr>
        <w:ind w:left="640" w:right="8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 in three years with 1/3 of the options vesting on each anniversary of the vesting commencement date through the third anniversary of the vesting commencement date.</w:t>
      </w:r>
    </w:p>
    <w:p>
      <w:pPr>
        <w:ind w:left="640" w:right="9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vests in three years with 1/3 of the award vesting on each anniversary of the vesting commencement date through the third anniversary of the vesting commencement date.</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award vests on December 31, 2025.</w:t>
      </w:r>
    </w:p>
    <w:p>
      <w:pPr>
        <w:spacing w:after="0" w:line="41"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vests in three years with 50% of the award vesting on the first anniversary of the vesting commencement date and 25% of the award vesting on each of the second and third anniversary of the vesting commencement date.</w:t>
      </w:r>
    </w:p>
    <w:p>
      <w:pPr>
        <w:ind w:left="640" w:right="39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vests in tranches over two years with 50% of the shares subject to the awards vesting one year from the vesting commencement date and the remaining 50% of shares vesting on the second anniversary of the vesting commencement date.</w:t>
      </w:r>
    </w:p>
    <w:p>
      <w:pPr>
        <w:ind w:left="640" w:right="35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vests in three years with 50% of the award vesting on July 31, 2023, 25% of the award vesting on July 31, 2024, and 25% of the award vesting on July 31, 2025.</w:t>
      </w:r>
    </w:p>
    <w:p>
      <w:pPr>
        <w:ind w:left="640" w:hanging="348"/>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options vested on the grant date and will expire on October 17, 2024.</w:t>
      </w:r>
    </w:p>
    <w:p>
      <w:pPr>
        <w:spacing w:after="0" w:line="41"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type w:val="continuous"/>
        </w:sectPr>
      </w:pPr>
    </w:p>
    <w:bookmarkStart w:id="45" w:name="page46"/>
    <w:bookmarkEnd w:id="45"/>
    <w:p>
      <w:pPr>
        <w:ind w:left="300"/>
        <w:spacing w:after="0"/>
        <w:rPr>
          <w:sz w:val="20"/>
          <w:szCs w:val="20"/>
          <w:color w:val="auto"/>
        </w:rPr>
      </w:pPr>
      <w:r>
        <w:rPr>
          <w:rFonts w:ascii="Arial" w:cs="Arial" w:eastAsia="Arial" w:hAnsi="Arial"/>
          <w:sz w:val="18"/>
          <w:szCs w:val="18"/>
          <w:b w:val="1"/>
          <w:bCs w:val="1"/>
          <w:color w:val="00489A"/>
        </w:rPr>
        <w:t>Option Exercises And Stock Vested</w:t>
      </w:r>
    </w:p>
    <w:p>
      <w:pPr>
        <w:spacing w:after="0" w:line="103"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2024, certain information regarding option exercises and stock vested during the last fiscal year with respect to the NEOs.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Pr>
          <w:p>
            <w:pPr>
              <w:spacing w:after="0"/>
              <w:rPr>
                <w:sz w:val="16"/>
                <w:szCs w:val="16"/>
                <w:color w:val="auto"/>
              </w:rPr>
            </w:pPr>
          </w:p>
        </w:tc>
        <w:tc>
          <w:tcPr>
            <w:tcW w:w="15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60" w:type="dxa"/>
            <w:vAlign w:val="bottom"/>
          </w:tcPr>
          <w:p>
            <w:pPr>
              <w:spacing w:after="0"/>
              <w:rPr>
                <w:sz w:val="12"/>
                <w:szCs w:val="12"/>
                <w:color w:val="auto"/>
              </w:rPr>
            </w:pPr>
          </w:p>
        </w:tc>
        <w:tc>
          <w:tcPr>
            <w:tcW w:w="11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3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7CDE8"/>
            </w:tcBorders>
            <w:shd w:val="clear" w:color="auto" w:fill="C7CDE8"/>
          </w:tcPr>
          <w:p>
            <w:pPr>
              <w:spacing w:after="0"/>
              <w:rPr>
                <w:sz w:val="22"/>
                <w:szCs w:val="22"/>
                <w:color w:val="auto"/>
              </w:rPr>
            </w:pPr>
          </w:p>
        </w:tc>
        <w:tc>
          <w:tcPr>
            <w:tcW w:w="3660" w:type="dxa"/>
            <w:vAlign w:val="bottom"/>
            <w:tcBorders>
              <w:bottom w:val="single" w:sz="8" w:color="C7CDE8"/>
            </w:tcBorders>
            <w:gridSpan w:val="2"/>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Irwin Simon</w:t>
            </w:r>
          </w:p>
        </w:tc>
        <w:tc>
          <w:tcPr>
            <w:tcW w:w="114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7CDE8"/>
            </w:tcBorders>
            <w:shd w:val="clear" w:color="auto" w:fill="C7CDE8"/>
          </w:tcPr>
          <w:p>
            <w:pPr>
              <w:spacing w:after="0"/>
              <w:rPr>
                <w:sz w:val="22"/>
                <w:szCs w:val="22"/>
                <w:color w:val="auto"/>
              </w:rPr>
            </w:pPr>
          </w:p>
        </w:tc>
        <w:tc>
          <w:tcPr>
            <w:tcW w:w="96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C7CDE8"/>
            </w:tcBorders>
            <w:gridSpan w:val="2"/>
            <w:shd w:val="clear" w:color="auto" w:fill="C7CDE8"/>
          </w:tcPr>
          <w:p>
            <w:pPr>
              <w:jc w:val="right"/>
              <w:ind w:right="108"/>
              <w:spacing w:after="0"/>
              <w:rPr>
                <w:sz w:val="20"/>
                <w:szCs w:val="20"/>
                <w:color w:val="auto"/>
              </w:rPr>
            </w:pPr>
            <w:r>
              <w:rPr>
                <w:rFonts w:ascii="Times New Roman" w:cs="Times New Roman" w:eastAsia="Times New Roman" w:hAnsi="Times New Roman"/>
                <w:sz w:val="18"/>
                <w:szCs w:val="18"/>
                <w:color w:val="auto"/>
              </w:rPr>
              <w:t>1,064,119</w:t>
            </w:r>
          </w:p>
        </w:tc>
        <w:tc>
          <w:tcPr>
            <w:tcW w:w="1080" w:type="dxa"/>
            <w:vAlign w:val="bottom"/>
            <w:tcBorders>
              <w:bottom w:val="single" w:sz="8" w:color="C7CDE8"/>
            </w:tcBorders>
            <w:gridSpan w:val="3"/>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$5,209,741</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Carl Merton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162,144</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715,546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6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44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7CDE8"/>
            </w:tcBorders>
            <w:shd w:val="clear" w:color="auto" w:fill="C7CDE8"/>
          </w:tcPr>
          <w:p>
            <w:pPr>
              <w:spacing w:after="0"/>
              <w:rPr>
                <w:sz w:val="22"/>
                <w:szCs w:val="22"/>
                <w:color w:val="auto"/>
              </w:rPr>
            </w:pPr>
          </w:p>
        </w:tc>
        <w:tc>
          <w:tcPr>
            <w:tcW w:w="3660" w:type="dxa"/>
            <w:vAlign w:val="bottom"/>
            <w:tcBorders>
              <w:bottom w:val="single" w:sz="8" w:color="C7CDE8"/>
            </w:tcBorders>
            <w:gridSpan w:val="2"/>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Denise Faltischek</w:t>
            </w:r>
          </w:p>
        </w:tc>
        <w:tc>
          <w:tcPr>
            <w:tcW w:w="114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7CDE8"/>
            </w:tcBorders>
            <w:shd w:val="clear" w:color="auto" w:fill="C7CDE8"/>
          </w:tcPr>
          <w:p>
            <w:pPr>
              <w:spacing w:after="0"/>
              <w:rPr>
                <w:sz w:val="22"/>
                <w:szCs w:val="22"/>
                <w:color w:val="auto"/>
              </w:rPr>
            </w:pPr>
          </w:p>
        </w:tc>
        <w:tc>
          <w:tcPr>
            <w:tcW w:w="960" w:type="dxa"/>
            <w:vAlign w:val="bottom"/>
            <w:tcBorders>
              <w:bottom w:val="single" w:sz="8" w:color="C7CDE8"/>
            </w:tcBorders>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Borders>
              <w:bottom w:val="single" w:sz="8" w:color="C7CDE8"/>
            </w:tcBorders>
            <w:gridSpan w:val="2"/>
            <w:shd w:val="clear" w:color="auto" w:fill="C7CDE8"/>
          </w:tcPr>
          <w:p>
            <w:pPr>
              <w:jc w:val="right"/>
              <w:ind w:right="108"/>
              <w:spacing w:after="0"/>
              <w:rPr>
                <w:sz w:val="20"/>
                <w:szCs w:val="20"/>
                <w:color w:val="auto"/>
              </w:rPr>
            </w:pPr>
            <w:r>
              <w:rPr>
                <w:rFonts w:ascii="Times New Roman" w:cs="Times New Roman" w:eastAsia="Times New Roman" w:hAnsi="Times New Roman"/>
                <w:sz w:val="18"/>
                <w:szCs w:val="18"/>
                <w:color w:val="auto"/>
              </w:rPr>
              <w:t>172,872</w:t>
            </w:r>
          </w:p>
        </w:tc>
        <w:tc>
          <w:tcPr>
            <w:tcW w:w="440" w:type="dxa"/>
            <w:vAlign w:val="bottom"/>
            <w:tcBorders>
              <w:bottom w:val="single" w:sz="8" w:color="C7CDE8"/>
            </w:tcBorders>
            <w:gridSpan w:val="2"/>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7CDE8"/>
            </w:tcBorders>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762,170</w:t>
            </w:r>
          </w:p>
        </w:tc>
        <w:tc>
          <w:tcPr>
            <w:tcW w:w="80" w:type="dxa"/>
            <w:vAlign w:val="bottom"/>
            <w:tcBorders>
              <w:bottom w:val="single" w:sz="8" w:color="C7CDE8"/>
            </w:tcBorders>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Roger Savell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126,146</w:t>
            </w:r>
          </w:p>
        </w:tc>
        <w:tc>
          <w:tcPr>
            <w:tcW w:w="4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617,818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66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44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7CDE8"/>
          </w:tcPr>
          <w:p>
            <w:pPr>
              <w:spacing w:after="0"/>
              <w:rPr>
                <w:sz w:val="21"/>
                <w:szCs w:val="21"/>
                <w:color w:val="auto"/>
              </w:rPr>
            </w:pPr>
          </w:p>
        </w:tc>
        <w:tc>
          <w:tcPr>
            <w:tcW w:w="3660" w:type="dxa"/>
            <w:vAlign w:val="bottom"/>
            <w:gridSpan w:val="2"/>
            <w:shd w:val="clear" w:color="auto" w:fill="C7CDE8"/>
          </w:tcPr>
          <w:p>
            <w:pPr>
              <w:ind w:left="40"/>
              <w:spacing w:after="0"/>
              <w:rPr>
                <w:sz w:val="20"/>
                <w:szCs w:val="20"/>
                <w:color w:val="auto"/>
              </w:rPr>
            </w:pPr>
            <w:r>
              <w:rPr>
                <w:rFonts w:ascii="Times New Roman" w:cs="Times New Roman" w:eastAsia="Times New Roman" w:hAnsi="Times New Roman"/>
                <w:sz w:val="18"/>
                <w:szCs w:val="18"/>
                <w:color w:val="auto"/>
              </w:rPr>
              <w:t>Mitchell Gendel</w:t>
            </w:r>
          </w:p>
        </w:tc>
        <w:tc>
          <w:tcPr>
            <w:tcW w:w="114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7CDE8"/>
          </w:tcPr>
          <w:p>
            <w:pPr>
              <w:spacing w:after="0"/>
              <w:rPr>
                <w:sz w:val="21"/>
                <w:szCs w:val="21"/>
                <w:color w:val="auto"/>
              </w:rPr>
            </w:pPr>
          </w:p>
        </w:tc>
        <w:tc>
          <w:tcPr>
            <w:tcW w:w="96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gridSpan w:val="2"/>
            <w:shd w:val="clear" w:color="auto" w:fill="C7CDE8"/>
          </w:tcPr>
          <w:p>
            <w:pPr>
              <w:jc w:val="right"/>
              <w:ind w:right="108"/>
              <w:spacing w:after="0"/>
              <w:rPr>
                <w:sz w:val="20"/>
                <w:szCs w:val="20"/>
                <w:color w:val="auto"/>
              </w:rPr>
            </w:pPr>
            <w:r>
              <w:rPr>
                <w:rFonts w:ascii="Times New Roman" w:cs="Times New Roman" w:eastAsia="Times New Roman" w:hAnsi="Times New Roman"/>
                <w:sz w:val="18"/>
                <w:szCs w:val="18"/>
                <w:color w:val="auto"/>
              </w:rPr>
              <w:t>157,267</w:t>
            </w:r>
          </w:p>
        </w:tc>
        <w:tc>
          <w:tcPr>
            <w:tcW w:w="440" w:type="dxa"/>
            <w:vAlign w:val="bottom"/>
            <w:gridSpan w:val="2"/>
            <w:shd w:val="clear" w:color="auto" w:fill="C7CDE8"/>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704,902</w:t>
            </w: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40" w:type="dxa"/>
            <w:vAlign w:val="bottom"/>
            <w:shd w:val="clear" w:color="auto" w:fill="C7CDE8"/>
          </w:tcPr>
          <w:p>
            <w:pPr>
              <w:spacing w:after="0"/>
              <w:rPr>
                <w:sz w:val="4"/>
                <w:szCs w:val="4"/>
                <w:color w:val="auto"/>
              </w:rPr>
            </w:pPr>
          </w:p>
        </w:tc>
        <w:tc>
          <w:tcPr>
            <w:tcW w:w="350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114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96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114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280" w:type="dxa"/>
            <w:vAlign w:val="bottom"/>
            <w:shd w:val="clear" w:color="auto" w:fill="C7CDE8"/>
          </w:tcPr>
          <w:p>
            <w:pPr>
              <w:spacing w:after="0"/>
              <w:rPr>
                <w:sz w:val="4"/>
                <w:szCs w:val="4"/>
                <w:color w:val="auto"/>
              </w:rPr>
            </w:pPr>
          </w:p>
        </w:tc>
        <w:tc>
          <w:tcPr>
            <w:tcW w:w="64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Pension Benefits</w:t>
      </w:r>
    </w:p>
    <w:p>
      <w:pPr>
        <w:spacing w:after="0" w:line="104"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Our NEOs did not participate in, or otherwise receive any benefits under, any pension or defined benefit retirement plan sponsored by us in Fiscal Year 2024.</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Nonqualified Deferred Compensation</w:t>
      </w:r>
    </w:p>
    <w:p>
      <w:pPr>
        <w:spacing w:after="0" w:line="104" w:lineRule="exact"/>
        <w:rPr>
          <w:sz w:val="20"/>
          <w:szCs w:val="20"/>
          <w:color w:val="auto"/>
        </w:rPr>
      </w:pPr>
    </w:p>
    <w:p>
      <w:pPr>
        <w:ind w:left="300" w:right="939" w:firstLine="360"/>
        <w:spacing w:after="0" w:line="282" w:lineRule="auto"/>
        <w:rPr>
          <w:sz w:val="20"/>
          <w:szCs w:val="20"/>
          <w:color w:val="auto"/>
        </w:rPr>
      </w:pPr>
      <w:r>
        <w:rPr>
          <w:rFonts w:ascii="Times New Roman" w:cs="Times New Roman" w:eastAsia="Times New Roman" w:hAnsi="Times New Roman"/>
          <w:sz w:val="18"/>
          <w:szCs w:val="18"/>
          <w:color w:val="auto"/>
        </w:rPr>
        <w:t>Our NEOs did not participate in, or earn any benefits under, a nonqualified deferred compensation plan sponsored by us during Fiscal Year 2024.</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Employment, Severance And Change In Control Benefits</w:t>
      </w:r>
    </w:p>
    <w:p>
      <w:pPr>
        <w:spacing w:after="0" w:line="10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Irwin Simon</w:t>
      </w:r>
    </w:p>
    <w:p>
      <w:pPr>
        <w:spacing w:after="0" w:line="10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On July 27, 2021, the Company entered into an employment agreement with Irwin D. Simon in connection with his appointment as Chief Executive Officer and Chairman of the Board following the business combination with Aphria Inc., at an annual base salary of $1,700,000, effective as of the Effective Date, which may be increased but not decreased, as determined at an annual review of his performance and compensation by the Compensation Committee. Ms. Simon’s annual base salary was increased to $1,891,760 for Fiscal Year 2024.</w:t>
      </w:r>
    </w:p>
    <w:p>
      <w:pPr>
        <w:spacing w:after="0" w:line="75" w:lineRule="exact"/>
        <w:rPr>
          <w:sz w:val="20"/>
          <w:szCs w:val="20"/>
          <w:color w:val="auto"/>
        </w:rPr>
      </w:pPr>
    </w:p>
    <w:p>
      <w:pPr>
        <w:ind w:left="300" w:right="639" w:firstLine="360"/>
        <w:spacing w:after="0" w:line="281" w:lineRule="auto"/>
        <w:rPr>
          <w:sz w:val="20"/>
          <w:szCs w:val="20"/>
          <w:color w:val="auto"/>
        </w:rPr>
      </w:pPr>
      <w:r>
        <w:rPr>
          <w:rFonts w:ascii="Times New Roman" w:cs="Times New Roman" w:eastAsia="Times New Roman" w:hAnsi="Times New Roman"/>
          <w:sz w:val="17"/>
          <w:szCs w:val="17"/>
          <w:color w:val="auto"/>
        </w:rPr>
        <w:t>Mr. Simon is eligible to earn an additional annual performance-based cash bonus in amounts ranging from 200% of his base salary at “target” to 350% of his base salary at “maximum,” if performance benchmarks, as determined in accordance with the employment agreement, are met. For the Fiscal Year 2024, the Compensation Committee determined Mr. Simon’s annual cash bonus to be $1,040,000, or 27% of his target amount.</w:t>
      </w:r>
    </w:p>
    <w:p>
      <w:pPr>
        <w:spacing w:after="0" w:line="56"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2024, the Compensation Committee determined Mr. Simon’s annual RSU equity grant to be $4,547,501 in value as of the grant date (or 2,356,218 RSUs).</w:t>
      </w:r>
    </w:p>
    <w:p>
      <w:pPr>
        <w:spacing w:after="0" w:line="7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As additional incentive to entering into the employment agreement, on July 27, 2021, Mr. Simon received the following one-time equity grants having an aggregate value as of the July 27, 2021 grant date equal to $15,000,000, calculated using the closing price of the Company’s Common Stock on the grant date: (i) 392,772 performance-based restricted stock units (“</w:t>
      </w:r>
      <w:r>
        <w:rPr>
          <w:rFonts w:ascii="Times New Roman" w:cs="Times New Roman" w:eastAsia="Times New Roman" w:hAnsi="Times New Roman"/>
          <w:sz w:val="18"/>
          <w:szCs w:val="18"/>
          <w:b w:val="1"/>
          <w:bCs w:val="1"/>
          <w:i w:val="1"/>
          <w:iCs w:val="1"/>
          <w:color w:val="auto"/>
        </w:rPr>
        <w:t>PSUs</w:t>
      </w:r>
      <w:r>
        <w:rPr>
          <w:rFonts w:ascii="Times New Roman" w:cs="Times New Roman" w:eastAsia="Times New Roman" w:hAnsi="Times New Roman"/>
          <w:sz w:val="18"/>
          <w:szCs w:val="18"/>
          <w:color w:val="auto"/>
        </w:rPr>
        <w:t>”), subject to certain stock appreciation performance conditions and vesting as set forth in the employment agreement; (ii) 392,772 time-based restricted stock units (“</w:t>
      </w:r>
      <w:r>
        <w:rPr>
          <w:rFonts w:ascii="Times New Roman" w:cs="Times New Roman" w:eastAsia="Times New Roman" w:hAnsi="Times New Roman"/>
          <w:sz w:val="18"/>
          <w:szCs w:val="18"/>
          <w:b w:val="1"/>
          <w:bCs w:val="1"/>
          <w:i w:val="1"/>
          <w:iCs w:val="1"/>
          <w:color w:val="auto"/>
        </w:rPr>
        <w:t>RSUs</w:t>
      </w:r>
      <w:r>
        <w:rPr>
          <w:rFonts w:ascii="Times New Roman" w:cs="Times New Roman" w:eastAsia="Times New Roman" w:hAnsi="Times New Roman"/>
          <w:sz w:val="18"/>
          <w:szCs w:val="18"/>
          <w:color w:val="auto"/>
        </w:rPr>
        <w:t>”), which vest one-third on each of June 1, 2022, June 1, 2023, and June 1, 2024; and (iii) 392,772 restricted stock units (the “</w:t>
      </w:r>
      <w:r>
        <w:rPr>
          <w:rFonts w:ascii="Times New Roman" w:cs="Times New Roman" w:eastAsia="Times New Roman" w:hAnsi="Times New Roman"/>
          <w:sz w:val="18"/>
          <w:szCs w:val="18"/>
          <w:b w:val="1"/>
          <w:bCs w:val="1"/>
          <w:i w:val="1"/>
          <w:iCs w:val="1"/>
          <w:color w:val="auto"/>
        </w:rPr>
        <w:t>Synergy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Awards</w:t>
      </w:r>
      <w:r>
        <w:rPr>
          <w:rFonts w:ascii="Times New Roman" w:cs="Times New Roman" w:eastAsia="Times New Roman" w:hAnsi="Times New Roman"/>
          <w:sz w:val="18"/>
          <w:szCs w:val="18"/>
          <w:color w:val="auto"/>
        </w:rPr>
        <w:t>”), subject to performance-based vesting of 50% upon achievement of savings equal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46" w:name="page47"/>
    <w:bookmarkEnd w:id="46"/>
    <w:p>
      <w:pPr>
        <w:ind w:left="300" w:right="339"/>
        <w:spacing w:after="0" w:line="266" w:lineRule="auto"/>
        <w:rPr>
          <w:sz w:val="20"/>
          <w:szCs w:val="20"/>
          <w:color w:val="auto"/>
        </w:rPr>
      </w:pPr>
      <w:r>
        <w:rPr>
          <w:rFonts w:ascii="Times New Roman" w:cs="Times New Roman" w:eastAsia="Times New Roman" w:hAnsi="Times New Roman"/>
          <w:sz w:val="18"/>
          <w:szCs w:val="18"/>
          <w:color w:val="auto"/>
        </w:rPr>
        <w:t>to $50,000,000 and 100% vesting upon achievement of savings of $80,000,000, and further subject to time-based vesting, with 50% vesting on July 27, 2022, and 25% vesting on each of July 27, 2023, and July 27, 2024, given that the performance-based vesting conditions for the Synergy Equity Awards were satisfied.</w:t>
      </w:r>
    </w:p>
    <w:p>
      <w:pPr>
        <w:spacing w:after="0" w:line="68"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w:t>
      </w:r>
    </w:p>
    <w:p>
      <w:pPr>
        <w:spacing w:after="0" w:line="7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w:t>
      </w:r>
    </w:p>
    <w:p>
      <w:pPr>
        <w:spacing w:after="0" w:line="86" w:lineRule="exact"/>
        <w:rPr>
          <w:sz w:val="20"/>
          <w:szCs w:val="20"/>
          <w:color w:val="auto"/>
        </w:rPr>
      </w:pPr>
    </w:p>
    <w:p>
      <w:pPr>
        <w:ind w:left="300" w:right="339" w:firstLine="360"/>
        <w:spacing w:after="0" w:line="270" w:lineRule="auto"/>
        <w:rPr>
          <w:sz w:val="20"/>
          <w:szCs w:val="20"/>
          <w:color w:val="auto"/>
        </w:rPr>
      </w:pPr>
      <w:r>
        <w:rPr>
          <w:rFonts w:ascii="Times New Roman" w:cs="Times New Roman" w:eastAsia="Times New Roman" w:hAnsi="Times New Roman"/>
          <w:sz w:val="17"/>
          <w:szCs w:val="17"/>
          <w:color w:val="auto"/>
        </w:rPr>
        <w:t>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w:t>
      </w:r>
    </w:p>
    <w:p>
      <w:pPr>
        <w:spacing w:after="0" w:line="3" w:lineRule="exact"/>
        <w:rPr>
          <w:sz w:val="20"/>
          <w:szCs w:val="20"/>
          <w:color w:val="auto"/>
        </w:rPr>
      </w:pPr>
    </w:p>
    <w:p>
      <w:pPr>
        <w:ind w:left="300" w:right="319" w:hanging="8"/>
        <w:spacing w:after="0" w:line="253" w:lineRule="auto"/>
        <w:tabs>
          <w:tab w:leader="none" w:pos="5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Simon is also entitled to (1) receive individual disability and life insurance coverage paid by the Company,</w:t>
      </w:r>
    </w:p>
    <w:p>
      <w:pPr>
        <w:spacing w:after="0" w:line="27" w:lineRule="exact"/>
        <w:rPr>
          <w:sz w:val="20"/>
          <w:szCs w:val="20"/>
          <w:color w:val="auto"/>
        </w:rPr>
      </w:pPr>
    </w:p>
    <w:p>
      <w:pPr>
        <w:ind w:left="300" w:right="519" w:hanging="8"/>
        <w:spacing w:after="0" w:line="253" w:lineRule="auto"/>
        <w:tabs>
          <w:tab w:leader="none" w:pos="5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other executive benefits, including a car allowance of $1,200 per month and a Company-expensed smartphone and phone plan, (3) participate at the Company’s expense in all employee benefit plans maintained by Tilray for executive officers, including participation of Mr. Simon’s eligible dependents, and (4) receive other customary employee benefits.</w:t>
      </w:r>
    </w:p>
    <w:p>
      <w:pPr>
        <w:spacing w:after="0" w:line="8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Times New Roman" w:cs="Times New Roman" w:eastAsia="Times New Roman" w:hAnsi="Times New Roman"/>
          <w:sz w:val="18"/>
          <w:szCs w:val="18"/>
          <w:b w:val="1"/>
          <w:bCs w:val="1"/>
          <w:i w:val="1"/>
          <w:iCs w:val="1"/>
          <w:color w:val="auto"/>
        </w:rPr>
        <w:t>Accrued Benefits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employment agreement also includes severance benefits that are subject to signing a release under certain circumstances. The amount of severance Mr. Simon is entitled to is dependent on the reason for his termination and whether it occurs within two years following a change of control of the Company. Mr. Simon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two years after a change of control, Mr. Simon will be entitled to (a) cash severance equal to 1.5 times (1.5x) the sum of (i) his then-base salary plus (ii) his target bonus; (b) continued benefits provided under the employment agreement, at entirely the Company’s cost, for 18 months, provided that if the Company determines that providing the continued health insurance under this benefit shall cause the plan</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300" w:right="419"/>
        <w:spacing w:after="0" w:line="254" w:lineRule="auto"/>
        <w:rPr>
          <w:sz w:val="20"/>
          <w:szCs w:val="20"/>
          <w:color w:val="auto"/>
        </w:rPr>
      </w:pPr>
      <w:r>
        <w:rPr>
          <w:rFonts w:ascii="Times New Roman" w:cs="Times New Roman" w:eastAsia="Times New Roman" w:hAnsi="Times New Roman"/>
          <w:sz w:val="18"/>
          <w:szCs w:val="18"/>
          <w:color w:val="auto"/>
        </w:rPr>
        <w:t>to violate nondiscrimination regulations, then the Company shall pay to Mr. Simon for 18 months following the termination of his employment the monthly COBRA premium for Mr. Simon and his dependents, and in such case, the Company will pay to Mr. Simon, on an after-tax basis, a bonus equal to the grossed-up amount of all taxes applicable to the payments in lieu of continued health insurance benefits; (c) full vesting and payment of all unvested time-based equity and any performance-based awards that would be vested by the third anniversary of the effective date of his employment agreement, based upon satisfaction of performance-criteria that have already been satisfied at time of termination; (d) any bonus the performance conditions of which have been met in respect of a prior year, which has not yet been paid at time of termination; and (e) the Accrued Benefits.</w:t>
      </w:r>
    </w:p>
    <w:p>
      <w:pPr>
        <w:spacing w:after="0" w:line="84" w:lineRule="exact"/>
        <w:rPr>
          <w:sz w:val="20"/>
          <w:szCs w:val="20"/>
          <w:color w:val="auto"/>
        </w:rPr>
      </w:pPr>
    </w:p>
    <w:p>
      <w:pPr>
        <w:ind w:left="300" w:right="319" w:firstLine="360"/>
        <w:spacing w:after="0" w:line="251" w:lineRule="auto"/>
        <w:rPr>
          <w:sz w:val="20"/>
          <w:szCs w:val="20"/>
          <w:color w:val="auto"/>
        </w:rPr>
      </w:pPr>
      <w:r>
        <w:rPr>
          <w:rFonts w:ascii="Times New Roman" w:cs="Times New Roman" w:eastAsia="Times New Roman" w:hAnsi="Times New Roman"/>
          <w:sz w:val="18"/>
          <w:szCs w:val="18"/>
          <w:color w:val="auto"/>
        </w:rPr>
        <w:t>If such termination does occur within two years after a change of control of the Company, Mr. Simon will be entitled to (a) 2.5 times (2.5x) the then-base salary; (b) 2.5 times (2.5x) the amount of the highest paid bonus (excluding transformation bonus, as defined in his employment agreement) prior to the effective date of the change in control of the Company; (c) the Accrued Benefits; (d) continued benefits provided under the employment agreement, at entirely the Company’s cost, for 30 months, provided that if the Company determines that providing the continued health insurance under this benefit shall cause the plan to violate nondiscrimination regulations, then the Company shall pay to Mr. Simon for 30 months (or such lesser period if benefits can be provided under the Company’s plan) following the termination of his employment the monthly COBRA premium for Mr. Simon and his dependents, and in such case, the Company will pay to Mr. Simon, on an after-tax basis, a bonus equal to the grossed-up for amount of all taxes applicable to the payments in lieu of continued health insurance benefits; (e) full vesting and payment of (i) all unvested time-based equity, (ii) all unvested performance-based grant that would vest by the third anniversary of the effective date of the employment agreement upon achieving the greater of the highest 30 day average share price prior to the change of control or the share price in the change on control, and (iii) all unvested synergy equity grant as provided under the employment agreement; (f) car allowance as provided under the employment agreement and the continued payment by the Company of the lease for Mr. Simon’s office and executive assistant located in New York City for a period of 2.5 years from the date of termination following a change in control of the Company. Mr. Irwin is also entitled to certain benefits and payments upon his death or disability. 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Carl Merton</w:t>
      </w:r>
    </w:p>
    <w:p>
      <w:pPr>
        <w:spacing w:after="0" w:line="10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On July 26, 2021, the Company entered into an employment agreement with Mr. Merton, effective as of May 1, 2021, with an annual base salary of $348,008. On July 24, 2023, Mr. Merton’s annual base salary was increased to $388,304 for Fiscal Year 2024. Mr. Merton’s employment with the Company is at-will and will continue until terminated in accordance with the terms of his employment agreement. The annual base salary is subject to annual review and adjustment by the Compensation Committee.</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During the employment period, Mr. Merton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Merton’s annual cash bonus to be $77,661, or 20% of his target amount.</w:t>
      </w:r>
    </w:p>
    <w:p>
      <w:pPr>
        <w:spacing w:after="0" w:line="72"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Merton’s annual RSU equity grant to be $673,481 in value as of the grant date (or 348,954 RSUs). Mr. Merton is also eligible to participate in the Company’s employee benefit plans and programs, and to receive a Company-expensed smartphone and phone plan as well as other fringe benefits made available to similarly situated executive officers.</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his employment agreement, on July 26, 2021, Mr. Merton received a one-time equity grant having an aggregate value as of the July 26, 2021 grant date equal to $2,000,000, which was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ind w:left="300" w:right="579"/>
        <w:spacing w:after="0" w:line="266" w:lineRule="auto"/>
        <w:rPr>
          <w:sz w:val="20"/>
          <w:szCs w:val="20"/>
          <w:color w:val="auto"/>
        </w:rPr>
      </w:pPr>
      <w:r>
        <w:rPr>
          <w:rFonts w:ascii="Times New Roman" w:cs="Times New Roman" w:eastAsia="Times New Roman" w:hAnsi="Times New Roman"/>
          <w:sz w:val="18"/>
          <w:szCs w:val="18"/>
          <w:color w:val="auto"/>
        </w:rPr>
        <w:t>divided equally into 48,662 PSUs, 48,661 RSUs and 48,662 Synergy Equity Awards, calculated using the closing price of the Company’s Common Stock on the grant date. In addition, Mr. Merton received an annual grant of 32,694 RSUs long-term incentive awards under the 2018 Equity Plan for the Fiscal Year 2022.</w:t>
      </w:r>
    </w:p>
    <w:p>
      <w:pPr>
        <w:spacing w:after="0" w:line="68"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 w:cs="Times New Roman" w:eastAsia="Times New Roman" w:hAnsi="Times New Roman"/>
          <w:sz w:val="18"/>
          <w:szCs w:val="18"/>
          <w:b w:val="1"/>
          <w:bCs w:val="1"/>
          <w:i w:val="1"/>
          <w:iCs w:val="1"/>
          <w:color w:val="auto"/>
        </w:rPr>
        <w:t>Guaranteed Payments</w:t>
      </w:r>
      <w:r>
        <w:rPr>
          <w:rFonts w:ascii="Times New Roman" w:cs="Times New Roman" w:eastAsia="Times New Roman" w:hAnsi="Times New Roman"/>
          <w:sz w:val="18"/>
          <w:szCs w:val="18"/>
          <w:color w:val="auto"/>
        </w:rPr>
        <w:t>”). In addition, all time-based equity awards then-held by the executive will be subject to accelerated vesting upon termination without “cause” or for “good reason.”</w:t>
      </w:r>
    </w:p>
    <w:p>
      <w:pPr>
        <w:spacing w:after="0" w:line="79" w:lineRule="exact"/>
        <w:rPr>
          <w:sz w:val="20"/>
          <w:szCs w:val="20"/>
          <w:color w:val="auto"/>
        </w:rPr>
      </w:pPr>
    </w:p>
    <w:p>
      <w:pPr>
        <w:ind w:left="300" w:right="399" w:firstLine="360"/>
        <w:spacing w:after="0" w:line="268" w:lineRule="auto"/>
        <w:rPr>
          <w:sz w:val="20"/>
          <w:szCs w:val="20"/>
          <w:color w:val="auto"/>
        </w:rPr>
      </w:pPr>
      <w:r>
        <w:rPr>
          <w:rFonts w:ascii="Times New Roman" w:cs="Times New Roman" w:eastAsia="Times New Roman" w:hAnsi="Times New Roman"/>
          <w:sz w:val="17"/>
          <w:szCs w:val="17"/>
          <w:color w:val="auto"/>
        </w:rPr>
        <w:t>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w:t>
      </w:r>
    </w:p>
    <w:p>
      <w:pPr>
        <w:spacing w:after="0" w:line="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w:t>
      </w:r>
    </w:p>
    <w:p>
      <w:pPr>
        <w:spacing w:after="0" w:line="79"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Denise Faltischek</w:t>
      </w:r>
    </w:p>
    <w:p>
      <w:pPr>
        <w:spacing w:after="0" w:line="104" w:lineRule="exact"/>
        <w:rPr>
          <w:sz w:val="20"/>
          <w:szCs w:val="20"/>
          <w:color w:val="auto"/>
        </w:rPr>
      </w:pPr>
    </w:p>
    <w:p>
      <w:pPr>
        <w:ind w:left="300" w:right="619" w:firstLine="360"/>
        <w:spacing w:after="0" w:line="258" w:lineRule="auto"/>
        <w:rPr>
          <w:sz w:val="20"/>
          <w:szCs w:val="20"/>
          <w:color w:val="auto"/>
        </w:rPr>
      </w:pPr>
      <w:r>
        <w:rPr>
          <w:rFonts w:ascii="Times New Roman" w:cs="Times New Roman" w:eastAsia="Times New Roman" w:hAnsi="Times New Roman"/>
          <w:sz w:val="18"/>
          <w:szCs w:val="18"/>
          <w:color w:val="auto"/>
        </w:rPr>
        <w:t>On July 26, 2021, the Company entered into an employment agreement with Ms. Faltischek, effective as of May 1, 2021, with an annual base salary of $500,000. On July 24, 2023, Ms. Faltischek’s annual base salary was increased to $600,000 for Fiscal Year 2024. Ms. Faltischek’s employment with the Company is at-will and will continue until terminated in accordance with the terms of her employment agreement. The annual base salary is subject to annual review and adjustment by the Compensation Committee.</w:t>
      </w:r>
    </w:p>
    <w:p>
      <w:pPr>
        <w:spacing w:after="0" w:line="75" w:lineRule="exact"/>
        <w:rPr>
          <w:sz w:val="20"/>
          <w:szCs w:val="20"/>
          <w:color w:val="auto"/>
        </w:rPr>
      </w:pPr>
    </w:p>
    <w:p>
      <w:pPr>
        <w:ind w:left="300" w:right="479" w:firstLine="360"/>
        <w:spacing w:after="0" w:line="281" w:lineRule="auto"/>
        <w:rPr>
          <w:sz w:val="20"/>
          <w:szCs w:val="20"/>
          <w:color w:val="auto"/>
        </w:rPr>
      </w:pPr>
      <w:r>
        <w:rPr>
          <w:rFonts w:ascii="Times New Roman" w:cs="Times New Roman" w:eastAsia="Times New Roman" w:hAnsi="Times New Roman"/>
          <w:sz w:val="17"/>
          <w:szCs w:val="17"/>
          <w:color w:val="auto"/>
        </w:rPr>
        <w:t>During the employment period, Ms. Faltischek will be entitled to participate in the Company’s annual bonus plan at an annual target bonus opportunity of 100% of her annual base salary, subject to the achievement of performance goals to be established by the Compensation Committee. For the Fiscal Year 2024, the Compensation Committee determined Ms. Faltischek’s annual cash bonus to be $120,000, or 20% of her target amount.</w:t>
      </w:r>
    </w:p>
    <w:p>
      <w:pPr>
        <w:spacing w:after="0" w:line="56"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2024, the Compensation Committee determined Ms. Faltischek’s annual RSU equity grant to be $962,501 in value as of the grant date (or 498,705 RSUs). Ms. Faltischek is also eligible to participate in the Company’s employee benefit plans and programs, and to receive a Company-expensed smartphone and phone plan as well as other fringe benefits made available to similarly situated executive officers.</w:t>
      </w:r>
    </w:p>
    <w:p>
      <w:pPr>
        <w:spacing w:after="0" w:line="8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calculated using the closing price of the Company’s Common Stock on the grant date. In addition, Ms. Faltischek received an annual grant of 26,687 RSUs long-term incentive awards under the 2018 Equity Plan for the Fiscal Year 2022.</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w:t>
      </w:r>
    </w:p>
    <w:p>
      <w:pPr>
        <w:spacing w:after="0" w:line="72"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w:t>
      </w:r>
    </w:p>
    <w:p>
      <w:pPr>
        <w:spacing w:after="0" w:line="7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spacing w:after="0" w:line="75"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Mitchell Gendel</w:t>
      </w:r>
    </w:p>
    <w:p>
      <w:pPr>
        <w:spacing w:after="0" w:line="104"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On July 26, 2021, the Company entered into an employment agreement with Mr. Gendel, effective as of July 17, 2021 with an annual base salary of $425,000. Mr. Gendel’s annual base salary was increased to $560,000 for Fiscal Year 2024. Mr. Gendel’s employment with the Company is at-will and will continue until terminated in accordance with the terms of his employment agreement. The annual base salary is subject to annual review and adjustment by the Compensation Committee.</w:t>
      </w:r>
    </w:p>
    <w:p>
      <w:pPr>
        <w:spacing w:after="0" w:line="75"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During the employment period, Mr. Gendel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Gendel’s annual cash bonus to be $112,000, or 20% of his target amount.</w:t>
      </w:r>
    </w:p>
    <w:p>
      <w:pPr>
        <w:spacing w:after="0" w:line="72"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Gendel’s annual RSU equity grant to be $892,500 in value as of the grant date (or 462,435 RSUs). Mr. Gendel is also eligible to participate in the Company’s employee benefit plans and programs, and to receive a Company-expensed smartphone and phone plan as well as other fringe benefits made available to similarly situated executive officers.</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his employment agreement, on July 26, 2021, Mr. Gendel received a one-time equity grant having an aggregate value as of the July 26, 2021 grant date equal to $2,000,000, which was divided equally into 48,662 PSUs, 48,661 RSUs and 48,662 Synergy Equity Awards, calculated using the closing price of the Company’s Common Stock on the grant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w:t>
      </w:r>
    </w:p>
    <w:p>
      <w:pPr>
        <w:spacing w:after="0" w:line="72" w:lineRule="exact"/>
        <w:rPr>
          <w:sz w:val="20"/>
          <w:szCs w:val="20"/>
          <w:color w:val="auto"/>
        </w:rPr>
      </w:pPr>
    </w:p>
    <w:p>
      <w:pPr>
        <w:ind w:left="300" w:right="67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Guaranteed Payments, Mr. Gendel is eligible to receive severance compensation upon an involuntary termination of employment without “cause” or a voluntary termination of employment for</w:t>
      </w: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w:t>
      </w:r>
    </w:p>
    <w:p>
      <w:pPr>
        <w:spacing w:after="0" w:line="84"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spacing w:after="0" w:line="75"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Roger Savell</w:t>
      </w:r>
    </w:p>
    <w:p>
      <w:pPr>
        <w:spacing w:after="0" w:line="10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On March 31, 2022, the Company entered into an employment agreement with Mr. Savell, with an annual base salary of $500,000. Mr. Savell’s annual base salary was increased to $525,000 for Fiscal Year 2024. Mr. Savell’s employment with the Company is at-will and will continue until terminated in accordance with the terms of his employment agreement. The annual base salary is subject to annual review and adjustment by the Compensation Committee.</w:t>
      </w:r>
    </w:p>
    <w:p>
      <w:pPr>
        <w:spacing w:after="0" w:line="75"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During the employment period, Mr. Savell will be entitled to participate in the Company’s annual bonus plan at an annual target bonus opportunity of 100% of his annual base salary, subject to the achievement of performance goals to be established by the Compensation Committee. For the Fiscal Year 2024, the Compensation Committee determined Mr. Savell’s annual cash bonus to be $155,000, or 30% of his target amount.</w:t>
      </w:r>
    </w:p>
    <w:p>
      <w:pPr>
        <w:spacing w:after="0" w:line="72"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2024, the Compensation Committee determined Mr. Savell’s annual RSU equity grant to be $875,000 in value as of the grant date (or 453,368 RSUs). Mr. Savell is also eligible to participate in the Company’s employee benefit plans and programs, and to receive a Company-expensed smartphone and phone plan as well as other fringe benefits made available to similarly situated executive officers.</w:t>
      </w:r>
    </w:p>
    <w:p>
      <w:pPr>
        <w:spacing w:after="0" w:line="8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In connection with the entry into his employment agreement in March 2022, Mr. Savell received a one-time equity grant having an aggregate value as of the March 2022 grant date equal to $2,000,000, which was divided into PSUs, RSUs and Synergy Equity Awards, calculated using the closing price of the Company’s Common Stock on the grant date.</w:t>
      </w:r>
    </w:p>
    <w:p>
      <w:pPr>
        <w:spacing w:after="0" w:line="72" w:lineRule="exact"/>
        <w:rPr>
          <w:sz w:val="20"/>
          <w:szCs w:val="20"/>
          <w:color w:val="auto"/>
        </w:rPr>
      </w:pPr>
    </w:p>
    <w:p>
      <w:pPr>
        <w:jc w:val="both"/>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In addition to the Guaranteed Payments, Mr. Savell is eligible to receive severance compensation upon an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involuntary termination of employment without “cause” or a voluntary termination of employment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“good reason” (in each case, as defined in his employment agreement), subject to Mr. Savell executing and not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rescinding a customary release in a form acceptable to the Company. If such termination does not occur within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twelve months after a “change of control,” Mr. Savell will be entitled to cash severance in the sum of 12-months’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such executive’s then-base salary, plus a pro rata performance bonus at target. If such termination does occur within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twelve months after a “change of control,” Mr. Savell will be entitled to cash severance in the sum of 24-months’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his then-base salary, plus two times (2x) his performance bonus at target, plus a pro rata performance bonus at target.</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all equity awards then-held by Mr. Savell will be subject to accelerated vesting upon his death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termination without “cause” or for “good reason” following a “change of control.” Subject to timely election,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Company will pay on behalf of Mr. Savell the employer portion of the applicable COBRA premium for continuation</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healthcare coverage for up to 12 months immediately following a termination without “cause” or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“good reason.”</w:t>
      </w:r>
    </w:p>
    <w:p>
      <w:pPr>
        <w:spacing w:after="0" w:line="99"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w:t>
      </w:r>
    </w:p>
    <w:p>
      <w:pPr>
        <w:spacing w:after="0" w:line="75"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CEO Pay Ratio</w:t>
      </w:r>
    </w:p>
    <w:p>
      <w:pPr>
        <w:spacing w:after="0" w:line="104" w:lineRule="exact"/>
        <w:rPr>
          <w:sz w:val="20"/>
          <w:szCs w:val="20"/>
          <w:color w:val="auto"/>
        </w:rPr>
      </w:pPr>
    </w:p>
    <w:p>
      <w:pPr>
        <w:jc w:val="both"/>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 w:cs="Times New Roman" w:eastAsia="Times New Roman" w:hAnsi="Times New Roman"/>
          <w:sz w:val="18"/>
          <w:szCs w:val="18"/>
          <w:b w:val="1"/>
          <w:bCs w:val="1"/>
          <w:i w:val="1"/>
          <w:iCs w:val="1"/>
          <w:color w:val="auto"/>
        </w:rPr>
        <w:t>CEO Pay Ratio</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Set forth below is a description of the methodology, including material assumptions, adjustments and estimates we used to identify the median employee for purposes of calculating the CEO Pay Ratio:</w:t>
      </w:r>
    </w:p>
    <w:p>
      <w:pPr>
        <w:spacing w:after="0" w:line="54" w:lineRule="exact"/>
        <w:rPr>
          <w:sz w:val="20"/>
          <w:szCs w:val="20"/>
          <w:color w:val="auto"/>
        </w:rPr>
      </w:pPr>
    </w:p>
    <w:p>
      <w:pPr>
        <w:ind w:left="1000" w:right="37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our median employee from all employees, including full-time and part-time employees who were on our payroll records as of a determination date of May 31, 2024.</w:t>
      </w:r>
    </w:p>
    <w:p>
      <w:pPr>
        <w:spacing w:after="0" w:line="53" w:lineRule="exact"/>
        <w:rPr>
          <w:rFonts w:ascii="Times New Roman" w:cs="Times New Roman" w:eastAsia="Times New Roman" w:hAnsi="Times New Roman"/>
          <w:sz w:val="18"/>
          <w:szCs w:val="18"/>
          <w:color w:val="auto"/>
        </w:rPr>
      </w:pPr>
    </w:p>
    <w:p>
      <w:pPr>
        <w:ind w:left="1000" w:right="10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for international employees was converted to U.S. dollar equivalents based on the applicable exchange rate.</w:t>
      </w:r>
    </w:p>
    <w:p>
      <w:pPr>
        <w:spacing w:after="0" w:line="53"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compensation for purposes of the median calculation, we used each employee’s annual base pay and cash equivalent of benefits.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base salary earned during the fiscal year ending May 31, 2024 by all employees.</w:t>
      </w:r>
    </w:p>
    <w:p>
      <w:pPr>
        <w:spacing w:after="0" w:line="11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then calculated the annual total base compensation of the identified median employee in accordance with the requirements of the Summary Compensation Table.</w:t>
      </w:r>
    </w:p>
    <w:p>
      <w:pPr>
        <w:spacing w:after="0" w:line="54" w:lineRule="exact"/>
        <w:rPr>
          <w:sz w:val="20"/>
          <w:szCs w:val="20"/>
          <w:color w:val="auto"/>
        </w:rPr>
      </w:pPr>
    </w:p>
    <w:p>
      <w:pPr>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We determined our median employee’s total compensation based upon the foregoing methodology for Fiscal Year 2024, including any perquisites and other benefits, in the same manner that we determine the total compensation of our named executive officers for purposes of the Summary Compensation Table disclosed above.</w:t>
      </w:r>
    </w:p>
    <w:p>
      <w:pPr>
        <w:spacing w:after="0" w:line="5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For the fiscal year ending May 31, 2024, the median employee’s total compensation was $40,088. As disclosed in the Summary Compensation Table, the total compensation of our CEO was $10,142,971, which includes equity awards valued on the date of grant (July 2023) equal to $4,547,501. This equity award amount was based on the grant date value of the Company’s stock equal to $1.93 per share, and is subject to retention and financial-performance based vesting conditions. Inclusive of the equity-incentive awards granted in July 2023, the resulting ratio of the annual total compensation of our CEO to the annual total compensation of the median employee was 253 to 1. The foregoing pay ratio represents the Company’s estimate calculated in a manner the Company believe to be consistent with the SEC rules and applicable guidance.</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2" w:name="page53"/>
    <w:bookmarkEnd w:id="52"/>
    <w:p>
      <w:pPr>
        <w:ind w:left="300" w:right="519" w:firstLine="360"/>
        <w:spacing w:after="0" w:line="255" w:lineRule="auto"/>
        <w:rPr>
          <w:sz w:val="20"/>
          <w:szCs w:val="20"/>
          <w:color w:val="auto"/>
        </w:rPr>
      </w:pPr>
      <w:r>
        <w:rPr>
          <w:rFonts w:ascii="Times New Roman" w:cs="Times New Roman" w:eastAsia="Times New Roman" w:hAnsi="Times New Roman"/>
          <w:sz w:val="18"/>
          <w:szCs w:val="18"/>
          <w:color w:val="auto"/>
        </w:rPr>
        <w:t>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Potential Payments Upon Termination or Change of Control</w:t>
      </w:r>
    </w:p>
    <w:p>
      <w:pPr>
        <w:spacing w:after="0" w:line="104"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to which each current NEO would be entitled under the applicable agreement assuming that the triggering event took place on May 31, 2024.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160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Awards</w:t>
            </w: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140" w:type="dxa"/>
            <w:vAlign w:val="bottom"/>
          </w:tcPr>
          <w:p>
            <w:pPr>
              <w:spacing w:after="0"/>
              <w:rPr>
                <w:sz w:val="14"/>
                <w:szCs w:val="14"/>
                <w:color w:val="auto"/>
              </w:rPr>
            </w:pPr>
          </w:p>
        </w:tc>
        <w:tc>
          <w:tcPr>
            <w:tcW w:w="84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Unvested</w:t>
            </w:r>
          </w:p>
        </w:tc>
        <w:tc>
          <w:tcPr>
            <w:tcW w:w="14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COBRA</w:t>
            </w:r>
            <w:r>
              <w:rPr>
                <w:rFonts w:ascii="Times New Roman" w:cs="Times New Roman" w:eastAsia="Times New Roman" w:hAnsi="Times New Roman"/>
                <w:sz w:val="23"/>
                <w:szCs w:val="23"/>
                <w:b w:val="1"/>
                <w:bCs w:val="1"/>
                <w:color w:val="auto"/>
                <w:w w:val="96"/>
                <w:vertAlign w:val="superscript"/>
              </w:rPr>
              <w:t>(4)</w:t>
            </w:r>
            <w:r>
              <w:rPr>
                <w:rFonts w:ascii="Times New Roman" w:cs="Times New Roman" w:eastAsia="Times New Roman" w:hAnsi="Times New Roman"/>
                <w:sz w:val="14"/>
                <w:szCs w:val="14"/>
                <w:b w:val="1"/>
                <w:bCs w:val="1"/>
                <w:color w:val="auto"/>
                <w:w w:val="96"/>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Estimates</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base pay</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line="189" w:lineRule="exact"/>
              <w:rPr>
                <w:sz w:val="20"/>
                <w:szCs w:val="20"/>
                <w:color w:val="auto"/>
              </w:rPr>
            </w:pPr>
            <w:r>
              <w:rPr>
                <w:rFonts w:ascii="Times New Roman" w:cs="Times New Roman" w:eastAsia="Times New Roman" w:hAnsi="Times New Roman"/>
                <w:sz w:val="13"/>
                <w:szCs w:val="13"/>
                <w:b w:val="1"/>
                <w:bCs w:val="1"/>
                <w:color w:val="auto"/>
              </w:rPr>
              <w:t>(Max)</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16"/>
                <w:szCs w:val="16"/>
                <w:color w:val="auto"/>
              </w:rPr>
            </w:pPr>
          </w:p>
        </w:tc>
        <w:tc>
          <w:tcPr>
            <w:tcW w:w="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color w:val="auto"/>
              </w:rPr>
              <w:t>Irwin Simon</w:t>
            </w:r>
          </w:p>
        </w:tc>
        <w:tc>
          <w:tcPr>
            <w:tcW w:w="620" w:type="dxa"/>
            <w:vAlign w:val="bottom"/>
            <w:shd w:val="clear" w:color="auto" w:fill="C7CDE8"/>
          </w:tcPr>
          <w:p>
            <w:pPr>
              <w:spacing w:after="0"/>
              <w:rPr>
                <w:sz w:val="20"/>
                <w:szCs w:val="20"/>
                <w:color w:val="auto"/>
              </w:rPr>
            </w:pPr>
          </w:p>
        </w:tc>
        <w:tc>
          <w:tcPr>
            <w:tcW w:w="140" w:type="dxa"/>
            <w:vAlign w:val="bottom"/>
            <w:shd w:val="clear" w:color="auto" w:fill="C7CDE8"/>
          </w:tcPr>
          <w:p>
            <w:pPr>
              <w:spacing w:after="0"/>
              <w:rPr>
                <w:sz w:val="20"/>
                <w:szCs w:val="20"/>
                <w:color w:val="auto"/>
              </w:rPr>
            </w:pPr>
          </w:p>
        </w:tc>
        <w:tc>
          <w:tcPr>
            <w:tcW w:w="120" w:type="dxa"/>
            <w:vAlign w:val="bottom"/>
            <w:shd w:val="clear" w:color="auto" w:fill="C7CDE8"/>
          </w:tcPr>
          <w:p>
            <w:pPr>
              <w:spacing w:after="0"/>
              <w:rPr>
                <w:sz w:val="20"/>
                <w:szCs w:val="20"/>
                <w:color w:val="auto"/>
              </w:rPr>
            </w:pPr>
          </w:p>
        </w:tc>
        <w:tc>
          <w:tcPr>
            <w:tcW w:w="720" w:type="dxa"/>
            <w:vAlign w:val="bottom"/>
            <w:shd w:val="clear" w:color="auto" w:fill="C7CDE8"/>
          </w:tcPr>
          <w:p>
            <w:pPr>
              <w:spacing w:after="0"/>
              <w:rPr>
                <w:sz w:val="20"/>
                <w:szCs w:val="20"/>
                <w:color w:val="auto"/>
              </w:rPr>
            </w:pPr>
          </w:p>
        </w:tc>
        <w:tc>
          <w:tcPr>
            <w:tcW w:w="140" w:type="dxa"/>
            <w:vAlign w:val="bottom"/>
            <w:shd w:val="clear" w:color="auto" w:fill="C7CDE8"/>
          </w:tcPr>
          <w:p>
            <w:pPr>
              <w:spacing w:after="0"/>
              <w:rPr>
                <w:sz w:val="20"/>
                <w:szCs w:val="20"/>
                <w:color w:val="auto"/>
              </w:rPr>
            </w:pPr>
          </w:p>
        </w:tc>
        <w:tc>
          <w:tcPr>
            <w:tcW w:w="160" w:type="dxa"/>
            <w:vAlign w:val="bottom"/>
            <w:shd w:val="clear" w:color="auto" w:fill="C7CDE8"/>
          </w:tcPr>
          <w:p>
            <w:pPr>
              <w:spacing w:after="0"/>
              <w:rPr>
                <w:sz w:val="20"/>
                <w:szCs w:val="20"/>
                <w:color w:val="auto"/>
              </w:rPr>
            </w:pPr>
          </w:p>
        </w:tc>
        <w:tc>
          <w:tcPr>
            <w:tcW w:w="680" w:type="dxa"/>
            <w:vAlign w:val="bottom"/>
            <w:shd w:val="clear" w:color="auto" w:fill="C7CDE8"/>
          </w:tcPr>
          <w:p>
            <w:pPr>
              <w:spacing w:after="0"/>
              <w:rPr>
                <w:sz w:val="20"/>
                <w:szCs w:val="20"/>
                <w:color w:val="auto"/>
              </w:rPr>
            </w:pPr>
          </w:p>
        </w:tc>
        <w:tc>
          <w:tcPr>
            <w:tcW w:w="120" w:type="dxa"/>
            <w:vAlign w:val="bottom"/>
            <w:shd w:val="clear" w:color="auto" w:fill="C7CDE8"/>
          </w:tcPr>
          <w:p>
            <w:pPr>
              <w:spacing w:after="0"/>
              <w:rPr>
                <w:sz w:val="20"/>
                <w:szCs w:val="20"/>
                <w:color w:val="auto"/>
              </w:rPr>
            </w:pPr>
          </w:p>
        </w:tc>
        <w:tc>
          <w:tcPr>
            <w:tcW w:w="160" w:type="dxa"/>
            <w:vAlign w:val="bottom"/>
            <w:shd w:val="clear" w:color="auto" w:fill="C7CDE8"/>
          </w:tcPr>
          <w:p>
            <w:pPr>
              <w:spacing w:after="0"/>
              <w:rPr>
                <w:sz w:val="20"/>
                <w:szCs w:val="20"/>
                <w:color w:val="auto"/>
              </w:rPr>
            </w:pPr>
          </w:p>
        </w:tc>
        <w:tc>
          <w:tcPr>
            <w:tcW w:w="820" w:type="dxa"/>
            <w:vAlign w:val="bottom"/>
            <w:shd w:val="clear" w:color="auto" w:fill="C7CDE8"/>
          </w:tcPr>
          <w:p>
            <w:pPr>
              <w:spacing w:after="0"/>
              <w:rPr>
                <w:sz w:val="20"/>
                <w:szCs w:val="20"/>
                <w:color w:val="auto"/>
              </w:rPr>
            </w:pPr>
          </w:p>
        </w:tc>
        <w:tc>
          <w:tcPr>
            <w:tcW w:w="140" w:type="dxa"/>
            <w:vAlign w:val="bottom"/>
            <w:shd w:val="clear" w:color="auto" w:fill="C7CDE8"/>
          </w:tcPr>
          <w:p>
            <w:pPr>
              <w:spacing w:after="0"/>
              <w:rPr>
                <w:sz w:val="20"/>
                <w:szCs w:val="20"/>
                <w:color w:val="auto"/>
              </w:rPr>
            </w:pPr>
          </w:p>
        </w:tc>
        <w:tc>
          <w:tcPr>
            <w:tcW w:w="200" w:type="dxa"/>
            <w:vAlign w:val="bottom"/>
            <w:shd w:val="clear" w:color="auto" w:fill="C7CDE8"/>
          </w:tcPr>
          <w:p>
            <w:pPr>
              <w:spacing w:after="0"/>
              <w:rPr>
                <w:sz w:val="20"/>
                <w:szCs w:val="20"/>
                <w:color w:val="auto"/>
              </w:rPr>
            </w:pPr>
          </w:p>
        </w:tc>
        <w:tc>
          <w:tcPr>
            <w:tcW w:w="500" w:type="dxa"/>
            <w:vAlign w:val="bottom"/>
            <w:shd w:val="clear" w:color="auto" w:fill="C7CDE8"/>
          </w:tcPr>
          <w:p>
            <w:pPr>
              <w:spacing w:after="0"/>
              <w:rPr>
                <w:sz w:val="20"/>
                <w:szCs w:val="20"/>
                <w:color w:val="auto"/>
              </w:rPr>
            </w:pPr>
          </w:p>
        </w:tc>
        <w:tc>
          <w:tcPr>
            <w:tcW w:w="140" w:type="dxa"/>
            <w:vAlign w:val="bottom"/>
            <w:shd w:val="clear" w:color="auto" w:fill="C7CDE8"/>
          </w:tcPr>
          <w:p>
            <w:pPr>
              <w:spacing w:after="0"/>
              <w:rPr>
                <w:sz w:val="20"/>
                <w:szCs w:val="20"/>
                <w:color w:val="auto"/>
              </w:rPr>
            </w:pPr>
          </w:p>
        </w:tc>
        <w:tc>
          <w:tcPr>
            <w:tcW w:w="120" w:type="dxa"/>
            <w:vAlign w:val="bottom"/>
            <w:shd w:val="clear" w:color="auto" w:fill="C7CDE8"/>
          </w:tcPr>
          <w:p>
            <w:pPr>
              <w:spacing w:after="0"/>
              <w:rPr>
                <w:sz w:val="20"/>
                <w:szCs w:val="20"/>
                <w:color w:val="auto"/>
              </w:rPr>
            </w:pPr>
          </w:p>
        </w:tc>
        <w:tc>
          <w:tcPr>
            <w:tcW w:w="780" w:type="dxa"/>
            <w:vAlign w:val="bottom"/>
            <w:shd w:val="clear" w:color="auto" w:fill="C7CDE8"/>
          </w:tcPr>
          <w:p>
            <w:pPr>
              <w:spacing w:after="0"/>
              <w:rPr>
                <w:sz w:val="20"/>
                <w:szCs w:val="20"/>
                <w:color w:val="auto"/>
              </w:rPr>
            </w:pP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Termination Without Cause or for</w:t>
            </w:r>
          </w:p>
        </w:tc>
        <w:tc>
          <w:tcPr>
            <w:tcW w:w="620" w:type="dxa"/>
            <w:vAlign w:val="bottom"/>
            <w:shd w:val="clear" w:color="auto" w:fill="C7CDE8"/>
          </w:tcPr>
          <w:p>
            <w:pPr>
              <w:spacing w:after="0"/>
              <w:rPr>
                <w:sz w:val="19"/>
                <w:szCs w:val="19"/>
                <w:color w:val="auto"/>
              </w:rPr>
            </w:pPr>
          </w:p>
        </w:tc>
        <w:tc>
          <w:tcPr>
            <w:tcW w:w="140" w:type="dxa"/>
            <w:vAlign w:val="bottom"/>
            <w:shd w:val="clear" w:color="auto" w:fill="C7CDE8"/>
          </w:tcPr>
          <w:p>
            <w:pPr>
              <w:spacing w:after="0"/>
              <w:rPr>
                <w:sz w:val="19"/>
                <w:szCs w:val="19"/>
                <w:color w:val="auto"/>
              </w:rPr>
            </w:pPr>
          </w:p>
        </w:tc>
        <w:tc>
          <w:tcPr>
            <w:tcW w:w="120" w:type="dxa"/>
            <w:vAlign w:val="bottom"/>
            <w:shd w:val="clear" w:color="auto" w:fill="C7CDE8"/>
          </w:tcPr>
          <w:p>
            <w:pPr>
              <w:spacing w:after="0"/>
              <w:rPr>
                <w:sz w:val="19"/>
                <w:szCs w:val="19"/>
                <w:color w:val="auto"/>
              </w:rPr>
            </w:pPr>
          </w:p>
        </w:tc>
        <w:tc>
          <w:tcPr>
            <w:tcW w:w="720" w:type="dxa"/>
            <w:vAlign w:val="bottom"/>
            <w:shd w:val="clear" w:color="auto" w:fill="C7CDE8"/>
          </w:tcPr>
          <w:p>
            <w:pPr>
              <w:spacing w:after="0"/>
              <w:rPr>
                <w:sz w:val="19"/>
                <w:szCs w:val="19"/>
                <w:color w:val="auto"/>
              </w:rPr>
            </w:pPr>
          </w:p>
        </w:tc>
        <w:tc>
          <w:tcPr>
            <w:tcW w:w="140" w:type="dxa"/>
            <w:vAlign w:val="bottom"/>
            <w:shd w:val="clear" w:color="auto" w:fill="C7CDE8"/>
          </w:tcPr>
          <w:p>
            <w:pPr>
              <w:spacing w:after="0"/>
              <w:rPr>
                <w:sz w:val="19"/>
                <w:szCs w:val="19"/>
                <w:color w:val="auto"/>
              </w:rPr>
            </w:pPr>
          </w:p>
        </w:tc>
        <w:tc>
          <w:tcPr>
            <w:tcW w:w="160" w:type="dxa"/>
            <w:vAlign w:val="bottom"/>
            <w:shd w:val="clear" w:color="auto" w:fill="C7CDE8"/>
          </w:tcPr>
          <w:p>
            <w:pPr>
              <w:spacing w:after="0"/>
              <w:rPr>
                <w:sz w:val="19"/>
                <w:szCs w:val="19"/>
                <w:color w:val="auto"/>
              </w:rPr>
            </w:pPr>
          </w:p>
        </w:tc>
        <w:tc>
          <w:tcPr>
            <w:tcW w:w="680" w:type="dxa"/>
            <w:vAlign w:val="bottom"/>
            <w:shd w:val="clear" w:color="auto" w:fill="C7CDE8"/>
          </w:tcPr>
          <w:p>
            <w:pPr>
              <w:spacing w:after="0"/>
              <w:rPr>
                <w:sz w:val="19"/>
                <w:szCs w:val="19"/>
                <w:color w:val="auto"/>
              </w:rPr>
            </w:pPr>
          </w:p>
        </w:tc>
        <w:tc>
          <w:tcPr>
            <w:tcW w:w="120" w:type="dxa"/>
            <w:vAlign w:val="bottom"/>
            <w:shd w:val="clear" w:color="auto" w:fill="C7CDE8"/>
          </w:tcPr>
          <w:p>
            <w:pPr>
              <w:spacing w:after="0"/>
              <w:rPr>
                <w:sz w:val="19"/>
                <w:szCs w:val="19"/>
                <w:color w:val="auto"/>
              </w:rPr>
            </w:pPr>
          </w:p>
        </w:tc>
        <w:tc>
          <w:tcPr>
            <w:tcW w:w="160" w:type="dxa"/>
            <w:vAlign w:val="bottom"/>
            <w:shd w:val="clear" w:color="auto" w:fill="C7CDE8"/>
          </w:tcPr>
          <w:p>
            <w:pPr>
              <w:spacing w:after="0"/>
              <w:rPr>
                <w:sz w:val="19"/>
                <w:szCs w:val="19"/>
                <w:color w:val="auto"/>
              </w:rPr>
            </w:pPr>
          </w:p>
        </w:tc>
        <w:tc>
          <w:tcPr>
            <w:tcW w:w="820" w:type="dxa"/>
            <w:vAlign w:val="bottom"/>
            <w:shd w:val="clear" w:color="auto" w:fill="C7CDE8"/>
          </w:tcPr>
          <w:p>
            <w:pPr>
              <w:spacing w:after="0"/>
              <w:rPr>
                <w:sz w:val="19"/>
                <w:szCs w:val="19"/>
                <w:color w:val="auto"/>
              </w:rPr>
            </w:pPr>
          </w:p>
        </w:tc>
        <w:tc>
          <w:tcPr>
            <w:tcW w:w="140" w:type="dxa"/>
            <w:vAlign w:val="bottom"/>
            <w:shd w:val="clear" w:color="auto" w:fill="C7CDE8"/>
          </w:tcPr>
          <w:p>
            <w:pPr>
              <w:spacing w:after="0"/>
              <w:rPr>
                <w:sz w:val="19"/>
                <w:szCs w:val="19"/>
                <w:color w:val="auto"/>
              </w:rPr>
            </w:pPr>
          </w:p>
        </w:tc>
        <w:tc>
          <w:tcPr>
            <w:tcW w:w="200" w:type="dxa"/>
            <w:vAlign w:val="bottom"/>
            <w:shd w:val="clear" w:color="auto" w:fill="C7CDE8"/>
          </w:tcPr>
          <w:p>
            <w:pPr>
              <w:spacing w:after="0"/>
              <w:rPr>
                <w:sz w:val="19"/>
                <w:szCs w:val="19"/>
                <w:color w:val="auto"/>
              </w:rPr>
            </w:pPr>
          </w:p>
        </w:tc>
        <w:tc>
          <w:tcPr>
            <w:tcW w:w="500" w:type="dxa"/>
            <w:vAlign w:val="bottom"/>
            <w:shd w:val="clear" w:color="auto" w:fill="C7CDE8"/>
          </w:tcPr>
          <w:p>
            <w:pPr>
              <w:spacing w:after="0"/>
              <w:rPr>
                <w:sz w:val="19"/>
                <w:szCs w:val="19"/>
                <w:color w:val="auto"/>
              </w:rPr>
            </w:pPr>
          </w:p>
        </w:tc>
        <w:tc>
          <w:tcPr>
            <w:tcW w:w="140" w:type="dxa"/>
            <w:vAlign w:val="bottom"/>
            <w:shd w:val="clear" w:color="auto" w:fill="C7CDE8"/>
          </w:tcPr>
          <w:p>
            <w:pPr>
              <w:spacing w:after="0"/>
              <w:rPr>
                <w:sz w:val="19"/>
                <w:szCs w:val="19"/>
                <w:color w:val="auto"/>
              </w:rPr>
            </w:pPr>
          </w:p>
        </w:tc>
        <w:tc>
          <w:tcPr>
            <w:tcW w:w="120" w:type="dxa"/>
            <w:vAlign w:val="bottom"/>
            <w:shd w:val="clear" w:color="auto" w:fill="C7CDE8"/>
          </w:tcPr>
          <w:p>
            <w:pPr>
              <w:spacing w:after="0"/>
              <w:rPr>
                <w:sz w:val="19"/>
                <w:szCs w:val="19"/>
                <w:color w:val="auto"/>
              </w:rPr>
            </w:pPr>
          </w:p>
        </w:tc>
        <w:tc>
          <w:tcPr>
            <w:tcW w:w="780" w:type="dxa"/>
            <w:vAlign w:val="bottom"/>
            <w:shd w:val="clear" w:color="auto" w:fill="C7CDE8"/>
          </w:tcPr>
          <w:p>
            <w:pPr>
              <w:spacing w:after="0"/>
              <w:rPr>
                <w:sz w:val="19"/>
                <w:szCs w:val="19"/>
                <w:color w:val="auto"/>
              </w:rPr>
            </w:pPr>
          </w:p>
        </w:tc>
        <w:tc>
          <w:tcPr>
            <w:tcW w:w="80" w:type="dxa"/>
            <w:vAlign w:val="bottom"/>
            <w:shd w:val="clear" w:color="auto" w:fill="C7CDE8"/>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2780" w:type="dxa"/>
            <w:vAlign w:val="bottom"/>
            <w:shd w:val="clear" w:color="auto" w:fill="C7CDE8"/>
          </w:tcPr>
          <w:p>
            <w:pPr>
              <w:ind w:left="80"/>
              <w:spacing w:after="0" w:line="284" w:lineRule="exact"/>
              <w:rPr>
                <w:sz w:val="20"/>
                <w:szCs w:val="20"/>
                <w:color w:val="auto"/>
              </w:rPr>
            </w:pPr>
            <w:r>
              <w:rPr>
                <w:rFonts w:ascii="Times New Roman" w:cs="Times New Roman" w:eastAsia="Times New Roman" w:hAnsi="Times New Roman"/>
                <w:sz w:val="18"/>
                <w:szCs w:val="18"/>
                <w:color w:val="auto"/>
              </w:rPr>
              <w:t>Good Reason</w:t>
            </w:r>
            <w:r>
              <w:rPr>
                <w:rFonts w:ascii="Times New Roman" w:cs="Times New Roman" w:eastAsia="Times New Roman" w:hAnsi="Times New Roman"/>
                <w:sz w:val="29"/>
                <w:szCs w:val="29"/>
                <w:color w:val="auto"/>
                <w:vertAlign w:val="superscript"/>
              </w:rPr>
              <w:t>(2)</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$2,837,640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$5,675,280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8,276,537</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$28,481</w:t>
            </w:r>
          </w:p>
        </w:tc>
        <w:tc>
          <w:tcPr>
            <w:tcW w:w="10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$16,817,938</w:t>
            </w: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$4,729,400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$9,458,800</w:t>
            </w:r>
          </w:p>
        </w:tc>
        <w:tc>
          <w:tcPr>
            <w:tcW w:w="110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$25,406,956</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10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$39,642,624</w:t>
            </w: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780" w:type="dxa"/>
            <w:vAlign w:val="bottom"/>
            <w:shd w:val="clear" w:color="auto" w:fill="C7CDE8"/>
          </w:tcPr>
          <w:p>
            <w:pPr>
              <w:ind w:left="80"/>
              <w:spacing w:after="0" w:line="288" w:lineRule="exact"/>
              <w:rPr>
                <w:sz w:val="20"/>
                <w:szCs w:val="20"/>
                <w:color w:val="auto"/>
              </w:rPr>
            </w:pPr>
            <w:r>
              <w:rPr>
                <w:rFonts w:ascii="Times New Roman" w:cs="Times New Roman" w:eastAsia="Times New Roman" w:hAnsi="Times New Roman"/>
                <w:sz w:val="18"/>
                <w:szCs w:val="18"/>
                <w:b w:val="1"/>
                <w:bCs w:val="1"/>
                <w:color w:val="auto"/>
              </w:rPr>
              <w:t>Carl Merton</w:t>
            </w:r>
            <w:r>
              <w:rPr>
                <w:rFonts w:ascii="Times New Roman" w:cs="Times New Roman" w:eastAsia="Times New Roman" w:hAnsi="Times New Roman"/>
                <w:sz w:val="29"/>
                <w:szCs w:val="29"/>
                <w:b w:val="1"/>
                <w:bCs w:val="1"/>
                <w:color w:val="auto"/>
                <w:vertAlign w:val="superscript"/>
              </w:rPr>
              <w:t>(3)</w:t>
            </w:r>
          </w:p>
        </w:tc>
        <w:tc>
          <w:tcPr>
            <w:tcW w:w="620" w:type="dxa"/>
            <w:vAlign w:val="bottom"/>
            <w:shd w:val="clear" w:color="auto" w:fill="C7CDE8"/>
          </w:tcPr>
          <w:p>
            <w:pPr>
              <w:spacing w:after="0"/>
              <w:rPr>
                <w:sz w:val="24"/>
                <w:szCs w:val="24"/>
                <w:color w:val="auto"/>
              </w:rPr>
            </w:pPr>
          </w:p>
        </w:tc>
        <w:tc>
          <w:tcPr>
            <w:tcW w:w="140" w:type="dxa"/>
            <w:vAlign w:val="bottom"/>
            <w:shd w:val="clear" w:color="auto" w:fill="C7CDE8"/>
          </w:tcPr>
          <w:p>
            <w:pPr>
              <w:spacing w:after="0"/>
              <w:rPr>
                <w:sz w:val="24"/>
                <w:szCs w:val="24"/>
                <w:color w:val="auto"/>
              </w:rPr>
            </w:pPr>
          </w:p>
        </w:tc>
        <w:tc>
          <w:tcPr>
            <w:tcW w:w="120" w:type="dxa"/>
            <w:vAlign w:val="bottom"/>
            <w:shd w:val="clear" w:color="auto" w:fill="C7CDE8"/>
          </w:tcPr>
          <w:p>
            <w:pPr>
              <w:spacing w:after="0"/>
              <w:rPr>
                <w:sz w:val="24"/>
                <w:szCs w:val="24"/>
                <w:color w:val="auto"/>
              </w:rPr>
            </w:pPr>
          </w:p>
        </w:tc>
        <w:tc>
          <w:tcPr>
            <w:tcW w:w="720" w:type="dxa"/>
            <w:vAlign w:val="bottom"/>
            <w:shd w:val="clear" w:color="auto" w:fill="C7CDE8"/>
          </w:tcPr>
          <w:p>
            <w:pPr>
              <w:spacing w:after="0"/>
              <w:rPr>
                <w:sz w:val="24"/>
                <w:szCs w:val="24"/>
                <w:color w:val="auto"/>
              </w:rPr>
            </w:pPr>
          </w:p>
        </w:tc>
        <w:tc>
          <w:tcPr>
            <w:tcW w:w="140" w:type="dxa"/>
            <w:vAlign w:val="bottom"/>
            <w:shd w:val="clear" w:color="auto" w:fill="C7CDE8"/>
          </w:tcPr>
          <w:p>
            <w:pPr>
              <w:spacing w:after="0"/>
              <w:rPr>
                <w:sz w:val="24"/>
                <w:szCs w:val="24"/>
                <w:color w:val="auto"/>
              </w:rPr>
            </w:pPr>
          </w:p>
        </w:tc>
        <w:tc>
          <w:tcPr>
            <w:tcW w:w="160" w:type="dxa"/>
            <w:vAlign w:val="bottom"/>
            <w:shd w:val="clear" w:color="auto" w:fill="C7CDE8"/>
          </w:tcPr>
          <w:p>
            <w:pPr>
              <w:spacing w:after="0"/>
              <w:rPr>
                <w:sz w:val="24"/>
                <w:szCs w:val="24"/>
                <w:color w:val="auto"/>
              </w:rPr>
            </w:pPr>
          </w:p>
        </w:tc>
        <w:tc>
          <w:tcPr>
            <w:tcW w:w="680" w:type="dxa"/>
            <w:vAlign w:val="bottom"/>
            <w:shd w:val="clear" w:color="auto" w:fill="C7CDE8"/>
          </w:tcPr>
          <w:p>
            <w:pPr>
              <w:spacing w:after="0"/>
              <w:rPr>
                <w:sz w:val="24"/>
                <w:szCs w:val="24"/>
                <w:color w:val="auto"/>
              </w:rPr>
            </w:pPr>
          </w:p>
        </w:tc>
        <w:tc>
          <w:tcPr>
            <w:tcW w:w="120" w:type="dxa"/>
            <w:vAlign w:val="bottom"/>
            <w:shd w:val="clear" w:color="auto" w:fill="C7CDE8"/>
          </w:tcPr>
          <w:p>
            <w:pPr>
              <w:spacing w:after="0"/>
              <w:rPr>
                <w:sz w:val="24"/>
                <w:szCs w:val="24"/>
                <w:color w:val="auto"/>
              </w:rPr>
            </w:pPr>
          </w:p>
        </w:tc>
        <w:tc>
          <w:tcPr>
            <w:tcW w:w="160" w:type="dxa"/>
            <w:vAlign w:val="bottom"/>
            <w:shd w:val="clear" w:color="auto" w:fill="C7CDE8"/>
          </w:tcPr>
          <w:p>
            <w:pPr>
              <w:spacing w:after="0"/>
              <w:rPr>
                <w:sz w:val="24"/>
                <w:szCs w:val="24"/>
                <w:color w:val="auto"/>
              </w:rPr>
            </w:pPr>
          </w:p>
        </w:tc>
        <w:tc>
          <w:tcPr>
            <w:tcW w:w="820" w:type="dxa"/>
            <w:vAlign w:val="bottom"/>
            <w:shd w:val="clear" w:color="auto" w:fill="C7CDE8"/>
          </w:tcPr>
          <w:p>
            <w:pPr>
              <w:spacing w:after="0"/>
              <w:rPr>
                <w:sz w:val="24"/>
                <w:szCs w:val="24"/>
                <w:color w:val="auto"/>
              </w:rPr>
            </w:pPr>
          </w:p>
        </w:tc>
        <w:tc>
          <w:tcPr>
            <w:tcW w:w="140" w:type="dxa"/>
            <w:vAlign w:val="bottom"/>
            <w:shd w:val="clear" w:color="auto" w:fill="C7CDE8"/>
          </w:tcPr>
          <w:p>
            <w:pPr>
              <w:spacing w:after="0"/>
              <w:rPr>
                <w:sz w:val="24"/>
                <w:szCs w:val="24"/>
                <w:color w:val="auto"/>
              </w:rPr>
            </w:pPr>
          </w:p>
        </w:tc>
        <w:tc>
          <w:tcPr>
            <w:tcW w:w="200" w:type="dxa"/>
            <w:vAlign w:val="bottom"/>
            <w:shd w:val="clear" w:color="auto" w:fill="C7CDE8"/>
          </w:tcPr>
          <w:p>
            <w:pPr>
              <w:spacing w:after="0"/>
              <w:rPr>
                <w:sz w:val="24"/>
                <w:szCs w:val="24"/>
                <w:color w:val="auto"/>
              </w:rPr>
            </w:pPr>
          </w:p>
        </w:tc>
        <w:tc>
          <w:tcPr>
            <w:tcW w:w="500" w:type="dxa"/>
            <w:vAlign w:val="bottom"/>
            <w:shd w:val="clear" w:color="auto" w:fill="C7CDE8"/>
          </w:tcPr>
          <w:p>
            <w:pPr>
              <w:spacing w:after="0"/>
              <w:rPr>
                <w:sz w:val="24"/>
                <w:szCs w:val="24"/>
                <w:color w:val="auto"/>
              </w:rPr>
            </w:pPr>
          </w:p>
        </w:tc>
        <w:tc>
          <w:tcPr>
            <w:tcW w:w="140" w:type="dxa"/>
            <w:vAlign w:val="bottom"/>
            <w:shd w:val="clear" w:color="auto" w:fill="C7CDE8"/>
          </w:tcPr>
          <w:p>
            <w:pPr>
              <w:spacing w:after="0"/>
              <w:rPr>
                <w:sz w:val="24"/>
                <w:szCs w:val="24"/>
                <w:color w:val="auto"/>
              </w:rPr>
            </w:pPr>
          </w:p>
        </w:tc>
        <w:tc>
          <w:tcPr>
            <w:tcW w:w="120" w:type="dxa"/>
            <w:vAlign w:val="bottom"/>
            <w:shd w:val="clear" w:color="auto" w:fill="C7CDE8"/>
          </w:tcPr>
          <w:p>
            <w:pPr>
              <w:spacing w:after="0"/>
              <w:rPr>
                <w:sz w:val="24"/>
                <w:szCs w:val="24"/>
                <w:color w:val="auto"/>
              </w:rPr>
            </w:pPr>
          </w:p>
        </w:tc>
        <w:tc>
          <w:tcPr>
            <w:tcW w:w="780" w:type="dxa"/>
            <w:vAlign w:val="bottom"/>
            <w:shd w:val="clear" w:color="auto" w:fill="C7CDE8"/>
          </w:tcPr>
          <w:p>
            <w:pPr>
              <w:spacing w:after="0"/>
              <w:rPr>
                <w:sz w:val="24"/>
                <w:szCs w:val="24"/>
                <w:color w:val="auto"/>
              </w:rPr>
            </w:pPr>
          </w:p>
        </w:tc>
        <w:tc>
          <w:tcPr>
            <w:tcW w:w="80" w:type="dxa"/>
            <w:vAlign w:val="bottom"/>
            <w:shd w:val="clear" w:color="auto" w:fill="C7CDE8"/>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Termination Without Cause or for</w:t>
            </w:r>
          </w:p>
        </w:tc>
        <w:tc>
          <w:tcPr>
            <w:tcW w:w="6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68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200" w:type="dxa"/>
            <w:vAlign w:val="bottom"/>
            <w:shd w:val="clear" w:color="auto" w:fill="C7CDE8"/>
          </w:tcPr>
          <w:p>
            <w:pPr>
              <w:spacing w:after="0"/>
              <w:rPr>
                <w:sz w:val="18"/>
                <w:szCs w:val="18"/>
                <w:color w:val="auto"/>
              </w:rPr>
            </w:pPr>
          </w:p>
        </w:tc>
        <w:tc>
          <w:tcPr>
            <w:tcW w:w="50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Good Reason</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388,304</w:t>
            </w:r>
          </w:p>
        </w:tc>
        <w:tc>
          <w:tcPr>
            <w:tcW w:w="30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w w:val="99"/>
              </w:rPr>
              <w:t>388,304</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1,184,312</w:t>
            </w:r>
          </w:p>
        </w:tc>
        <w:tc>
          <w:tcPr>
            <w:tcW w:w="3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1,963,995</w:t>
            </w: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6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776,608</w:t>
            </w:r>
          </w:p>
        </w:tc>
        <w:tc>
          <w:tcPr>
            <w:tcW w:w="30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w w:val="99"/>
              </w:rPr>
              <w:t>776,608</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3,578,205</w:t>
            </w:r>
          </w:p>
        </w:tc>
        <w:tc>
          <w:tcPr>
            <w:tcW w:w="34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5,134,497</w:t>
            </w:r>
          </w:p>
        </w:tc>
        <w:tc>
          <w:tcPr>
            <w:tcW w:w="80" w:type="dxa"/>
            <w:vAlign w:val="bottom"/>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color w:val="auto"/>
              </w:rPr>
              <w:t>Denise Faltischek</w:t>
            </w:r>
          </w:p>
        </w:tc>
        <w:tc>
          <w:tcPr>
            <w:tcW w:w="6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68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8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200" w:type="dxa"/>
            <w:vAlign w:val="bottom"/>
            <w:shd w:val="clear" w:color="auto" w:fill="C7CDE8"/>
          </w:tcPr>
          <w:p>
            <w:pPr>
              <w:spacing w:after="0"/>
              <w:rPr>
                <w:sz w:val="21"/>
                <w:szCs w:val="21"/>
                <w:color w:val="auto"/>
              </w:rPr>
            </w:pPr>
          </w:p>
        </w:tc>
        <w:tc>
          <w:tcPr>
            <w:tcW w:w="50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8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Termination Without Cause or for</w:t>
            </w:r>
          </w:p>
        </w:tc>
        <w:tc>
          <w:tcPr>
            <w:tcW w:w="6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68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200" w:type="dxa"/>
            <w:vAlign w:val="bottom"/>
            <w:shd w:val="clear" w:color="auto" w:fill="C7CDE8"/>
          </w:tcPr>
          <w:p>
            <w:pPr>
              <w:spacing w:after="0"/>
              <w:rPr>
                <w:sz w:val="18"/>
                <w:szCs w:val="18"/>
                <w:color w:val="auto"/>
              </w:rPr>
            </w:pPr>
          </w:p>
        </w:tc>
        <w:tc>
          <w:tcPr>
            <w:tcW w:w="50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Good Reason</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30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w w:val="99"/>
              </w:rPr>
              <w:t>600,000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1,509,367</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2,728,354</w:t>
            </w: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$1,200,000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$1,200,000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3,936,403</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$18,987</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6,355,390</w:t>
            </w:r>
          </w:p>
        </w:tc>
        <w:tc>
          <w:tcPr>
            <w:tcW w:w="80" w:type="dxa"/>
            <w:vAlign w:val="bottom"/>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color w:val="auto"/>
              </w:rPr>
              <w:t>Roger Savell</w:t>
            </w:r>
          </w:p>
        </w:tc>
        <w:tc>
          <w:tcPr>
            <w:tcW w:w="6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68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8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200" w:type="dxa"/>
            <w:vAlign w:val="bottom"/>
            <w:shd w:val="clear" w:color="auto" w:fill="C7CDE8"/>
          </w:tcPr>
          <w:p>
            <w:pPr>
              <w:spacing w:after="0"/>
              <w:rPr>
                <w:sz w:val="21"/>
                <w:szCs w:val="21"/>
                <w:color w:val="auto"/>
              </w:rPr>
            </w:pPr>
          </w:p>
        </w:tc>
        <w:tc>
          <w:tcPr>
            <w:tcW w:w="50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8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Termination Without Cause or for</w:t>
            </w:r>
          </w:p>
        </w:tc>
        <w:tc>
          <w:tcPr>
            <w:tcW w:w="6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68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200" w:type="dxa"/>
            <w:vAlign w:val="bottom"/>
            <w:shd w:val="clear" w:color="auto" w:fill="C7CDE8"/>
          </w:tcPr>
          <w:p>
            <w:pPr>
              <w:spacing w:after="0"/>
              <w:rPr>
                <w:sz w:val="18"/>
                <w:szCs w:val="18"/>
                <w:color w:val="auto"/>
              </w:rPr>
            </w:pPr>
          </w:p>
        </w:tc>
        <w:tc>
          <w:tcPr>
            <w:tcW w:w="50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Good Reason</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30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w w:val="99"/>
              </w:rPr>
              <w:t>525,000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1,285,240</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2,347,431</w:t>
            </w: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$1,050,000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$1,050,000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3,122,400</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$12,191</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5,234,591</w:t>
            </w:r>
          </w:p>
        </w:tc>
        <w:tc>
          <w:tcPr>
            <w:tcW w:w="80" w:type="dxa"/>
            <w:vAlign w:val="bottom"/>
            <w:shd w:val="clear" w:color="auto" w:fill="C7CDE8"/>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b w:val="1"/>
                <w:bCs w:val="1"/>
                <w:color w:val="auto"/>
              </w:rPr>
              <w:t>Mitchell Gendel</w:t>
            </w:r>
          </w:p>
        </w:tc>
        <w:tc>
          <w:tcPr>
            <w:tcW w:w="6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68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160" w:type="dxa"/>
            <w:vAlign w:val="bottom"/>
            <w:shd w:val="clear" w:color="auto" w:fill="C7CDE8"/>
          </w:tcPr>
          <w:p>
            <w:pPr>
              <w:spacing w:after="0"/>
              <w:rPr>
                <w:sz w:val="21"/>
                <w:szCs w:val="21"/>
                <w:color w:val="auto"/>
              </w:rPr>
            </w:pPr>
          </w:p>
        </w:tc>
        <w:tc>
          <w:tcPr>
            <w:tcW w:w="82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200" w:type="dxa"/>
            <w:vAlign w:val="bottom"/>
            <w:shd w:val="clear" w:color="auto" w:fill="C7CDE8"/>
          </w:tcPr>
          <w:p>
            <w:pPr>
              <w:spacing w:after="0"/>
              <w:rPr>
                <w:sz w:val="21"/>
                <w:szCs w:val="21"/>
                <w:color w:val="auto"/>
              </w:rPr>
            </w:pPr>
          </w:p>
        </w:tc>
        <w:tc>
          <w:tcPr>
            <w:tcW w:w="500" w:type="dxa"/>
            <w:vAlign w:val="bottom"/>
            <w:shd w:val="clear" w:color="auto" w:fill="C7CDE8"/>
          </w:tcPr>
          <w:p>
            <w:pPr>
              <w:spacing w:after="0"/>
              <w:rPr>
                <w:sz w:val="21"/>
                <w:szCs w:val="21"/>
                <w:color w:val="auto"/>
              </w:rPr>
            </w:pPr>
          </w:p>
        </w:tc>
        <w:tc>
          <w:tcPr>
            <w:tcW w:w="140" w:type="dxa"/>
            <w:vAlign w:val="bottom"/>
            <w:shd w:val="clear" w:color="auto" w:fill="C7CDE8"/>
          </w:tcPr>
          <w:p>
            <w:pPr>
              <w:spacing w:after="0"/>
              <w:rPr>
                <w:sz w:val="21"/>
                <w:szCs w:val="21"/>
                <w:color w:val="auto"/>
              </w:rPr>
            </w:pPr>
          </w:p>
        </w:tc>
        <w:tc>
          <w:tcPr>
            <w:tcW w:w="120" w:type="dxa"/>
            <w:vAlign w:val="bottom"/>
            <w:shd w:val="clear" w:color="auto" w:fill="C7CDE8"/>
          </w:tcPr>
          <w:p>
            <w:pPr>
              <w:spacing w:after="0"/>
              <w:rPr>
                <w:sz w:val="21"/>
                <w:szCs w:val="21"/>
                <w:color w:val="auto"/>
              </w:rPr>
            </w:pPr>
          </w:p>
        </w:tc>
        <w:tc>
          <w:tcPr>
            <w:tcW w:w="780" w:type="dxa"/>
            <w:vAlign w:val="bottom"/>
            <w:shd w:val="clear" w:color="auto" w:fill="C7CDE8"/>
          </w:tcPr>
          <w:p>
            <w:pPr>
              <w:spacing w:after="0"/>
              <w:rPr>
                <w:sz w:val="21"/>
                <w:szCs w:val="21"/>
                <w:color w:val="auto"/>
              </w:rPr>
            </w:pP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Termination Without Cause or for</w:t>
            </w:r>
          </w:p>
        </w:tc>
        <w:tc>
          <w:tcPr>
            <w:tcW w:w="6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68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160" w:type="dxa"/>
            <w:vAlign w:val="bottom"/>
            <w:shd w:val="clear" w:color="auto" w:fill="C7CDE8"/>
          </w:tcPr>
          <w:p>
            <w:pPr>
              <w:spacing w:after="0"/>
              <w:rPr>
                <w:sz w:val="18"/>
                <w:szCs w:val="18"/>
                <w:color w:val="auto"/>
              </w:rPr>
            </w:pPr>
          </w:p>
        </w:tc>
        <w:tc>
          <w:tcPr>
            <w:tcW w:w="82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200" w:type="dxa"/>
            <w:vAlign w:val="bottom"/>
            <w:shd w:val="clear" w:color="auto" w:fill="C7CDE8"/>
          </w:tcPr>
          <w:p>
            <w:pPr>
              <w:spacing w:after="0"/>
              <w:rPr>
                <w:sz w:val="18"/>
                <w:szCs w:val="18"/>
                <w:color w:val="auto"/>
              </w:rPr>
            </w:pPr>
          </w:p>
        </w:tc>
        <w:tc>
          <w:tcPr>
            <w:tcW w:w="500" w:type="dxa"/>
            <w:vAlign w:val="bottom"/>
            <w:shd w:val="clear" w:color="auto" w:fill="C7CDE8"/>
          </w:tcPr>
          <w:p>
            <w:pPr>
              <w:spacing w:after="0"/>
              <w:rPr>
                <w:sz w:val="18"/>
                <w:szCs w:val="18"/>
                <w:color w:val="auto"/>
              </w:rPr>
            </w:pPr>
          </w:p>
        </w:tc>
        <w:tc>
          <w:tcPr>
            <w:tcW w:w="140" w:type="dxa"/>
            <w:vAlign w:val="bottom"/>
            <w:shd w:val="clear" w:color="auto" w:fill="C7CDE8"/>
          </w:tcPr>
          <w:p>
            <w:pPr>
              <w:spacing w:after="0"/>
              <w:rPr>
                <w:sz w:val="18"/>
                <w:szCs w:val="18"/>
                <w:color w:val="auto"/>
              </w:rPr>
            </w:pPr>
          </w:p>
        </w:tc>
        <w:tc>
          <w:tcPr>
            <w:tcW w:w="120" w:type="dxa"/>
            <w:vAlign w:val="bottom"/>
            <w:shd w:val="clear" w:color="auto" w:fill="C7CDE8"/>
          </w:tcPr>
          <w:p>
            <w:pPr>
              <w:spacing w:after="0"/>
              <w:rPr>
                <w:sz w:val="18"/>
                <w:szCs w:val="18"/>
                <w:color w:val="auto"/>
              </w:rPr>
            </w:pPr>
          </w:p>
        </w:tc>
        <w:tc>
          <w:tcPr>
            <w:tcW w:w="780" w:type="dxa"/>
            <w:vAlign w:val="bottom"/>
            <w:shd w:val="clear" w:color="auto" w:fill="C7CDE8"/>
          </w:tcPr>
          <w:p>
            <w:pPr>
              <w:spacing w:after="0"/>
              <w:rPr>
                <w:sz w:val="18"/>
                <w:szCs w:val="18"/>
                <w:color w:val="auto"/>
              </w:rPr>
            </w:pPr>
          </w:p>
        </w:tc>
        <w:tc>
          <w:tcPr>
            <w:tcW w:w="80" w:type="dxa"/>
            <w:vAlign w:val="bottom"/>
            <w:shd w:val="clear" w:color="auto" w:fill="C7CDE8"/>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Good Reason</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6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300" w:type="dxa"/>
            <w:vAlign w:val="bottom"/>
            <w:gridSpan w:val="2"/>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w w:val="99"/>
              </w:rPr>
              <w:t>560,000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1,410,712</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2,544,945</w:t>
            </w:r>
          </w:p>
        </w:tc>
        <w:tc>
          <w:tcPr>
            <w:tcW w:w="80" w:type="dxa"/>
            <w:vAlign w:val="bottom"/>
            <w:shd w:val="clear" w:color="auto" w:fill="C7CD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80" w:type="dxa"/>
            <w:vAlign w:val="bottom"/>
            <w:shd w:val="clear" w:color="auto" w:fill="C7CDE8"/>
          </w:tcPr>
          <w:p>
            <w:pPr>
              <w:ind w:left="80"/>
              <w:spacing w:after="0"/>
              <w:rPr>
                <w:sz w:val="20"/>
                <w:szCs w:val="20"/>
                <w:color w:val="auto"/>
              </w:rPr>
            </w:pPr>
            <w:r>
              <w:rPr>
                <w:rFonts w:ascii="Times New Roman" w:cs="Times New Roman" w:eastAsia="Times New Roman" w:hAnsi="Times New Roman"/>
                <w:sz w:val="18"/>
                <w:szCs w:val="18"/>
                <w:color w:val="auto"/>
              </w:rPr>
              <w:t>Change of Control</w:t>
            </w:r>
          </w:p>
        </w:tc>
        <w:tc>
          <w:tcPr>
            <w:tcW w:w="620" w:type="dxa"/>
            <w:vAlign w:val="bottom"/>
            <w:shd w:val="clear" w:color="auto" w:fill="C7CDE8"/>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$1,120,000</w:t>
            </w:r>
          </w:p>
        </w:tc>
        <w:tc>
          <w:tcPr>
            <w:tcW w:w="980" w:type="dxa"/>
            <w:vAlign w:val="bottom"/>
            <w:gridSpan w:val="3"/>
            <w:shd w:val="clear" w:color="auto" w:fill="C7CDE8"/>
          </w:tcPr>
          <w:p>
            <w:pPr>
              <w:ind w:left="140"/>
              <w:spacing w:after="0"/>
              <w:rPr>
                <w:sz w:val="20"/>
                <w:szCs w:val="20"/>
                <w:color w:val="auto"/>
              </w:rPr>
            </w:pPr>
            <w:r>
              <w:rPr>
                <w:rFonts w:ascii="Times New Roman" w:cs="Times New Roman" w:eastAsia="Times New Roman" w:hAnsi="Times New Roman"/>
                <w:sz w:val="18"/>
                <w:szCs w:val="18"/>
                <w:color w:val="auto"/>
              </w:rPr>
              <w:t>$1,120,000</w:t>
            </w:r>
          </w:p>
        </w:tc>
        <w:tc>
          <w:tcPr>
            <w:tcW w:w="28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3,530,307</w:t>
            </w:r>
          </w:p>
        </w:tc>
        <w:tc>
          <w:tcPr>
            <w:tcW w:w="840" w:type="dxa"/>
            <w:vAlign w:val="bottom"/>
            <w:gridSpan w:val="3"/>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$14,233</w:t>
            </w:r>
          </w:p>
        </w:tc>
        <w:tc>
          <w:tcPr>
            <w:tcW w:w="260" w:type="dxa"/>
            <w:vAlign w:val="bottom"/>
            <w:gridSpan w:val="2"/>
            <w:shd w:val="clear" w:color="auto" w:fill="C7CDE8"/>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5,784,540</w:t>
            </w:r>
          </w:p>
        </w:tc>
        <w:tc>
          <w:tcPr>
            <w:tcW w:w="80" w:type="dxa"/>
            <w:vAlign w:val="bottom"/>
            <w:shd w:val="clear" w:color="auto" w:fill="C7CDE8"/>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80" w:type="dxa"/>
            <w:vAlign w:val="bottom"/>
            <w:shd w:val="clear" w:color="auto" w:fill="C7CDE8"/>
          </w:tcPr>
          <w:p>
            <w:pPr>
              <w:spacing w:after="0"/>
              <w:rPr>
                <w:sz w:val="4"/>
                <w:szCs w:val="4"/>
                <w:color w:val="auto"/>
              </w:rPr>
            </w:pPr>
          </w:p>
        </w:tc>
        <w:tc>
          <w:tcPr>
            <w:tcW w:w="62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72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68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160" w:type="dxa"/>
            <w:vAlign w:val="bottom"/>
            <w:shd w:val="clear" w:color="auto" w:fill="C7CDE8"/>
          </w:tcPr>
          <w:p>
            <w:pPr>
              <w:spacing w:after="0"/>
              <w:rPr>
                <w:sz w:val="4"/>
                <w:szCs w:val="4"/>
                <w:color w:val="auto"/>
              </w:rPr>
            </w:pPr>
          </w:p>
        </w:tc>
        <w:tc>
          <w:tcPr>
            <w:tcW w:w="82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200" w:type="dxa"/>
            <w:vAlign w:val="bottom"/>
            <w:shd w:val="clear" w:color="auto" w:fill="C7CDE8"/>
          </w:tcPr>
          <w:p>
            <w:pPr>
              <w:spacing w:after="0"/>
              <w:rPr>
                <w:sz w:val="4"/>
                <w:szCs w:val="4"/>
                <w:color w:val="auto"/>
              </w:rPr>
            </w:pPr>
          </w:p>
        </w:tc>
        <w:tc>
          <w:tcPr>
            <w:tcW w:w="500" w:type="dxa"/>
            <w:vAlign w:val="bottom"/>
            <w:shd w:val="clear" w:color="auto" w:fill="C7CDE8"/>
          </w:tcPr>
          <w:p>
            <w:pPr>
              <w:spacing w:after="0"/>
              <w:rPr>
                <w:sz w:val="4"/>
                <w:szCs w:val="4"/>
                <w:color w:val="auto"/>
              </w:rPr>
            </w:pPr>
          </w:p>
        </w:tc>
        <w:tc>
          <w:tcPr>
            <w:tcW w:w="140" w:type="dxa"/>
            <w:vAlign w:val="bottom"/>
            <w:shd w:val="clear" w:color="auto" w:fill="C7CDE8"/>
          </w:tcPr>
          <w:p>
            <w:pPr>
              <w:spacing w:after="0"/>
              <w:rPr>
                <w:sz w:val="4"/>
                <w:szCs w:val="4"/>
                <w:color w:val="auto"/>
              </w:rPr>
            </w:pPr>
          </w:p>
        </w:tc>
        <w:tc>
          <w:tcPr>
            <w:tcW w:w="120" w:type="dxa"/>
            <w:vAlign w:val="bottom"/>
            <w:shd w:val="clear" w:color="auto" w:fill="C7CDE8"/>
          </w:tcPr>
          <w:p>
            <w:pPr>
              <w:spacing w:after="0"/>
              <w:rPr>
                <w:sz w:val="4"/>
                <w:szCs w:val="4"/>
                <w:color w:val="auto"/>
              </w:rPr>
            </w:pPr>
          </w:p>
        </w:tc>
        <w:tc>
          <w:tcPr>
            <w:tcW w:w="780" w:type="dxa"/>
            <w:vAlign w:val="bottom"/>
            <w:shd w:val="clear" w:color="auto" w:fill="C7CDE8"/>
          </w:tcPr>
          <w:p>
            <w:pPr>
              <w:spacing w:after="0"/>
              <w:rPr>
                <w:sz w:val="4"/>
                <w:szCs w:val="4"/>
                <w:color w:val="auto"/>
              </w:rPr>
            </w:pPr>
          </w:p>
        </w:tc>
        <w:tc>
          <w:tcPr>
            <w:tcW w:w="80" w:type="dxa"/>
            <w:vAlign w:val="bottom"/>
            <w:shd w:val="clear" w:color="auto" w:fill="C7CDE8"/>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4" w:lineRule="exact"/>
        <w:rPr>
          <w:sz w:val="20"/>
          <w:szCs w:val="20"/>
          <w:color w:val="auto"/>
        </w:rPr>
      </w:pPr>
    </w:p>
    <w:p>
      <w:pPr>
        <w:ind w:left="640" w:right="39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all NEOs, the value of equity award acceleration of vesting is based on the closing stock price of $1.80 per share of our common stock as reported on the Nasdaq Global Select Market on May 31, 2024, and based on a 100% target vesting.</w:t>
      </w: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Simon is also entitled to certain payments upon termination of employment due to death or disability.</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for Mr. Merton are converted into USD with an exchange rate of $0.7326 (USD) to $1.0000 (CAD).</w:t>
      </w:r>
    </w:p>
    <w:p>
      <w:pPr>
        <w:spacing w:after="0" w:line="41"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COBRA calculations are based on current employer paid benefits as of May 31, 2024, for medical and dental coverage and based on family status.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3" w:name="page54"/>
    <w:bookmarkEnd w:id="53"/>
    <w:p>
      <w:pPr>
        <w:ind w:left="300"/>
        <w:spacing w:after="0"/>
        <w:rPr>
          <w:sz w:val="20"/>
          <w:szCs w:val="20"/>
          <w:color w:val="auto"/>
        </w:rPr>
      </w:pPr>
      <w:r>
        <w:rPr>
          <w:rFonts w:ascii="Arial" w:cs="Arial" w:eastAsia="Arial" w:hAnsi="Arial"/>
          <w:sz w:val="18"/>
          <w:szCs w:val="18"/>
          <w:b w:val="1"/>
          <w:bCs w:val="1"/>
          <w:color w:val="00489A"/>
        </w:rPr>
        <w:t>Say-On-Pay Results; Next Vote for 2025 Annual Meeting</w:t>
      </w:r>
    </w:p>
    <w:p>
      <w:pPr>
        <w:spacing w:after="0" w:line="103"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As a Large Accelerated Filer, the Nasdaq Global Select Market requires the Company to periodically hold a nonbinding advisory vote on our NEO compensation. Pursuant to an advisory vote at the Fiscal Year 2021 annual meeting, the Company adopted a frequency of every two years for solicitation of an advisory vote on our NEO compensation. Accordingly, the most recent vote occurred at the 2023 annual meeting, and the next such vote is expected to be solicited at our 2025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w:t>
      </w:r>
    </w:p>
    <w:p>
      <w:pPr>
        <w:spacing w:after="0" w:line="8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Board and Compensation Committee greatly value shareholder engagement and are committed to maintaining ongoing dialogue and incorporating stockholder feedback into the design of the executive compensation program going forward.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4" w:name="page55"/>
    <w:bookmarkEnd w:id="54"/>
    <w:p>
      <w:pPr>
        <w:jc w:val="center"/>
        <w:ind w:right="120"/>
        <w:spacing w:after="0"/>
        <w:rPr>
          <w:sz w:val="20"/>
          <w:szCs w:val="20"/>
          <w:color w:val="auto"/>
        </w:rPr>
      </w:pPr>
      <w:r>
        <w:rPr>
          <w:rFonts w:ascii="Arial" w:cs="Arial" w:eastAsia="Arial" w:hAnsi="Arial"/>
          <w:sz w:val="18"/>
          <w:szCs w:val="18"/>
          <w:b w:val="1"/>
          <w:bCs w:val="1"/>
          <w:color w:val="00489A"/>
        </w:rPr>
        <w:t>PAY VERSUS PERFORMANCE</w:t>
      </w:r>
    </w:p>
    <w:p>
      <w:pPr>
        <w:spacing w:after="0" w:line="103" w:lineRule="exact"/>
        <w:rPr>
          <w:sz w:val="20"/>
          <w:szCs w:val="20"/>
          <w:color w:val="auto"/>
        </w:rPr>
      </w:pPr>
    </w:p>
    <w:p>
      <w:pPr>
        <w:ind w:left="540" w:right="660" w:firstLine="360"/>
        <w:spacing w:after="0" w:line="255"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w:t>
      </w:r>
    </w:p>
    <w:p>
      <w:pPr>
        <w:spacing w:after="0" w:line="81" w:lineRule="exact"/>
        <w:rPr>
          <w:sz w:val="20"/>
          <w:szCs w:val="20"/>
          <w:color w:val="auto"/>
        </w:rPr>
      </w:pPr>
    </w:p>
    <w:p>
      <w:pPr>
        <w:ind w:left="540" w:right="640" w:firstLine="360"/>
        <w:spacing w:after="0" w:line="253" w:lineRule="auto"/>
        <w:rPr>
          <w:sz w:val="20"/>
          <w:szCs w:val="20"/>
          <w:color w:val="auto"/>
        </w:rPr>
      </w:pPr>
      <w:r>
        <w:rPr>
          <w:rFonts w:ascii="Times New Roman" w:cs="Times New Roman" w:eastAsia="Times New Roman" w:hAnsi="Times New Roman"/>
          <w:sz w:val="18"/>
          <w:szCs w:val="18"/>
          <w:color w:val="auto"/>
        </w:rPr>
        <w:t>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was 100% for the Synergy PSUs and HEXO PSUs The awards described in the Compensation Discussion &amp; Analysis section under “2024 EBITDA PSU Awards” granted during Fiscal Year 2024 did not have a fair value for purposes of ASC 718 on the grant date or as the last day of</w:t>
      </w:r>
    </w:p>
    <w:p>
      <w:pPr>
        <w:spacing w:after="0" w:line="1" w:lineRule="exact"/>
        <w:rPr>
          <w:sz w:val="20"/>
          <w:szCs w:val="20"/>
          <w:color w:val="auto"/>
        </w:rPr>
      </w:pPr>
    </w:p>
    <w:p>
      <w:pPr>
        <w:ind w:left="540" w:right="660"/>
        <w:spacing w:after="0" w:line="252" w:lineRule="auto"/>
        <w:rPr>
          <w:sz w:val="20"/>
          <w:szCs w:val="20"/>
          <w:color w:val="auto"/>
        </w:rPr>
      </w:pPr>
      <w:r>
        <w:rPr>
          <w:rFonts w:ascii="Times New Roman" w:cs="Times New Roman" w:eastAsia="Times New Roman" w:hAnsi="Times New Roman"/>
          <w:sz w:val="18"/>
          <w:szCs w:val="18"/>
          <w:color w:val="auto"/>
        </w:rPr>
        <w:t>Fiscal Year 2024 due to the three-year cumulative performance targets not having been set during Fiscal Year 2024. Therefore, there is no corresponding amount for the 2024 EBITDA PSU Awards included in the Pay Versus Performance Table or the tables in the footnotes to the Pay Versus Performance table below. See footnote 2 to the Summary Compensation Table for a discussion of the value of the 2024 EBITDA PSU Awards based on the value of a share of Company common stock as of the date of grant. Total shareholder return has been calculated in a manner consistent with Item 402(v) of Regulation S-K.</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500" w:type="dxa"/>
            <w:vAlign w:val="bottom"/>
            <w:tcBorders>
              <w:top w:val="single" w:sz="8" w:color="auto"/>
              <w:left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980" w:type="dxa"/>
            <w:vAlign w:val="bottom"/>
            <w:tcBorders>
              <w:top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0" w:type="dxa"/>
            <w:vAlign w:val="bottom"/>
            <w:tcBorders>
              <w:top w:val="single" w:sz="8" w:color="auto"/>
              <w:right w:val="single" w:sz="8" w:color="auto"/>
            </w:tcBorders>
          </w:tcPr>
          <w:p>
            <w:pPr>
              <w:spacing w:after="0"/>
              <w:rPr>
                <w:sz w:val="21"/>
                <w:szCs w:val="21"/>
                <w:color w:val="auto"/>
              </w:rPr>
            </w:pPr>
          </w:p>
        </w:tc>
        <w:tc>
          <w:tcPr>
            <w:tcW w:w="13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$100</w:t>
            </w:r>
          </w:p>
        </w:tc>
        <w:tc>
          <w:tcPr>
            <w:tcW w:w="40" w:type="dxa"/>
            <w:vAlign w:val="bottom"/>
            <w:tcBorders>
              <w:top w:val="single" w:sz="8" w:color="auto"/>
            </w:tcBorders>
          </w:tcPr>
          <w:p>
            <w:pPr>
              <w:spacing w:after="0"/>
              <w:rPr>
                <w:sz w:val="21"/>
                <w:szCs w:val="21"/>
                <w:color w:val="auto"/>
              </w:rPr>
            </w:pPr>
          </w:p>
        </w:tc>
        <w:tc>
          <w:tcPr>
            <w:tcW w:w="840" w:type="dxa"/>
            <w:vAlign w:val="bottom"/>
            <w:tcBorders>
              <w:top w:val="single" w:sz="8" w:color="auto"/>
              <w:right w:val="single" w:sz="8" w:color="auto"/>
            </w:tcBorders>
            <w:vMerge w:val="restart"/>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Net</w:t>
            </w:r>
          </w:p>
        </w:tc>
        <w:tc>
          <w:tcPr>
            <w:tcW w:w="7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5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Initial</w:t>
            </w:r>
          </w:p>
        </w:tc>
        <w:tc>
          <w:tcPr>
            <w:tcW w:w="40" w:type="dxa"/>
            <w:vAlign w:val="bottom"/>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8"/>
        </w:trPr>
        <w:tc>
          <w:tcPr>
            <w:tcW w:w="5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040" w:type="dxa"/>
            <w:vAlign w:val="bottom"/>
            <w:tcBorders>
              <w:right w:val="single" w:sz="8" w:color="auto"/>
            </w:tcBorders>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Average of</w:t>
            </w:r>
          </w:p>
        </w:tc>
        <w:tc>
          <w:tcPr>
            <w:tcW w:w="136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40" w:type="dxa"/>
            <w:vAlign w:val="bottom"/>
          </w:tcPr>
          <w:p>
            <w:pPr>
              <w:spacing w:after="0"/>
              <w:rPr>
                <w:sz w:val="12"/>
                <w:szCs w:val="12"/>
                <w:color w:val="auto"/>
              </w:rPr>
            </w:pPr>
          </w:p>
        </w:tc>
        <w:tc>
          <w:tcPr>
            <w:tcW w:w="840" w:type="dxa"/>
            <w:vAlign w:val="bottom"/>
            <w:tcBorders>
              <w:right w:val="single" w:sz="8" w:color="auto"/>
            </w:tcBorders>
          </w:tcPr>
          <w:p>
            <w:pPr>
              <w:jc w:val="center"/>
              <w:ind w:right="31"/>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Borders>
              <w:left w:val="single" w:sz="8" w:color="auto"/>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980" w:type="dxa"/>
            <w:vAlign w:val="bottom"/>
            <w:tcBorders>
              <w:right w:val="single" w:sz="8" w:color="auto"/>
            </w:tcBorders>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Current PEO</w:t>
            </w:r>
            <w:r>
              <w:rPr>
                <w:rFonts w:ascii="Times New Roman" w:cs="Times New Roman" w:eastAsia="Times New Roman" w:hAnsi="Times New Roman"/>
                <w:sz w:val="23"/>
                <w:szCs w:val="23"/>
                <w:b w:val="1"/>
                <w:bCs w:val="1"/>
                <w:color w:val="auto"/>
                <w:vertAlign w:val="superscript"/>
              </w:rPr>
              <w:t>2</w:t>
            </w:r>
          </w:p>
        </w:tc>
        <w:tc>
          <w:tcPr>
            <w:tcW w:w="2020" w:type="dxa"/>
            <w:vAlign w:val="bottom"/>
            <w:tcBorders>
              <w:right w:val="single" w:sz="8" w:color="auto"/>
            </w:tcBorders>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Prior PEO</w:t>
            </w:r>
            <w:r>
              <w:rPr>
                <w:rFonts w:ascii="Times New Roman" w:cs="Times New Roman" w:eastAsia="Times New Roman" w:hAnsi="Times New Roman"/>
                <w:sz w:val="23"/>
                <w:szCs w:val="23"/>
                <w:b w:val="1"/>
                <w:bCs w:val="1"/>
                <w:color w:val="auto"/>
                <w:vertAlign w:val="superscript"/>
              </w:rPr>
              <w:t>2</w:t>
            </w:r>
          </w:p>
        </w:tc>
        <w:tc>
          <w:tcPr>
            <w:tcW w:w="2040" w:type="dxa"/>
            <w:vAlign w:val="bottom"/>
            <w:tcBorders>
              <w:right w:val="single" w:sz="8" w:color="auto"/>
            </w:tcBorders>
            <w:gridSpan w:val="2"/>
            <w:vMerge w:val="continue"/>
          </w:tcPr>
          <w:p>
            <w:pPr>
              <w:spacing w:after="0"/>
              <w:rPr>
                <w:sz w:val="12"/>
                <w:szCs w:val="12"/>
                <w:color w:val="auto"/>
              </w:rPr>
            </w:pPr>
          </w:p>
        </w:tc>
        <w:tc>
          <w:tcPr>
            <w:tcW w:w="1360" w:type="dxa"/>
            <w:vAlign w:val="bottom"/>
            <w:tcBorders>
              <w:right w:val="single" w:sz="8" w:color="auto"/>
            </w:tcBorders>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40" w:type="dxa"/>
            <w:vAlign w:val="bottom"/>
          </w:tcPr>
          <w:p>
            <w:pPr>
              <w:spacing w:after="0"/>
              <w:rPr>
                <w:sz w:val="12"/>
                <w:szCs w:val="12"/>
                <w:color w:val="auto"/>
              </w:rPr>
            </w:pPr>
          </w:p>
        </w:tc>
        <w:tc>
          <w:tcPr>
            <w:tcW w:w="840" w:type="dxa"/>
            <w:vAlign w:val="bottom"/>
            <w:tcBorders>
              <w:right w:val="single" w:sz="8" w:color="auto"/>
            </w:tcBorders>
          </w:tcPr>
          <w:p>
            <w:pPr>
              <w:jc w:val="center"/>
              <w:ind w:right="11"/>
              <w:spacing w:after="0" w:line="149" w:lineRule="exact"/>
              <w:rPr>
                <w:sz w:val="20"/>
                <w:szCs w:val="20"/>
                <w:color w:val="auto"/>
              </w:rPr>
            </w:pPr>
            <w:r>
              <w:rPr>
                <w:rFonts w:ascii="Times New Roman" w:cs="Times New Roman" w:eastAsia="Times New Roman" w:hAnsi="Times New Roman"/>
                <w:sz w:val="11"/>
                <w:szCs w:val="11"/>
                <w:b w:val="1"/>
                <w:bCs w:val="1"/>
                <w:color w:val="auto"/>
              </w:rPr>
              <w:t>(Loss)</w:t>
            </w:r>
            <w:r>
              <w:rPr>
                <w:rFonts w:ascii="Times New Roman" w:cs="Times New Roman" w:eastAsia="Times New Roman" w:hAnsi="Times New Roman"/>
                <w:sz w:val="17"/>
                <w:szCs w:val="17"/>
                <w:b w:val="1"/>
                <w:bCs w:val="1"/>
                <w:color w:val="auto"/>
                <w:vertAlign w:val="superscript"/>
              </w:rPr>
              <w:t>10</w:t>
            </w:r>
          </w:p>
        </w:tc>
        <w:tc>
          <w:tcPr>
            <w:tcW w:w="7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EBITDA</w:t>
            </w:r>
            <w:r>
              <w:rPr>
                <w:rFonts w:ascii="Times New Roman" w:cs="Times New Roman" w:eastAsia="Times New Roman" w:hAnsi="Times New Roman"/>
                <w:sz w:val="17"/>
                <w:szCs w:val="17"/>
                <w:b w:val="1"/>
                <w:bCs w:val="1"/>
                <w:color w:val="auto"/>
                <w:vertAlign w:val="superscript"/>
              </w:rPr>
              <w:t>11</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3"/>
            <w:vMerge w:val="continue"/>
          </w:tcPr>
          <w:p>
            <w:pPr>
              <w:spacing w:after="0"/>
              <w:rPr>
                <w:sz w:val="18"/>
                <w:szCs w:val="18"/>
                <w:color w:val="auto"/>
              </w:rPr>
            </w:pPr>
          </w:p>
        </w:tc>
        <w:tc>
          <w:tcPr>
            <w:tcW w:w="2020" w:type="dxa"/>
            <w:vAlign w:val="bottom"/>
            <w:tcBorders>
              <w:bottom w:val="single" w:sz="8" w:color="auto"/>
              <w:right w:val="single" w:sz="8" w:color="auto"/>
            </w:tcBorders>
            <w:gridSpan w:val="2"/>
            <w:vMerge w:val="continue"/>
          </w:tcPr>
          <w:p>
            <w:pPr>
              <w:spacing w:after="0"/>
              <w:rPr>
                <w:sz w:val="18"/>
                <w:szCs w:val="18"/>
                <w:color w:val="auto"/>
              </w:rPr>
            </w:pPr>
          </w:p>
        </w:tc>
        <w:tc>
          <w:tcPr>
            <w:tcW w:w="2040" w:type="dxa"/>
            <w:vAlign w:val="bottom"/>
            <w:tcBorders>
              <w:bottom w:val="single" w:sz="8" w:color="auto"/>
              <w:right w:val="single" w:sz="8" w:color="auto"/>
            </w:tcBorders>
            <w:gridSpan w:val="2"/>
          </w:tcPr>
          <w:p>
            <w:pPr>
              <w:ind w:left="480"/>
              <w:spacing w:after="0" w:line="216" w:lineRule="exact"/>
              <w:rPr>
                <w:sz w:val="20"/>
                <w:szCs w:val="20"/>
                <w:color w:val="auto"/>
              </w:rPr>
            </w:pPr>
            <w:r>
              <w:rPr>
                <w:rFonts w:ascii="Times New Roman" w:cs="Times New Roman" w:eastAsia="Times New Roman" w:hAnsi="Times New Roman"/>
                <w:sz w:val="14"/>
                <w:szCs w:val="14"/>
                <w:b w:val="1"/>
                <w:bCs w:val="1"/>
                <w:color w:val="auto"/>
              </w:rPr>
              <w:t>Non-PEO NEOs</w:t>
            </w:r>
            <w:r>
              <w:rPr>
                <w:rFonts w:ascii="Times New Roman" w:cs="Times New Roman" w:eastAsia="Times New Roman" w:hAnsi="Times New Roman"/>
                <w:sz w:val="23"/>
                <w:szCs w:val="23"/>
                <w:b w:val="1"/>
                <w:bCs w:val="1"/>
                <w:color w:val="auto"/>
                <w:vertAlign w:val="superscript"/>
              </w:rPr>
              <w:t>3</w:t>
            </w:r>
          </w:p>
        </w:tc>
        <w:tc>
          <w:tcPr>
            <w:tcW w:w="800" w:type="dxa"/>
            <w:vAlign w:val="bottom"/>
            <w:tcBorders>
              <w:bottom w:val="single" w:sz="8" w:color="auto"/>
            </w:tcBorders>
            <w:gridSpan w:val="2"/>
          </w:tcPr>
          <w:p>
            <w:pPr>
              <w:jc w:val="center"/>
              <w:ind w:left="446"/>
              <w:spacing w:after="0"/>
              <w:rPr>
                <w:sz w:val="20"/>
                <w:szCs w:val="20"/>
                <w:color w:val="auto"/>
              </w:rPr>
            </w:pPr>
            <w:r>
              <w:rPr>
                <w:rFonts w:ascii="Times New Roman" w:cs="Times New Roman" w:eastAsia="Times New Roman" w:hAnsi="Times New Roman"/>
                <w:sz w:val="14"/>
                <w:szCs w:val="14"/>
                <w:b w:val="1"/>
                <w:bCs w:val="1"/>
                <w:color w:val="auto"/>
              </w:rPr>
              <w:t>On:</w:t>
            </w:r>
          </w:p>
        </w:tc>
        <w:tc>
          <w:tcPr>
            <w:tcW w:w="56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144"/>
        </w:trPr>
        <w:tc>
          <w:tcPr>
            <w:tcW w:w="5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980" w:type="dxa"/>
            <w:vAlign w:val="bottom"/>
            <w:tcBorders>
              <w:right w:val="single" w:sz="8" w:color="auto"/>
            </w:tcBorders>
            <w:gridSpan w:val="2"/>
          </w:tcPr>
          <w:p>
            <w:pPr>
              <w:jc w:val="center"/>
              <w:ind w:right="20"/>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SCT Total</w:t>
            </w:r>
          </w:p>
        </w:tc>
        <w:tc>
          <w:tcPr>
            <w:tcW w:w="98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1000" w:type="dxa"/>
            <w:vAlign w:val="bottom"/>
            <w:tcBorders>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20" w:type="dxa"/>
            <w:vAlign w:val="bottom"/>
          </w:tcPr>
          <w:p>
            <w:pPr>
              <w:spacing w:after="0"/>
              <w:rPr>
                <w:sz w:val="12"/>
                <w:szCs w:val="12"/>
                <w:color w:val="auto"/>
              </w:rPr>
            </w:pPr>
          </w:p>
        </w:tc>
        <w:tc>
          <w:tcPr>
            <w:tcW w:w="560" w:type="dxa"/>
            <w:vAlign w:val="bottom"/>
            <w:tcBorders>
              <w:right w:val="single" w:sz="8" w:color="auto"/>
            </w:tcBorders>
          </w:tcPr>
          <w:p>
            <w:pPr>
              <w:jc w:val="center"/>
              <w:ind w:right="5"/>
              <w:spacing w:after="0" w:line="145" w:lineRule="exact"/>
              <w:rPr>
                <w:sz w:val="20"/>
                <w:szCs w:val="20"/>
                <w:color w:val="auto"/>
              </w:rPr>
            </w:pPr>
            <w:r>
              <w:rPr>
                <w:rFonts w:ascii="Times New Roman" w:cs="Times New Roman" w:eastAsia="Times New Roman" w:hAnsi="Times New Roman"/>
                <w:sz w:val="14"/>
                <w:szCs w:val="14"/>
                <w:b w:val="1"/>
                <w:bCs w:val="1"/>
                <w:color w:val="auto"/>
              </w:rPr>
              <w:t>Peer</w:t>
            </w:r>
          </w:p>
        </w:tc>
        <w:tc>
          <w:tcPr>
            <w:tcW w:w="4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0" w:type="dxa"/>
            <w:vAlign w:val="bottom"/>
            <w:tcBorders>
              <w:left w:val="single" w:sz="8" w:color="auto"/>
              <w:right w:val="single" w:sz="8" w:color="auto"/>
            </w:tcBorders>
            <w:vMerge w:val="continue"/>
          </w:tcPr>
          <w:p>
            <w:pPr>
              <w:spacing w:after="0"/>
              <w:rPr>
                <w:sz w:val="13"/>
                <w:szCs w:val="13"/>
                <w:color w:val="auto"/>
              </w:rPr>
            </w:pPr>
          </w:p>
        </w:tc>
        <w:tc>
          <w:tcPr>
            <w:tcW w:w="1040" w:type="dxa"/>
            <w:vAlign w:val="bottom"/>
            <w:tcBorders>
              <w:right w:val="single" w:sz="8" w:color="auto"/>
            </w:tcBorders>
            <w:gridSpan w:val="2"/>
            <w:vMerge w:val="continue"/>
          </w:tcPr>
          <w:p>
            <w:pPr>
              <w:spacing w:after="0"/>
              <w:rPr>
                <w:sz w:val="13"/>
                <w:szCs w:val="13"/>
                <w:color w:val="auto"/>
              </w:rPr>
            </w:pPr>
          </w:p>
        </w:tc>
        <w:tc>
          <w:tcPr>
            <w:tcW w:w="980" w:type="dxa"/>
            <w:vAlign w:val="bottom"/>
            <w:tcBorders>
              <w:right w:val="single" w:sz="8" w:color="auto"/>
            </w:tcBorders>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040" w:type="dxa"/>
            <w:vAlign w:val="bottom"/>
            <w:tcBorders>
              <w:right w:val="single" w:sz="8" w:color="auto"/>
            </w:tcBorders>
            <w:vMerge w:val="continue"/>
          </w:tcPr>
          <w:p>
            <w:pPr>
              <w:spacing w:after="0"/>
              <w:rPr>
                <w:sz w:val="13"/>
                <w:szCs w:val="13"/>
                <w:color w:val="auto"/>
              </w:rPr>
            </w:pPr>
          </w:p>
        </w:tc>
        <w:tc>
          <w:tcPr>
            <w:tcW w:w="98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10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tcPr>
          <w:p>
            <w:pPr>
              <w:jc w:val="center"/>
              <w:ind w:right="5"/>
              <w:spacing w:after="0" w:line="159" w:lineRule="exact"/>
              <w:rPr>
                <w:sz w:val="20"/>
                <w:szCs w:val="20"/>
                <w:color w:val="auto"/>
              </w:rPr>
            </w:pPr>
            <w:r>
              <w:rPr>
                <w:rFonts w:ascii="Times New Roman" w:cs="Times New Roman" w:eastAsia="Times New Roman" w:hAnsi="Times New Roman"/>
                <w:sz w:val="14"/>
                <w:szCs w:val="14"/>
                <w:b w:val="1"/>
                <w:bCs w:val="1"/>
                <w:color w:val="auto"/>
              </w:rPr>
              <w:t>Actually</w:t>
            </w:r>
          </w:p>
        </w:tc>
        <w:tc>
          <w:tcPr>
            <w:tcW w:w="78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Borders>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Group</w:t>
            </w:r>
          </w:p>
        </w:tc>
        <w:tc>
          <w:tcPr>
            <w:tcW w:w="4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00" w:type="dxa"/>
            <w:vAlign w:val="bottom"/>
            <w:tcBorders>
              <w:left w:val="single" w:sz="8" w:color="auto"/>
              <w:bottom w:val="single" w:sz="8" w:color="auto"/>
              <w:right w:val="single" w:sz="8" w:color="auto"/>
            </w:tcBorders>
          </w:tcPr>
          <w:p>
            <w:pPr>
              <w:ind w:left="60"/>
              <w:spacing w:after="0" w:line="244" w:lineRule="exact"/>
              <w:rPr>
                <w:sz w:val="20"/>
                <w:szCs w:val="20"/>
                <w:color w:val="auto"/>
              </w:rPr>
            </w:pPr>
            <w:r>
              <w:rPr>
                <w:rFonts w:ascii="Times New Roman" w:cs="Times New Roman" w:eastAsia="Times New Roman" w:hAnsi="Times New Roman"/>
                <w:sz w:val="14"/>
                <w:szCs w:val="14"/>
                <w:b w:val="1"/>
                <w:bCs w:val="1"/>
                <w:color w:val="auto"/>
              </w:rPr>
              <w:t>Year</w:t>
            </w:r>
            <w:r>
              <w:rPr>
                <w:rFonts w:ascii="Times New Roman" w:cs="Times New Roman" w:eastAsia="Times New Roman" w:hAnsi="Times New Roman"/>
                <w:sz w:val="23"/>
                <w:szCs w:val="23"/>
                <w:b w:val="1"/>
                <w:bCs w:val="1"/>
                <w:color w:val="auto"/>
                <w:vertAlign w:val="superscript"/>
              </w:rPr>
              <w:t>1</w:t>
            </w:r>
          </w:p>
        </w:tc>
        <w:tc>
          <w:tcPr>
            <w:tcW w:w="1040" w:type="dxa"/>
            <w:vAlign w:val="bottom"/>
            <w:tcBorders>
              <w:bottom w:val="single" w:sz="8" w:color="auto"/>
              <w:right w:val="single" w:sz="8" w:color="auto"/>
            </w:tcBorders>
            <w:gridSpan w:val="2"/>
          </w:tcPr>
          <w:p>
            <w:pPr>
              <w:ind w:left="20"/>
              <w:spacing w:after="0" w:line="244"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3"/>
                <w:szCs w:val="23"/>
                <w:b w:val="1"/>
                <w:bCs w:val="1"/>
                <w:color w:val="auto"/>
                <w:vertAlign w:val="superscript"/>
              </w:rPr>
              <w:t>4</w:t>
            </w:r>
          </w:p>
        </w:tc>
        <w:tc>
          <w:tcPr>
            <w:tcW w:w="980" w:type="dxa"/>
            <w:vAlign w:val="bottom"/>
            <w:tcBorders>
              <w:bottom w:val="single" w:sz="8" w:color="auto"/>
              <w:right w:val="single" w:sz="8" w:color="auto"/>
            </w:tcBorders>
            <w:gridSpan w:val="2"/>
          </w:tcPr>
          <w:p>
            <w:pPr>
              <w:jc w:val="center"/>
              <w:ind w:right="20"/>
              <w:spacing w:after="0" w:line="244" w:lineRule="exact"/>
              <w:rPr>
                <w:sz w:val="20"/>
                <w:szCs w:val="20"/>
                <w:color w:val="auto"/>
              </w:rPr>
            </w:pPr>
            <w:r>
              <w:rPr>
                <w:rFonts w:ascii="Times New Roman" w:cs="Times New Roman" w:eastAsia="Times New Roman" w:hAnsi="Times New Roman"/>
                <w:sz w:val="14"/>
                <w:szCs w:val="14"/>
                <w:b w:val="1"/>
                <w:bCs w:val="1"/>
                <w:color w:val="auto"/>
                <w:w w:val="88"/>
              </w:rPr>
              <w:t>Paid</w:t>
            </w:r>
            <w:r>
              <w:rPr>
                <w:rFonts w:ascii="Times New Roman" w:cs="Times New Roman" w:eastAsia="Times New Roman" w:hAnsi="Times New Roman"/>
                <w:sz w:val="23"/>
                <w:szCs w:val="23"/>
                <w:b w:val="1"/>
                <w:bCs w:val="1"/>
                <w:color w:val="auto"/>
                <w:w w:val="88"/>
                <w:vertAlign w:val="superscript"/>
              </w:rPr>
              <w:t>5 13</w:t>
            </w:r>
          </w:p>
        </w:tc>
        <w:tc>
          <w:tcPr>
            <w:tcW w:w="104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23"/>
                <w:szCs w:val="23"/>
                <w:b w:val="1"/>
                <w:bCs w:val="1"/>
                <w:color w:val="auto"/>
                <w:w w:val="99"/>
                <w:vertAlign w:val="superscript"/>
              </w:rPr>
              <w:t>4</w:t>
            </w:r>
          </w:p>
        </w:tc>
        <w:tc>
          <w:tcPr>
            <w:tcW w:w="98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Paid</w:t>
            </w:r>
            <w:r>
              <w:rPr>
                <w:rFonts w:ascii="Times New Roman" w:cs="Times New Roman" w:eastAsia="Times New Roman" w:hAnsi="Times New Roman"/>
                <w:sz w:val="23"/>
                <w:szCs w:val="23"/>
                <w:b w:val="1"/>
                <w:bCs w:val="1"/>
                <w:color w:val="auto"/>
                <w:w w:val="97"/>
                <w:vertAlign w:val="superscript"/>
              </w:rPr>
              <w:t>6</w:t>
            </w:r>
          </w:p>
        </w:tc>
        <w:tc>
          <w:tcPr>
            <w:tcW w:w="1040" w:type="dxa"/>
            <w:vAlign w:val="bottom"/>
            <w:tcBorders>
              <w:bottom w:val="single" w:sz="8" w:color="auto"/>
              <w:right w:val="single" w:sz="8" w:color="auto"/>
            </w:tcBorders>
          </w:tcPr>
          <w:p>
            <w:pPr>
              <w:ind w:left="40"/>
              <w:spacing w:after="0" w:line="244"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23"/>
                <w:szCs w:val="23"/>
                <w:b w:val="1"/>
                <w:bCs w:val="1"/>
                <w:color w:val="auto"/>
                <w:vertAlign w:val="superscript"/>
              </w:rPr>
              <w:t>4</w:t>
            </w:r>
          </w:p>
        </w:tc>
        <w:tc>
          <w:tcPr>
            <w:tcW w:w="100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2"/>
              </w:rPr>
              <w:t>Paid</w:t>
            </w:r>
            <w:r>
              <w:rPr>
                <w:rFonts w:ascii="Times New Roman" w:cs="Times New Roman" w:eastAsia="Times New Roman" w:hAnsi="Times New Roman"/>
                <w:sz w:val="23"/>
                <w:szCs w:val="23"/>
                <w:b w:val="1"/>
                <w:bCs w:val="1"/>
                <w:color w:val="auto"/>
                <w:w w:val="92"/>
                <w:vertAlign w:val="superscript"/>
              </w:rPr>
              <w:t>7 13</w:t>
            </w:r>
          </w:p>
        </w:tc>
        <w:tc>
          <w:tcPr>
            <w:tcW w:w="78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TSR</w:t>
            </w:r>
            <w:r>
              <w:rPr>
                <w:rFonts w:ascii="Times New Roman" w:cs="Times New Roman" w:eastAsia="Times New Roman" w:hAnsi="Times New Roman"/>
                <w:sz w:val="23"/>
                <w:szCs w:val="23"/>
                <w:b w:val="1"/>
                <w:bCs w:val="1"/>
                <w:color w:val="auto"/>
                <w:w w:val="97"/>
                <w:vertAlign w:val="superscript"/>
              </w:rPr>
              <w:t>8</w:t>
            </w:r>
          </w:p>
        </w:tc>
        <w:tc>
          <w:tcPr>
            <w:tcW w:w="20" w:type="dxa"/>
            <w:vAlign w:val="bottom"/>
            <w:tcBorders>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jc w:val="center"/>
              <w:spacing w:after="0" w:line="244" w:lineRule="exact"/>
              <w:rPr>
                <w:sz w:val="20"/>
                <w:szCs w:val="20"/>
                <w:color w:val="auto"/>
              </w:rPr>
            </w:pPr>
            <w:r>
              <w:rPr>
                <w:rFonts w:ascii="Times New Roman" w:cs="Times New Roman" w:eastAsia="Times New Roman" w:hAnsi="Times New Roman"/>
                <w:sz w:val="14"/>
                <w:szCs w:val="14"/>
                <w:b w:val="1"/>
                <w:bCs w:val="1"/>
                <w:color w:val="auto"/>
                <w:w w:val="97"/>
              </w:rPr>
              <w:t>TSR</w:t>
            </w:r>
            <w:r>
              <w:rPr>
                <w:rFonts w:ascii="Times New Roman" w:cs="Times New Roman" w:eastAsia="Times New Roman" w:hAnsi="Times New Roman"/>
                <w:sz w:val="23"/>
                <w:szCs w:val="23"/>
                <w:b w:val="1"/>
                <w:bCs w:val="1"/>
                <w:color w:val="auto"/>
                <w:w w:val="97"/>
                <w:vertAlign w:val="superscript"/>
              </w:rPr>
              <w:t>9</w:t>
            </w: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00" w:type="dxa"/>
            <w:vAlign w:val="bottom"/>
            <w:tcBorders>
              <w:left w:val="single" w:sz="8" w:color="auto"/>
              <w:bottom w:val="single" w:sz="8" w:color="auto"/>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5"/>
                <w:szCs w:val="15"/>
                <w:color w:val="auto"/>
              </w:rPr>
              <w:t>2024</w:t>
            </w:r>
          </w:p>
        </w:tc>
        <w:tc>
          <w:tcPr>
            <w:tcW w:w="1040" w:type="dxa"/>
            <w:vAlign w:val="bottom"/>
            <w:tcBorders>
              <w:bottom w:val="single" w:sz="8" w:color="auto"/>
              <w:right w:val="single" w:sz="8" w:color="auto"/>
            </w:tcBorders>
            <w:gridSpan w:val="2"/>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$10,142,971</w:t>
            </w:r>
          </w:p>
        </w:tc>
        <w:tc>
          <w:tcPr>
            <w:tcW w:w="980" w:type="dxa"/>
            <w:vAlign w:val="bottom"/>
            <w:tcBorders>
              <w:bottom w:val="single" w:sz="8" w:color="auto"/>
              <w:right w:val="single" w:sz="8" w:color="auto"/>
            </w:tcBorders>
            <w:gridSpan w:val="2"/>
            <w:shd w:val="clear" w:color="auto" w:fill="C7CDE8"/>
          </w:tcPr>
          <w:p>
            <w:pPr>
              <w:jc w:val="center"/>
              <w:ind w:right="20"/>
              <w:spacing w:after="0"/>
              <w:rPr>
                <w:sz w:val="20"/>
                <w:szCs w:val="20"/>
                <w:color w:val="auto"/>
              </w:rPr>
            </w:pPr>
            <w:r>
              <w:rPr>
                <w:rFonts w:ascii="Times New Roman" w:cs="Times New Roman" w:eastAsia="Times New Roman" w:hAnsi="Times New Roman"/>
                <w:sz w:val="15"/>
                <w:szCs w:val="15"/>
                <w:color w:val="auto"/>
              </w:rPr>
              <w:t>$11,153,152</w:t>
            </w:r>
          </w:p>
        </w:tc>
        <w:tc>
          <w:tcPr>
            <w:tcW w:w="10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9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tcBorders>
              <w:bottom w:val="single" w:sz="8" w:color="auto"/>
              <w:right w:val="single" w:sz="8" w:color="auto"/>
            </w:tcBorders>
            <w:shd w:val="clear" w:color="auto" w:fill="C7CDE8"/>
          </w:tcPr>
          <w:p>
            <w:pPr>
              <w:ind w:left="160"/>
              <w:spacing w:after="0"/>
              <w:rPr>
                <w:sz w:val="20"/>
                <w:szCs w:val="20"/>
                <w:color w:val="auto"/>
              </w:rPr>
            </w:pPr>
            <w:r>
              <w:rPr>
                <w:rFonts w:ascii="Times New Roman" w:cs="Times New Roman" w:eastAsia="Times New Roman" w:hAnsi="Times New Roman"/>
                <w:sz w:val="15"/>
                <w:szCs w:val="15"/>
                <w:color w:val="auto"/>
              </w:rPr>
              <w:t>$2,061,804</w:t>
            </w:r>
          </w:p>
        </w:tc>
        <w:tc>
          <w:tcPr>
            <w:tcW w:w="10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$2,224,106</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$21.79</w:t>
            </w:r>
          </w:p>
        </w:tc>
        <w:tc>
          <w:tcPr>
            <w:tcW w:w="20" w:type="dxa"/>
            <w:vAlign w:val="bottom"/>
            <w:tcBorders>
              <w:bottom w:val="single" w:sz="8" w:color="auto"/>
            </w:tcBorders>
            <w:shd w:val="clear" w:color="auto" w:fill="C7CDE8"/>
          </w:tcPr>
          <w:p>
            <w:pPr>
              <w:spacing w:after="0"/>
              <w:rPr>
                <w:sz w:val="17"/>
                <w:szCs w:val="17"/>
                <w:color w:val="auto"/>
              </w:rPr>
            </w:pPr>
          </w:p>
        </w:tc>
        <w:tc>
          <w:tcPr>
            <w:tcW w:w="5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$35.58</w:t>
            </w:r>
          </w:p>
        </w:tc>
        <w:tc>
          <w:tcPr>
            <w:tcW w:w="880" w:type="dxa"/>
            <w:vAlign w:val="bottom"/>
            <w:tcBorders>
              <w:bottom w:val="single" w:sz="8" w:color="auto"/>
              <w:right w:val="single" w:sz="8" w:color="auto"/>
            </w:tcBorders>
            <w:gridSpan w:val="2"/>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($222,404)</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$60,465</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2023</w:t>
            </w: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$15,656,584</w:t>
            </w:r>
          </w:p>
        </w:tc>
        <w:tc>
          <w:tcPr>
            <w:tcW w:w="9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color w:val="auto"/>
              </w:rPr>
              <w:t>$6,053,926</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$2,371,929</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$994,995</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$10.68</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$25.91</w:t>
            </w: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($1,443,000)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$61,479</w:t>
            </w:r>
          </w:p>
        </w:tc>
        <w:tc>
          <w:tcPr>
            <w:tcW w:w="0" w:type="dxa"/>
            <w:vAlign w:val="bottom"/>
          </w:tcPr>
          <w:p>
            <w:pPr>
              <w:spacing w:after="0"/>
              <w:rPr>
                <w:sz w:val="1"/>
                <w:szCs w:val="1"/>
                <w:color w:val="auto"/>
              </w:rPr>
            </w:pPr>
          </w:p>
        </w:tc>
      </w:tr>
      <w:tr>
        <w:trPr>
          <w:trHeight w:val="209"/>
        </w:trPr>
        <w:tc>
          <w:tcPr>
            <w:tcW w:w="500" w:type="dxa"/>
            <w:vAlign w:val="bottom"/>
            <w:tcBorders>
              <w:left w:val="single" w:sz="8" w:color="auto"/>
              <w:bottom w:val="single" w:sz="8" w:color="auto"/>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5"/>
                <w:szCs w:val="15"/>
                <w:color w:val="auto"/>
              </w:rPr>
              <w:t>2022</w:t>
            </w:r>
          </w:p>
        </w:tc>
        <w:tc>
          <w:tcPr>
            <w:tcW w:w="1040" w:type="dxa"/>
            <w:vAlign w:val="bottom"/>
            <w:tcBorders>
              <w:bottom w:val="single" w:sz="8" w:color="auto"/>
              <w:right w:val="single" w:sz="8" w:color="auto"/>
            </w:tcBorders>
            <w:gridSpan w:val="2"/>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$19,456,767</w:t>
            </w:r>
          </w:p>
        </w:tc>
        <w:tc>
          <w:tcPr>
            <w:tcW w:w="980" w:type="dxa"/>
            <w:vAlign w:val="bottom"/>
            <w:tcBorders>
              <w:bottom w:val="single" w:sz="8" w:color="auto"/>
              <w:right w:val="single" w:sz="8" w:color="auto"/>
            </w:tcBorders>
            <w:gridSpan w:val="2"/>
            <w:shd w:val="clear" w:color="auto" w:fill="C7CDE8"/>
          </w:tcPr>
          <w:p>
            <w:pPr>
              <w:jc w:val="center"/>
              <w:ind w:right="40"/>
              <w:spacing w:after="0"/>
              <w:rPr>
                <w:sz w:val="20"/>
                <w:szCs w:val="20"/>
                <w:color w:val="auto"/>
              </w:rPr>
            </w:pPr>
            <w:r>
              <w:rPr>
                <w:rFonts w:ascii="Times New Roman" w:cs="Times New Roman" w:eastAsia="Times New Roman" w:hAnsi="Times New Roman"/>
                <w:sz w:val="15"/>
                <w:szCs w:val="15"/>
                <w:color w:val="auto"/>
              </w:rPr>
              <w:t>$5,599,894</w:t>
            </w:r>
          </w:p>
        </w:tc>
        <w:tc>
          <w:tcPr>
            <w:tcW w:w="10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w w:val="93"/>
              </w:rPr>
              <w:t>$0</w:t>
            </w:r>
          </w:p>
        </w:tc>
        <w:tc>
          <w:tcPr>
            <w:tcW w:w="9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tcBorders>
              <w:bottom w:val="single" w:sz="8" w:color="auto"/>
              <w:right w:val="single" w:sz="8" w:color="auto"/>
            </w:tcBorders>
            <w:shd w:val="clear" w:color="auto" w:fill="C7CDE8"/>
          </w:tcPr>
          <w:p>
            <w:pPr>
              <w:ind w:left="160"/>
              <w:spacing w:after="0"/>
              <w:rPr>
                <w:sz w:val="20"/>
                <w:szCs w:val="20"/>
                <w:color w:val="auto"/>
              </w:rPr>
            </w:pPr>
            <w:r>
              <w:rPr>
                <w:rFonts w:ascii="Times New Roman" w:cs="Times New Roman" w:eastAsia="Times New Roman" w:hAnsi="Times New Roman"/>
                <w:sz w:val="15"/>
                <w:szCs w:val="15"/>
                <w:color w:val="auto"/>
              </w:rPr>
              <w:t>$2,755,870</w:t>
            </w:r>
          </w:p>
        </w:tc>
        <w:tc>
          <w:tcPr>
            <w:tcW w:w="10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$957,950</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$26.56</w:t>
            </w:r>
          </w:p>
        </w:tc>
        <w:tc>
          <w:tcPr>
            <w:tcW w:w="20" w:type="dxa"/>
            <w:vAlign w:val="bottom"/>
            <w:tcBorders>
              <w:bottom w:val="single" w:sz="8" w:color="auto"/>
            </w:tcBorders>
            <w:shd w:val="clear" w:color="auto" w:fill="C7CDE8"/>
          </w:tcPr>
          <w:p>
            <w:pPr>
              <w:spacing w:after="0"/>
              <w:rPr>
                <w:sz w:val="18"/>
                <w:szCs w:val="18"/>
                <w:color w:val="auto"/>
              </w:rPr>
            </w:pPr>
          </w:p>
        </w:tc>
        <w:tc>
          <w:tcPr>
            <w:tcW w:w="5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$47.89</w:t>
            </w:r>
          </w:p>
        </w:tc>
        <w:tc>
          <w:tcPr>
            <w:tcW w:w="880" w:type="dxa"/>
            <w:vAlign w:val="bottom"/>
            <w:tcBorders>
              <w:bottom w:val="single" w:sz="8" w:color="auto"/>
              <w:right w:val="single" w:sz="8" w:color="auto"/>
            </w:tcBorders>
            <w:gridSpan w:val="2"/>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($434,132)</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$48,047</w:t>
            </w:r>
          </w:p>
        </w:tc>
        <w:tc>
          <w:tcPr>
            <w:tcW w:w="0" w:type="dxa"/>
            <w:vAlign w:val="bottom"/>
          </w:tcPr>
          <w:p>
            <w:pPr>
              <w:spacing w:after="0"/>
              <w:rPr>
                <w:sz w:val="1"/>
                <w:szCs w:val="1"/>
                <w:color w:val="auto"/>
              </w:rPr>
            </w:pPr>
          </w:p>
        </w:tc>
      </w:tr>
      <w:tr>
        <w:trPr>
          <w:trHeight w:val="210"/>
        </w:trPr>
        <w:tc>
          <w:tcPr>
            <w:tcW w:w="5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2021</w:t>
            </w:r>
          </w:p>
        </w:tc>
        <w:tc>
          <w:tcPr>
            <w:tcW w:w="10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$13,683,998</w:t>
            </w:r>
          </w:p>
        </w:tc>
        <w:tc>
          <w:tcPr>
            <w:tcW w:w="98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5"/>
                <w:szCs w:val="15"/>
                <w:color w:val="auto"/>
              </w:rPr>
              <w:t>$16,536,484</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$6,458,729</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$7,535,144</w:t>
            </w:r>
          </w:p>
        </w:tc>
        <w:tc>
          <w:tcPr>
            <w:tcW w:w="10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5"/>
                <w:szCs w:val="15"/>
                <w:color w:val="auto"/>
              </w:rPr>
              <w:t>$2,208,882</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$3,475,621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$97.31</w:t>
            </w:r>
          </w:p>
        </w:tc>
        <w:tc>
          <w:tcPr>
            <w:tcW w:w="2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$120.91</w:t>
            </w: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color w:val="auto"/>
              </w:rPr>
              <w:t>($336,014)</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$40,771</w:t>
            </w:r>
          </w:p>
        </w:tc>
        <w:tc>
          <w:tcPr>
            <w:tcW w:w="0" w:type="dxa"/>
            <w:vAlign w:val="bottom"/>
          </w:tcPr>
          <w:p>
            <w:pPr>
              <w:spacing w:after="0"/>
              <w:rPr>
                <w:sz w:val="1"/>
                <w:szCs w:val="1"/>
                <w:color w:val="auto"/>
              </w:rPr>
            </w:pPr>
          </w:p>
        </w:tc>
      </w:tr>
      <w:tr>
        <w:trPr>
          <w:trHeight w:val="272"/>
        </w:trPr>
        <w:tc>
          <w:tcPr>
            <w:tcW w:w="500" w:type="dxa"/>
            <w:vAlign w:val="bottom"/>
            <w:tcBorders>
              <w:left w:val="single" w:sz="8" w:color="auto"/>
              <w:bottom w:val="single" w:sz="8" w:color="C7CDE8"/>
              <w:right w:val="single" w:sz="8" w:color="auto"/>
            </w:tcBorders>
            <w:shd w:val="clear" w:color="auto" w:fill="C7CDE8"/>
          </w:tcPr>
          <w:p>
            <w:pPr>
              <w:ind w:left="60"/>
              <w:spacing w:after="0"/>
              <w:rPr>
                <w:sz w:val="20"/>
                <w:szCs w:val="20"/>
                <w:color w:val="auto"/>
              </w:rPr>
            </w:pPr>
            <w:r>
              <w:rPr>
                <w:rFonts w:ascii="Times New Roman" w:cs="Times New Roman" w:eastAsia="Times New Roman" w:hAnsi="Times New Roman"/>
                <w:sz w:val="15"/>
                <w:szCs w:val="15"/>
                <w:color w:val="auto"/>
              </w:rPr>
              <w:t>2020</w:t>
            </w:r>
          </w:p>
        </w:tc>
        <w:tc>
          <w:tcPr>
            <w:tcW w:w="1040" w:type="dxa"/>
            <w:vAlign w:val="bottom"/>
            <w:tcBorders>
              <w:bottom w:val="single" w:sz="8" w:color="C7CDE8"/>
              <w:right w:val="single" w:sz="8" w:color="auto"/>
            </w:tcBorders>
            <w:gridSpan w:val="2"/>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980" w:type="dxa"/>
            <w:vAlign w:val="bottom"/>
            <w:tcBorders>
              <w:bottom w:val="single" w:sz="8" w:color="C7CDE8"/>
              <w:right w:val="single" w:sz="8" w:color="auto"/>
            </w:tcBorders>
            <w:gridSpan w:val="2"/>
            <w:shd w:val="clear" w:color="auto" w:fill="C7CDE8"/>
          </w:tcPr>
          <w:p>
            <w:pPr>
              <w:jc w:val="center"/>
              <w:ind w:right="20"/>
              <w:spacing w:after="0"/>
              <w:rPr>
                <w:sz w:val="20"/>
                <w:szCs w:val="20"/>
                <w:color w:val="auto"/>
              </w:rPr>
            </w:pPr>
            <w:r>
              <w:rPr>
                <w:rFonts w:ascii="Times New Roman" w:cs="Times New Roman" w:eastAsia="Times New Roman" w:hAnsi="Times New Roman"/>
                <w:sz w:val="15"/>
                <w:szCs w:val="15"/>
                <w:color w:val="auto"/>
              </w:rPr>
              <w:t>$0</w:t>
            </w:r>
          </w:p>
        </w:tc>
        <w:tc>
          <w:tcPr>
            <w:tcW w:w="104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$1,907,812</w:t>
            </w:r>
          </w:p>
        </w:tc>
        <w:tc>
          <w:tcPr>
            <w:tcW w:w="98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($7,205,882)</w:t>
            </w:r>
          </w:p>
        </w:tc>
        <w:tc>
          <w:tcPr>
            <w:tcW w:w="1040" w:type="dxa"/>
            <w:vAlign w:val="bottom"/>
            <w:tcBorders>
              <w:bottom w:val="single" w:sz="8" w:color="C7CDE8"/>
              <w:right w:val="single" w:sz="8" w:color="auto"/>
            </w:tcBorders>
            <w:shd w:val="clear" w:color="auto" w:fill="C7CDE8"/>
          </w:tcPr>
          <w:p>
            <w:pPr>
              <w:ind w:left="160"/>
              <w:spacing w:after="0"/>
              <w:rPr>
                <w:sz w:val="20"/>
                <w:szCs w:val="20"/>
                <w:color w:val="auto"/>
              </w:rPr>
            </w:pPr>
            <w:r>
              <w:rPr>
                <w:rFonts w:ascii="Times New Roman" w:cs="Times New Roman" w:eastAsia="Times New Roman" w:hAnsi="Times New Roman"/>
                <w:sz w:val="15"/>
                <w:szCs w:val="15"/>
                <w:color w:val="auto"/>
              </w:rPr>
              <w:t>$1,394,132</w:t>
            </w:r>
          </w:p>
        </w:tc>
        <w:tc>
          <w:tcPr>
            <w:tcW w:w="100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$431,435</w:t>
            </w:r>
          </w:p>
        </w:tc>
        <w:tc>
          <w:tcPr>
            <w:tcW w:w="78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$48.22</w:t>
            </w:r>
          </w:p>
        </w:tc>
        <w:tc>
          <w:tcPr>
            <w:tcW w:w="20" w:type="dxa"/>
            <w:vAlign w:val="bottom"/>
            <w:tcBorders>
              <w:bottom w:val="single" w:sz="8" w:color="C7CDE8"/>
            </w:tcBorders>
            <w:shd w:val="clear" w:color="auto" w:fill="C7CDE8"/>
          </w:tcPr>
          <w:p>
            <w:pPr>
              <w:spacing w:after="0"/>
              <w:rPr>
                <w:sz w:val="23"/>
                <w:szCs w:val="23"/>
                <w:color w:val="auto"/>
              </w:rPr>
            </w:pPr>
          </w:p>
        </w:tc>
        <w:tc>
          <w:tcPr>
            <w:tcW w:w="56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$90.06</w:t>
            </w:r>
          </w:p>
        </w:tc>
        <w:tc>
          <w:tcPr>
            <w:tcW w:w="40" w:type="dxa"/>
            <w:vAlign w:val="bottom"/>
            <w:tcBorders>
              <w:bottom w:val="single" w:sz="8" w:color="C7CDE8"/>
            </w:tcBorders>
            <w:shd w:val="clear" w:color="auto" w:fill="C7CDE8"/>
          </w:tcPr>
          <w:p>
            <w:pPr>
              <w:spacing w:after="0"/>
              <w:rPr>
                <w:sz w:val="23"/>
                <w:szCs w:val="23"/>
                <w:color w:val="auto"/>
              </w:rPr>
            </w:pPr>
          </w:p>
        </w:tc>
        <w:tc>
          <w:tcPr>
            <w:tcW w:w="84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5"/>
                <w:szCs w:val="15"/>
                <w:color w:val="auto"/>
              </w:rPr>
              <w:t>($100,833)</w:t>
            </w:r>
          </w:p>
        </w:tc>
        <w:tc>
          <w:tcPr>
            <w:tcW w:w="780" w:type="dxa"/>
            <w:vAlign w:val="bottom"/>
            <w:tcBorders>
              <w:bottom w:val="single" w:sz="8" w:color="C7CDE8"/>
              <w:right w:val="single" w:sz="8" w:color="auto"/>
            </w:tcBorders>
            <w:shd w:val="clear" w:color="auto" w:fill="C7CDE8"/>
          </w:tcPr>
          <w:p>
            <w:pPr>
              <w:jc w:val="center"/>
              <w:spacing w:after="0" w:line="227" w:lineRule="exact"/>
              <w:rPr>
                <w:sz w:val="20"/>
                <w:szCs w:val="20"/>
                <w:color w:val="auto"/>
              </w:rPr>
            </w:pPr>
            <w:r>
              <w:rPr>
                <w:rFonts w:ascii="Times New Roman" w:cs="Times New Roman" w:eastAsia="Times New Roman" w:hAnsi="Times New Roman"/>
                <w:sz w:val="15"/>
                <w:szCs w:val="15"/>
                <w:color w:val="auto"/>
                <w:w w:val="96"/>
              </w:rPr>
              <w:t>$5,845</w:t>
            </w:r>
            <w:r>
              <w:rPr>
                <w:rFonts w:ascii="Times New Roman" w:cs="Times New Roman" w:eastAsia="Times New Roman" w:hAnsi="Times New Roman"/>
                <w:sz w:val="25"/>
                <w:szCs w:val="25"/>
                <w:color w:val="auto"/>
                <w:w w:val="96"/>
                <w:vertAlign w:val="superscript"/>
              </w:rPr>
              <w:t>12</w:t>
            </w:r>
          </w:p>
        </w:tc>
        <w:tc>
          <w:tcPr>
            <w:tcW w:w="0" w:type="dxa"/>
            <w:vAlign w:val="bottom"/>
          </w:tcPr>
          <w:p>
            <w:pPr>
              <w:spacing w:after="0"/>
              <w:rPr>
                <w:sz w:val="1"/>
                <w:szCs w:val="1"/>
                <w:color w:val="auto"/>
              </w:rPr>
            </w:pPr>
          </w:p>
        </w:tc>
      </w:tr>
      <w:tr>
        <w:trPr>
          <w:trHeight w:val="48"/>
        </w:trPr>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80" w:right="760" w:hanging="348"/>
        <w:spacing w:after="0" w:line="194" w:lineRule="auto"/>
        <w:tabs>
          <w:tab w:leader="none" w:pos="88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In accordance with the transitional relief under the SEC rules, only three fiscal years ending May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4"/>
          <w:szCs w:val="14"/>
          <w:color w:val="auto"/>
        </w:rPr>
        <w:t xml:space="preserve"> of information is required as this is the Company’s first fiscal year of disclosure under Item 402(v) of Regulation S-K, with an additional year added in each of the two subsequent years of compliance. Fiscal year 2021 was a five-month transition period (January 1, 2021 to May 31, 2021) due to the change in the Company’s fiscal year-end. For 2020, the reportable year was January 1, 2020 to December 31, 2020.</w:t>
      </w:r>
    </w:p>
    <w:p>
      <w:pPr>
        <w:spacing w:after="0" w:line="16" w:lineRule="exact"/>
        <w:rPr>
          <w:rFonts w:ascii="Times New Roman" w:cs="Times New Roman" w:eastAsia="Times New Roman" w:hAnsi="Times New Roman"/>
          <w:sz w:val="29"/>
          <w:szCs w:val="29"/>
          <w:color w:val="auto"/>
          <w:vertAlign w:val="superscript"/>
        </w:rPr>
      </w:pPr>
    </w:p>
    <w:p>
      <w:pPr>
        <w:ind w:left="880" w:right="660" w:hanging="348"/>
        <w:spacing w:after="0" w:line="261" w:lineRule="auto"/>
        <w:tabs>
          <w:tab w:leader="none" w:pos="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fiscal year 2021, the PEOs included Irwin Simon (Current PEO) and Brendan Kennedy (Prior PEO). Mr. Simon served as the Company’s PEO for fiscal year 2022, 2023, and 2024. Mr. Kennedy served as the Company’s PEO in fiscal year 2020.</w:t>
      </w:r>
    </w:p>
    <w:p>
      <w:pPr>
        <w:ind w:left="880" w:hanging="348"/>
        <w:spacing w:after="0"/>
        <w:tabs>
          <w:tab w:leader="none" w:pos="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non-PEO NEOs for the applicable fiscal years were as follows:</w:t>
      </w:r>
    </w:p>
    <w:p>
      <w:pPr>
        <w:spacing w:after="0" w:line="41" w:lineRule="exact"/>
        <w:rPr>
          <w:rFonts w:ascii="Times New Roman" w:cs="Times New Roman" w:eastAsia="Times New Roman" w:hAnsi="Times New Roman"/>
          <w:sz w:val="14"/>
          <w:szCs w:val="14"/>
          <w:color w:val="auto"/>
        </w:rPr>
      </w:pPr>
    </w:p>
    <w:p>
      <w:pPr>
        <w:ind w:left="900" w:right="108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2024: Carl Merton (CFO), Denise Faltischek (Head of International and Chief Strategy Officer), Roger Savell (Chief Administrative Officer), and Mitchell Gendel (Global General Counsel and Corporate Secretary</w:t>
      </w:r>
    </w:p>
    <w:p>
      <w:pPr>
        <w:ind w:left="900" w:right="108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2023: Carl Merton (CFO), Denise Faltischek (Head of International and Chief Strategy Officer), Roger Savell (Chief Administrative Officer), and Mitchell Gendel (Global General Counsel and Corporate Secretary</w:t>
      </w:r>
    </w:p>
    <w:p>
      <w:pPr>
        <w:ind w:left="900" w:right="100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2022: Carl Merton (CFO), Denise Faltischek (Head of International and Chief Strategy Officer), James Meiers (Head of Canada), and Mitchell Gendel (Global General Counsel and Corporate Secretary</w:t>
      </w:r>
    </w:p>
    <w:p>
      <w:pPr>
        <w:ind w:left="900" w:right="74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2021: Carl Merton (CFO), Denise Faltischek (Head of International and Chief Strategy Officer), James Meiers (Head of Canada), Michael Krutech (Former CFO), Jon Levin (Former COO), and Andrew Pucher (Former Chief Corporate Development Officer)</w:t>
      </w:r>
    </w:p>
    <w:p>
      <w:pPr>
        <w:ind w:left="900" w:right="70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2020: Michael Kruteck (Former CFO), Jon Levin (Former COO), Mark Castaneda (Former CFO &amp; Treasurer), Edward Wood Pastorius, Jr. (Former Chief Revenue Officer), Andrew Pucher (Former Chief Corporate Development Officer), and Kathryn Dickson (President, Manitoba Harvest USA, LLC).</w:t>
      </w:r>
    </w:p>
    <w:p>
      <w:pPr>
        <w:spacing w:after="0" w:line="10" w:lineRule="exact"/>
        <w:rPr>
          <w:rFonts w:ascii="Times New Roman" w:cs="Times New Roman" w:eastAsia="Times New Roman" w:hAnsi="Times New Roman"/>
          <w:sz w:val="14"/>
          <w:szCs w:val="14"/>
          <w:color w:val="auto"/>
        </w:rPr>
      </w:pPr>
    </w:p>
    <w:p>
      <w:pPr>
        <w:ind w:left="880" w:right="980" w:hanging="348"/>
        <w:spacing w:after="0" w:line="244" w:lineRule="auto"/>
        <w:tabs>
          <w:tab w:leader="none" w:pos="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in this column reflect the “Total” compensation set forth in the Summary Compensation Table (“</w:t>
      </w:r>
      <w:r>
        <w:rPr>
          <w:rFonts w:ascii="Times New Roman" w:cs="Times New Roman" w:eastAsia="Times New Roman" w:hAnsi="Times New Roman"/>
          <w:sz w:val="14"/>
          <w:szCs w:val="14"/>
          <w:b w:val="1"/>
          <w:bCs w:val="1"/>
          <w:i w:val="1"/>
          <w:iCs w:val="1"/>
          <w:color w:val="auto"/>
        </w:rPr>
        <w:t>SCT</w:t>
      </w:r>
      <w:r>
        <w:rPr>
          <w:rFonts w:ascii="Times New Roman" w:cs="Times New Roman" w:eastAsia="Times New Roman" w:hAnsi="Times New Roman"/>
          <w:sz w:val="14"/>
          <w:szCs w:val="14"/>
          <w:color w:val="auto"/>
        </w:rPr>
        <w:t>”) as stated in the Company’s past proxy filings for the corresponding fiscal year. See the footnotes to the applicable SCT for further detail regarding the amounts in this column.</w:t>
      </w:r>
    </w:p>
    <w:p>
      <w:pPr>
        <w:spacing w:after="0" w:line="28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171450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600"/>
          </w:cols>
          <w:pgMar w:left="1200" w:top="122" w:right="1099" w:bottom="1440" w:gutter="0" w:footer="0" w:header="0"/>
        </w:sectPr>
      </w:pPr>
    </w:p>
    <w:bookmarkStart w:id="55" w:name="page56"/>
    <w:bookmarkEnd w:id="55"/>
    <w:p>
      <w:pPr>
        <w:ind w:left="640" w:right="639" w:hanging="348"/>
        <w:spacing w:after="0" w:line="260"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adjustments made during each fiscal year presented in the Pay Versus Performance Table to arrive at compensation “actually paid” to our Current PEO during 2021, 2022, 2023, and 2024:</w:t>
      </w:r>
    </w:p>
    <w:p>
      <w:pPr>
        <w:spacing w:after="0" w:line="72" w:lineRule="exact"/>
        <w:rPr>
          <w:sz w:val="20"/>
          <w:szCs w:val="20"/>
          <w:color w:val="auto"/>
        </w:rPr>
      </w:pPr>
    </w:p>
    <w:tbl>
      <w:tblPr>
        <w:tblLayout w:type="fixed"/>
        <w:tblInd w:w="670" w:type="dxa"/>
        <w:tblCellMar>
          <w:top w:w="0" w:type="dxa"/>
          <w:left w:w="0" w:type="dxa"/>
          <w:bottom w:w="0" w:type="dxa"/>
          <w:right w:w="0" w:type="dxa"/>
        </w:tblCellMar>
      </w:tblPr>
      <w:tr>
        <w:trPr>
          <w:trHeight w:val="246"/>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8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9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w:t>
            </w: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8"/>
              </w:rPr>
              <w:t>for Change in</w:t>
            </w: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7"/>
              </w:rPr>
              <w:t>Dollar</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Increase/</w:t>
            </w: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 for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Increase</w:t>
            </w: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rPr>
              <w:t>from</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w:t>
            </w: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Dividends</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9"/>
              </w:rPr>
              <w:t>for Fair</w:t>
            </w: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prior Year-end</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Change in</w:t>
            </w:r>
          </w:p>
        </w:tc>
        <w:tc>
          <w:tcPr>
            <w:tcW w:w="7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or other</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Reported</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66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 current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Deduction 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Earnings</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 the</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Increase</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Year-end of</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from Prior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Paid</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rPr>
              <w:t>Granted</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1"/>
              </w:rPr>
              <w:t>for</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Year-end to</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on Stock</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to Determine</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2"/>
              </w:rPr>
              <w:t>during</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4"/>
              </w:rPr>
              <w:t>Vesting Date</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the year</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Awards</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4"/>
              </w:rPr>
              <w:t>Prior to</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Awards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prior to</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“Actually</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“Option</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that</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9"/>
              </w:rPr>
              <w:t>year that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Granted Prior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Prior to year</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Vesting Date</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Paid”</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Remain</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rPr>
              <w:t>during the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were</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5"/>
              </w:rPr>
              <w:t>to year</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were</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not otherwise</w:t>
            </w:r>
          </w:p>
        </w:tc>
        <w:tc>
          <w:tcPr>
            <w:tcW w:w="920" w:type="dxa"/>
            <w:vAlign w:val="bottom"/>
            <w:tcBorders>
              <w:right w:val="single" w:sz="8" w:color="auto"/>
            </w:tcBorders>
          </w:tcPr>
          <w:p>
            <w:pPr>
              <w:jc w:val="center"/>
              <w:ind w:right="35"/>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940" w:type="dxa"/>
            <w:vAlign w:val="bottom"/>
            <w:tcBorders>
              <w:left w:val="single" w:sz="8" w:color="auto"/>
              <w:right w:val="single" w:sz="8" w:color="auto"/>
            </w:tcBorders>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for</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SCT Total</w:t>
            </w:r>
          </w:p>
        </w:tc>
        <w:tc>
          <w:tcPr>
            <w:tcW w:w="80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Column</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rPr>
              <w:t>Unvested</w:t>
            </w:r>
          </w:p>
        </w:tc>
        <w:tc>
          <w:tcPr>
            <w:tcW w:w="66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9"/>
              </w:rPr>
              <w:t>year that</w:t>
            </w:r>
          </w:p>
        </w:tc>
        <w:tc>
          <w:tcPr>
            <w:tcW w:w="82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that</w:t>
            </w:r>
          </w:p>
        </w:tc>
        <w:tc>
          <w:tcPr>
            <w:tcW w:w="7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7"/>
              </w:rPr>
              <w:t>Forfeited or</w:t>
            </w: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included in</w:t>
            </w:r>
          </w:p>
        </w:tc>
        <w:tc>
          <w:tcPr>
            <w:tcW w:w="920" w:type="dxa"/>
            <w:vAlign w:val="bottom"/>
            <w:tcBorders>
              <w:right w:val="single" w:sz="8" w:color="auto"/>
            </w:tcBorders>
          </w:tcPr>
          <w:p>
            <w:pPr>
              <w:jc w:val="center"/>
              <w:ind w:right="15"/>
              <w:spacing w:after="0" w:line="135"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0" w:type="dxa"/>
            <w:vAlign w:val="bottom"/>
          </w:tcPr>
          <w:p>
            <w:pPr>
              <w:spacing w:after="0"/>
              <w:rPr>
                <w:sz w:val="1"/>
                <w:szCs w:val="1"/>
                <w:color w:val="auto"/>
              </w:rPr>
            </w:pPr>
          </w:p>
        </w:tc>
      </w:tr>
      <w:tr>
        <w:trPr>
          <w:trHeight w:val="118"/>
        </w:trPr>
        <w:tc>
          <w:tcPr>
            <w:tcW w:w="940" w:type="dxa"/>
            <w:vAlign w:val="bottom"/>
            <w:tcBorders>
              <w:left w:val="single" w:sz="8" w:color="auto"/>
              <w:right w:val="single" w:sz="8" w:color="auto"/>
            </w:tcBorders>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Current</w:t>
            </w:r>
          </w:p>
        </w:tc>
        <w:tc>
          <w:tcPr>
            <w:tcW w:w="86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w w:val="96"/>
              </w:rPr>
              <w:t>in the</w:t>
            </w:r>
          </w:p>
        </w:tc>
        <w:tc>
          <w:tcPr>
            <w:tcW w:w="720" w:type="dxa"/>
            <w:vAlign w:val="bottom"/>
            <w:tcBorders>
              <w:right w:val="single" w:sz="8" w:color="auto"/>
            </w:tcBorders>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rPr>
              <w:t>as of</w:t>
            </w:r>
          </w:p>
        </w:tc>
        <w:tc>
          <w:tcPr>
            <w:tcW w:w="660" w:type="dxa"/>
            <w:vAlign w:val="bottom"/>
            <w:tcBorders>
              <w:right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2"/>
                <w:szCs w:val="12"/>
                <w:b w:val="1"/>
                <w:bCs w:val="1"/>
                <w:color w:val="auto"/>
                <w:w w:val="96"/>
              </w:rPr>
              <w:t>Vest</w:t>
            </w: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and Unvested</w:t>
            </w: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7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Modified</w:t>
            </w:r>
          </w:p>
        </w:tc>
        <w:tc>
          <w:tcPr>
            <w:tcW w:w="8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920" w:type="dxa"/>
            <w:vAlign w:val="bottom"/>
            <w:tcBorders>
              <w:right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2"/>
                <w:szCs w:val="12"/>
                <w:b w:val="1"/>
                <w:bCs w:val="1"/>
                <w:color w:val="auto"/>
                <w:w w:val="95"/>
              </w:rPr>
              <w:t>to SCT Total</w:t>
            </w:r>
          </w:p>
        </w:tc>
        <w:tc>
          <w:tcPr>
            <w:tcW w:w="0" w:type="dxa"/>
            <w:vAlign w:val="bottom"/>
          </w:tcPr>
          <w:p>
            <w:pPr>
              <w:spacing w:after="0"/>
              <w:rPr>
                <w:sz w:val="1"/>
                <w:szCs w:val="1"/>
                <w:color w:val="auto"/>
              </w:rPr>
            </w:pPr>
          </w:p>
        </w:tc>
      </w:tr>
      <w:tr>
        <w:trPr>
          <w:trHeight w:val="203"/>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PEO</w:t>
            </w:r>
          </w:p>
        </w:tc>
        <w:tc>
          <w:tcPr>
            <w:tcW w:w="86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2"/>
                <w:szCs w:val="12"/>
                <w:b w:val="1"/>
                <w:bCs w:val="1"/>
                <w:color w:val="auto"/>
                <w:w w:val="97"/>
              </w:rPr>
              <w:t>Compensation</w:t>
            </w:r>
            <w:r>
              <w:rPr>
                <w:rFonts w:ascii="Times New Roman" w:cs="Times New Roman" w:eastAsia="Times New Roman" w:hAnsi="Times New Roman"/>
                <w:sz w:val="19"/>
                <w:szCs w:val="19"/>
                <w:b w:val="1"/>
                <w:bCs w:val="1"/>
                <w:color w:val="auto"/>
                <w:w w:val="97"/>
                <w:vertAlign w:val="superscript"/>
              </w:rPr>
              <w:t>4</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SCT</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End</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during year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 of Year-end</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during year</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during year</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0" w:type="dxa"/>
            <w:vAlign w:val="bottom"/>
          </w:tcPr>
          <w:p>
            <w:pPr>
              <w:spacing w:after="0"/>
              <w:rPr>
                <w:sz w:val="1"/>
                <w:szCs w:val="1"/>
                <w:color w:val="auto"/>
              </w:rPr>
            </w:pPr>
          </w:p>
        </w:tc>
      </w:tr>
      <w:tr>
        <w:trPr>
          <w:trHeight w:val="205"/>
        </w:trPr>
        <w:tc>
          <w:tcPr>
            <w:tcW w:w="940" w:type="dxa"/>
            <w:vAlign w:val="bottom"/>
            <w:tcBorders>
              <w:left w:val="single" w:sz="8" w:color="auto"/>
              <w:bottom w:val="single" w:sz="8" w:color="auto"/>
              <w:right w:val="single" w:sz="8" w:color="auto"/>
            </w:tcBorders>
            <w:shd w:val="clear" w:color="auto" w:fill="C7CDE8"/>
          </w:tcPr>
          <w:p>
            <w:pPr>
              <w:ind w:left="80"/>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$10,142,971</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$4,547,501</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$4,241,192</w:t>
            </w:r>
          </w:p>
        </w:tc>
        <w:tc>
          <w:tcPr>
            <w:tcW w:w="6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$329,737</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$986,753</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1,010,181</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$15,656,584</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$9,249,999</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$4,363,700</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($4,328,895)</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($387,465)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($9,602,659)</w:t>
            </w:r>
          </w:p>
        </w:tc>
        <w:tc>
          <w:tcPr>
            <w:tcW w:w="0" w:type="dxa"/>
            <w:vAlign w:val="bottom"/>
          </w:tcPr>
          <w:p>
            <w:pPr>
              <w:spacing w:after="0"/>
              <w:rPr>
                <w:sz w:val="1"/>
                <w:szCs w:val="1"/>
                <w:color w:val="auto"/>
              </w:rPr>
            </w:pPr>
          </w:p>
        </w:tc>
      </w:tr>
      <w:tr>
        <w:trPr>
          <w:trHeight w:val="196"/>
        </w:trPr>
        <w:tc>
          <w:tcPr>
            <w:tcW w:w="940" w:type="dxa"/>
            <w:vAlign w:val="bottom"/>
            <w:tcBorders>
              <w:left w:val="single" w:sz="8" w:color="auto"/>
              <w:bottom w:val="single" w:sz="8" w:color="auto"/>
              <w:right w:val="single" w:sz="8" w:color="auto"/>
            </w:tcBorders>
            <w:shd w:val="clear" w:color="auto" w:fill="C7CDE8"/>
          </w:tcPr>
          <w:p>
            <w:pPr>
              <w:ind w:left="80"/>
              <w:spacing w:after="0"/>
              <w:rPr>
                <w:sz w:val="20"/>
                <w:szCs w:val="20"/>
                <w:color w:val="auto"/>
              </w:rPr>
            </w:pPr>
            <w:r>
              <w:rPr>
                <w:rFonts w:ascii="Times New Roman" w:cs="Times New Roman" w:eastAsia="Times New Roman" w:hAnsi="Times New Roman"/>
                <w:sz w:val="14"/>
                <w:szCs w:val="14"/>
                <w:color w:val="auto"/>
              </w:rPr>
              <w:t>2022</w:t>
            </w:r>
          </w:p>
        </w:tc>
        <w:tc>
          <w:tcPr>
            <w:tcW w:w="8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$19,456,767</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$17,599,962</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$6,142,756</w:t>
            </w:r>
          </w:p>
        </w:tc>
        <w:tc>
          <w:tcPr>
            <w:tcW w:w="6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($2,399,666)</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($13,856,872)</w:t>
            </w:r>
          </w:p>
        </w:tc>
        <w:tc>
          <w:tcPr>
            <w:tcW w:w="0" w:type="dxa"/>
            <w:vAlign w:val="bottom"/>
          </w:tcPr>
          <w:p>
            <w:pPr>
              <w:spacing w:after="0"/>
              <w:rPr>
                <w:sz w:val="1"/>
                <w:szCs w:val="1"/>
                <w:color w:val="auto"/>
              </w:rPr>
            </w:pPr>
          </w:p>
        </w:tc>
      </w:tr>
      <w:tr>
        <w:trPr>
          <w:trHeight w:val="191"/>
        </w:trPr>
        <w:tc>
          <w:tcPr>
            <w:tcW w:w="9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$13,683,998</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$2,852,486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$2,852,486</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63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adjustments made during each fiscal year presented in the Pay Versus Performance Table to arrive at compensation “actually paid” to our Prior PEO during fiscal years 2020 and 2021:</w:t>
      </w:r>
    </w:p>
    <w:p>
      <w:pPr>
        <w:spacing w:after="0" w:line="85" w:lineRule="exact"/>
        <w:rPr>
          <w:sz w:val="20"/>
          <w:szCs w:val="20"/>
          <w:color w:val="auto"/>
        </w:rPr>
      </w:pPr>
    </w:p>
    <w:tbl>
      <w:tblPr>
        <w:tblLayout w:type="fixed"/>
        <w:tblInd w:w="670" w:type="dxa"/>
        <w:tblCellMar>
          <w:top w:w="0" w:type="dxa"/>
          <w:left w:w="0" w:type="dxa"/>
          <w:bottom w:w="0" w:type="dxa"/>
          <w:right w:w="0" w:type="dxa"/>
        </w:tblCellMar>
      </w:tblPr>
      <w:tr>
        <w:trPr>
          <w:trHeight w:val="246"/>
        </w:trPr>
        <w:tc>
          <w:tcPr>
            <w:tcW w:w="980" w:type="dxa"/>
            <w:vAlign w:val="bottom"/>
            <w:tcBorders>
              <w:top w:val="single" w:sz="8" w:color="auto"/>
              <w:left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1"/>
                <w:szCs w:val="21"/>
                <w:color w:val="auto"/>
              </w:rPr>
            </w:pPr>
          </w:p>
        </w:tc>
        <w:tc>
          <w:tcPr>
            <w:tcW w:w="70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Increase/</w:t>
            </w:r>
          </w:p>
        </w:tc>
        <w:tc>
          <w:tcPr>
            <w:tcW w:w="84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w:t>
            </w: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Change in</w:t>
            </w:r>
          </w:p>
        </w:tc>
        <w:tc>
          <w:tcPr>
            <w:tcW w:w="8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Increase/</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from</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Dollar Value</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Deduction for</w:t>
            </w:r>
          </w:p>
        </w:tc>
        <w:tc>
          <w:tcPr>
            <w:tcW w:w="6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prior Year-end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Change in</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Dividends</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Amounts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Increase for</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Increase for</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 current</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or other</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Reported</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Year-end of</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from Prior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Deduction of</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Earnings Paid</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 the</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2"/>
              </w:rPr>
              <w:t>Value of</w:t>
            </w:r>
          </w:p>
        </w:tc>
        <w:tc>
          <w:tcPr>
            <w:tcW w:w="7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Year-end to</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 of</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on Stock</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Vesting Date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 prior</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rPr>
              <w:t>Granted</w:t>
            </w:r>
          </w:p>
        </w:tc>
        <w:tc>
          <w:tcPr>
            <w:tcW w:w="7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Prior to</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Awards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 Vesting</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to Determine</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and</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6"/>
              </w:rPr>
              <w:t>during the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during the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year that</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Granted Prior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Prior to year</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Date not</w:t>
            </w:r>
          </w:p>
        </w:tc>
        <w:tc>
          <w:tcPr>
            <w:tcW w:w="8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6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“Option</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4"/>
              </w:rPr>
              <w:t>year that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year that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were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to year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were</w:t>
            </w:r>
          </w:p>
        </w:tc>
        <w:tc>
          <w:tcPr>
            <w:tcW w:w="840" w:type="dxa"/>
            <w:vAlign w:val="bottom"/>
            <w:tcBorders>
              <w:right w:val="single" w:sz="8" w:color="auto"/>
            </w:tcBorders>
          </w:tcPr>
          <w:p>
            <w:pPr>
              <w:jc w:val="center"/>
              <w:ind w:right="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otherwise</w:t>
            </w:r>
          </w:p>
        </w:tc>
        <w:tc>
          <w:tcPr>
            <w:tcW w:w="860" w:type="dxa"/>
            <w:vAlign w:val="bottom"/>
            <w:tcBorders>
              <w:right w:val="single" w:sz="8" w:color="auto"/>
            </w:tcBorders>
          </w:tcPr>
          <w:p>
            <w:pPr>
              <w:jc w:val="center"/>
              <w:ind w:right="57"/>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“Actually</w:t>
            </w: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SCT Total</w:t>
            </w:r>
          </w:p>
        </w:tc>
        <w:tc>
          <w:tcPr>
            <w:tcW w:w="80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680" w:type="dxa"/>
            <w:vAlign w:val="bottom"/>
            <w:tcBorders>
              <w:right w:val="single" w:sz="8" w:color="auto"/>
            </w:tcBorders>
          </w:tcPr>
          <w:p>
            <w:pPr>
              <w:jc w:val="center"/>
              <w:ind w:right="19"/>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Remain</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88"/>
              </w:rPr>
              <w:t>Vest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Outstanding</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that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Forfeited or</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included in</w:t>
            </w:r>
          </w:p>
        </w:tc>
        <w:tc>
          <w:tcPr>
            <w:tcW w:w="860" w:type="dxa"/>
            <w:vAlign w:val="bottom"/>
            <w:tcBorders>
              <w:right w:val="single" w:sz="8" w:color="auto"/>
            </w:tcBorders>
          </w:tcPr>
          <w:p>
            <w:pPr>
              <w:jc w:val="center"/>
              <w:ind w:right="37"/>
              <w:spacing w:after="0" w:line="135" w:lineRule="exact"/>
              <w:rPr>
                <w:sz w:val="20"/>
                <w:szCs w:val="20"/>
                <w:color w:val="auto"/>
              </w:rPr>
            </w:pPr>
            <w:r>
              <w:rPr>
                <w:rFonts w:ascii="Times New Roman" w:cs="Times New Roman" w:eastAsia="Times New Roman" w:hAnsi="Times New Roman"/>
                <w:sz w:val="12"/>
                <w:szCs w:val="12"/>
                <w:b w:val="1"/>
                <w:bCs w:val="1"/>
                <w:color w:val="auto"/>
                <w:w w:val="97"/>
              </w:rPr>
              <w:t>Adjustments</w:t>
            </w:r>
          </w:p>
        </w:tc>
        <w:tc>
          <w:tcPr>
            <w:tcW w:w="0" w:type="dxa"/>
            <w:vAlign w:val="bottom"/>
          </w:tcPr>
          <w:p>
            <w:pPr>
              <w:spacing w:after="0"/>
              <w:rPr>
                <w:sz w:val="1"/>
                <w:szCs w:val="1"/>
                <w:color w:val="auto"/>
              </w:rPr>
            </w:pPr>
          </w:p>
        </w:tc>
      </w:tr>
      <w:tr>
        <w:trPr>
          <w:trHeight w:val="118"/>
        </w:trPr>
        <w:tc>
          <w:tcPr>
            <w:tcW w:w="980" w:type="dxa"/>
            <w:vAlign w:val="bottom"/>
            <w:tcBorders>
              <w:left w:val="single" w:sz="8" w:color="auto"/>
              <w:right w:val="single" w:sz="8" w:color="auto"/>
            </w:tcBorders>
          </w:tcPr>
          <w:p>
            <w:pPr>
              <w:ind w:left="100"/>
              <w:spacing w:after="0" w:line="118" w:lineRule="exact"/>
              <w:rPr>
                <w:sz w:val="20"/>
                <w:szCs w:val="20"/>
                <w:color w:val="auto"/>
              </w:rPr>
            </w:pPr>
            <w:r>
              <w:rPr>
                <w:rFonts w:ascii="Times New Roman" w:cs="Times New Roman" w:eastAsia="Times New Roman" w:hAnsi="Times New Roman"/>
                <w:sz w:val="12"/>
                <w:szCs w:val="12"/>
                <w:b w:val="1"/>
                <w:bCs w:val="1"/>
                <w:color w:val="auto"/>
              </w:rPr>
              <w:t>Paid” for</w:t>
            </w:r>
          </w:p>
        </w:tc>
        <w:tc>
          <w:tcPr>
            <w:tcW w:w="860" w:type="dxa"/>
            <w:vAlign w:val="bottom"/>
            <w:tcBorders>
              <w:right w:val="single" w:sz="8" w:color="auto"/>
            </w:tcBorders>
            <w:vMerge w:val="continue"/>
          </w:tcPr>
          <w:p>
            <w:pPr>
              <w:spacing w:after="0"/>
              <w:rPr>
                <w:sz w:val="10"/>
                <w:szCs w:val="10"/>
                <w:color w:val="auto"/>
              </w:rPr>
            </w:pPr>
          </w:p>
        </w:tc>
        <w:tc>
          <w:tcPr>
            <w:tcW w:w="80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Column in the</w:t>
            </w:r>
          </w:p>
        </w:tc>
        <w:tc>
          <w:tcPr>
            <w:tcW w:w="68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Unvested as</w:t>
            </w:r>
          </w:p>
        </w:tc>
        <w:tc>
          <w:tcPr>
            <w:tcW w:w="700" w:type="dxa"/>
            <w:vAlign w:val="bottom"/>
            <w:tcBorders>
              <w:right w:val="single" w:sz="8" w:color="auto"/>
            </w:tcBorders>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w w:val="97"/>
              </w:rPr>
              <w:t>during</w:t>
            </w:r>
          </w:p>
        </w:tc>
        <w:tc>
          <w:tcPr>
            <w:tcW w:w="82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7"/>
              </w:rPr>
              <w:t>and Unvested</w:t>
            </w:r>
          </w:p>
        </w:tc>
        <w:tc>
          <w:tcPr>
            <w:tcW w:w="8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7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8"/>
              </w:rPr>
              <w:t>Modified</w:t>
            </w:r>
          </w:p>
        </w:tc>
        <w:tc>
          <w:tcPr>
            <w:tcW w:w="8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60" w:type="dxa"/>
            <w:vAlign w:val="bottom"/>
            <w:tcBorders>
              <w:right w:val="single" w:sz="8" w:color="auto"/>
            </w:tcBorders>
          </w:tcPr>
          <w:p>
            <w:pPr>
              <w:jc w:val="center"/>
              <w:ind w:right="37"/>
              <w:spacing w:after="0" w:line="118" w:lineRule="exact"/>
              <w:rPr>
                <w:sz w:val="20"/>
                <w:szCs w:val="20"/>
                <w:color w:val="auto"/>
              </w:rPr>
            </w:pPr>
            <w:r>
              <w:rPr>
                <w:rFonts w:ascii="Times New Roman" w:cs="Times New Roman" w:eastAsia="Times New Roman" w:hAnsi="Times New Roman"/>
                <w:sz w:val="12"/>
                <w:szCs w:val="12"/>
                <w:b w:val="1"/>
                <w:bCs w:val="1"/>
                <w:color w:val="auto"/>
                <w:w w:val="95"/>
              </w:rPr>
              <w:t>to SCT Total</w:t>
            </w:r>
          </w:p>
        </w:tc>
        <w:tc>
          <w:tcPr>
            <w:tcW w:w="0" w:type="dxa"/>
            <w:vAlign w:val="bottom"/>
          </w:tcPr>
          <w:p>
            <w:pPr>
              <w:spacing w:after="0"/>
              <w:rPr>
                <w:sz w:val="1"/>
                <w:szCs w:val="1"/>
                <w:color w:val="auto"/>
              </w:rPr>
            </w:pPr>
          </w:p>
        </w:tc>
      </w:tr>
      <w:tr>
        <w:trPr>
          <w:trHeight w:val="203"/>
        </w:trPr>
        <w:tc>
          <w:tcPr>
            <w:tcW w:w="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Prior PEO</w:t>
            </w:r>
          </w:p>
        </w:tc>
        <w:tc>
          <w:tcPr>
            <w:tcW w:w="860" w:type="dxa"/>
            <w:vAlign w:val="bottom"/>
            <w:tcBorders>
              <w:bottom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12"/>
                <w:szCs w:val="12"/>
                <w:b w:val="1"/>
                <w:bCs w:val="1"/>
                <w:color w:val="auto"/>
                <w:w w:val="97"/>
              </w:rPr>
              <w:t>Compensation</w:t>
            </w:r>
            <w:r>
              <w:rPr>
                <w:rFonts w:ascii="Times New Roman" w:cs="Times New Roman" w:eastAsia="Times New Roman" w:hAnsi="Times New Roman"/>
                <w:sz w:val="19"/>
                <w:szCs w:val="19"/>
                <w:b w:val="1"/>
                <w:bCs w:val="1"/>
                <w:color w:val="auto"/>
                <w:w w:val="97"/>
                <w:vertAlign w:val="superscript"/>
              </w:rPr>
              <w:t>4</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SCT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of Year End</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as of Year-end</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during year</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during year</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60" w:type="dxa"/>
            <w:vAlign w:val="bottom"/>
            <w:tcBorders>
              <w:bottom w:val="single" w:sz="8" w:color="auto"/>
              <w:right w:val="single" w:sz="8" w:color="auto"/>
            </w:tcBorders>
          </w:tcPr>
          <w:p>
            <w:pPr>
              <w:jc w:val="center"/>
              <w:ind w:right="37"/>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0" w:type="dxa"/>
            <w:vAlign w:val="bottom"/>
          </w:tcPr>
          <w:p>
            <w:pPr>
              <w:spacing w:after="0"/>
              <w:rPr>
                <w:sz w:val="1"/>
                <w:szCs w:val="1"/>
                <w:color w:val="auto"/>
              </w:rPr>
            </w:pPr>
          </w:p>
        </w:tc>
      </w:tr>
      <w:tr>
        <w:trPr>
          <w:trHeight w:val="204"/>
        </w:trPr>
        <w:tc>
          <w:tcPr>
            <w:tcW w:w="980" w:type="dxa"/>
            <w:vAlign w:val="bottom"/>
            <w:tcBorders>
              <w:left w:val="single" w:sz="8" w:color="auto"/>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86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$6,458,729</w:t>
            </w:r>
          </w:p>
        </w:tc>
        <w:tc>
          <w:tcPr>
            <w:tcW w:w="800" w:type="dxa"/>
            <w:vAlign w:val="bottom"/>
            <w:tcBorders>
              <w:bottom w:val="single" w:sz="8" w:color="auto"/>
              <w:right w:val="single" w:sz="8" w:color="auto"/>
            </w:tcBorders>
            <w:shd w:val="clear" w:color="auto" w:fill="C7CDE8"/>
          </w:tcPr>
          <w:p>
            <w:pPr>
              <w:jc w:val="right"/>
              <w:ind w:right="279"/>
              <w:spacing w:after="0"/>
              <w:rPr>
                <w:sz w:val="20"/>
                <w:szCs w:val="20"/>
                <w:color w:val="auto"/>
              </w:rPr>
            </w:pPr>
            <w:r>
              <w:rPr>
                <w:rFonts w:ascii="Times New Roman" w:cs="Times New Roman" w:eastAsia="Times New Roman" w:hAnsi="Times New Roman"/>
                <w:sz w:val="14"/>
                <w:szCs w:val="14"/>
                <w:color w:val="auto"/>
              </w:rPr>
              <w:t>$0</w:t>
            </w:r>
          </w:p>
        </w:tc>
        <w:tc>
          <w:tcPr>
            <w:tcW w:w="680" w:type="dxa"/>
            <w:vAlign w:val="bottom"/>
            <w:tcBorders>
              <w:bottom w:val="single" w:sz="8" w:color="auto"/>
              <w:right w:val="single" w:sz="8" w:color="auto"/>
            </w:tcBorders>
            <w:shd w:val="clear" w:color="auto" w:fill="C7CDE8"/>
          </w:tcPr>
          <w:p>
            <w:pPr>
              <w:jc w:val="right"/>
              <w:ind w:right="239"/>
              <w:spacing w:after="0"/>
              <w:rPr>
                <w:sz w:val="20"/>
                <w:szCs w:val="20"/>
                <w:color w:val="auto"/>
              </w:rPr>
            </w:pPr>
            <w:r>
              <w:rPr>
                <w:rFonts w:ascii="Times New Roman" w:cs="Times New Roman" w:eastAsia="Times New Roman" w:hAnsi="Times New Roman"/>
                <w:sz w:val="14"/>
                <w:szCs w:val="14"/>
                <w:color w:val="auto"/>
              </w:rPr>
              <w:t>$0</w:t>
            </w:r>
          </w:p>
        </w:tc>
        <w:tc>
          <w:tcPr>
            <w:tcW w:w="7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right"/>
              <w:ind w:right="280"/>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shd w:val="clear" w:color="auto" w:fill="C7CDE8"/>
          </w:tcPr>
          <w:p>
            <w:pPr>
              <w:jc w:val="right"/>
              <w:ind w:right="80"/>
              <w:spacing w:after="0"/>
              <w:rPr>
                <w:sz w:val="20"/>
                <w:szCs w:val="20"/>
                <w:color w:val="auto"/>
              </w:rPr>
            </w:pPr>
            <w:r>
              <w:rPr>
                <w:rFonts w:ascii="Times New Roman" w:cs="Times New Roman" w:eastAsia="Times New Roman" w:hAnsi="Times New Roman"/>
                <w:sz w:val="14"/>
                <w:szCs w:val="14"/>
                <w:color w:val="auto"/>
              </w:rPr>
              <w:t>1,076,415</w:t>
            </w:r>
          </w:p>
        </w:tc>
        <w:tc>
          <w:tcPr>
            <w:tcW w:w="7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60" w:type="dxa"/>
            <w:vAlign w:val="bottom"/>
            <w:tcBorders>
              <w:bottom w:val="single" w:sz="8" w:color="auto"/>
              <w:right w:val="single" w:sz="8" w:color="auto"/>
            </w:tcBorders>
            <w:shd w:val="clear" w:color="auto" w:fill="C7CDE8"/>
          </w:tcPr>
          <w:p>
            <w:pPr>
              <w:jc w:val="right"/>
              <w:ind w:right="77"/>
              <w:spacing w:after="0"/>
              <w:rPr>
                <w:sz w:val="20"/>
                <w:szCs w:val="20"/>
                <w:color w:val="auto"/>
              </w:rPr>
            </w:pPr>
            <w:r>
              <w:rPr>
                <w:rFonts w:ascii="Times New Roman" w:cs="Times New Roman" w:eastAsia="Times New Roman" w:hAnsi="Times New Roman"/>
                <w:sz w:val="14"/>
                <w:szCs w:val="14"/>
                <w:color w:val="auto"/>
              </w:rPr>
              <w:t>$1,076,415</w:t>
            </w:r>
          </w:p>
        </w:tc>
        <w:tc>
          <w:tcPr>
            <w:tcW w:w="0" w:type="dxa"/>
            <w:vAlign w:val="bottom"/>
          </w:tcPr>
          <w:p>
            <w:pPr>
              <w:spacing w:after="0"/>
              <w:rPr>
                <w:sz w:val="1"/>
                <w:szCs w:val="1"/>
                <w:color w:val="auto"/>
              </w:rPr>
            </w:pPr>
          </w:p>
        </w:tc>
      </w:tr>
      <w:tr>
        <w:trPr>
          <w:trHeight w:val="191"/>
        </w:trPr>
        <w:tc>
          <w:tcPr>
            <w:tcW w:w="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2020</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$1,907,812</w:t>
            </w:r>
          </w:p>
        </w:tc>
        <w:tc>
          <w:tcPr>
            <w:tcW w:w="800" w:type="dxa"/>
            <w:vAlign w:val="bottom"/>
            <w:tcBorders>
              <w:right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color w:val="auto"/>
              </w:rPr>
              <w:t>$934,401</w:t>
            </w:r>
          </w:p>
        </w:tc>
        <w:tc>
          <w:tcPr>
            <w:tcW w:w="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$916,645</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($4,086,941)</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($5,008,998)</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60" w:type="dxa"/>
            <w:vAlign w:val="bottom"/>
            <w:tcBorders>
              <w:right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($9,113,695)</w:t>
            </w:r>
          </w:p>
        </w:tc>
        <w:tc>
          <w:tcPr>
            <w:tcW w:w="0" w:type="dxa"/>
            <w:vAlign w:val="bottom"/>
          </w:tcPr>
          <w:p>
            <w:pPr>
              <w:spacing w:after="0"/>
              <w:rPr>
                <w:sz w:val="1"/>
                <w:szCs w:val="1"/>
                <w:color w:val="auto"/>
              </w:rPr>
            </w:pPr>
          </w:p>
        </w:tc>
      </w:tr>
      <w:tr>
        <w:trPr>
          <w:trHeight w:val="23"/>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439" w:hanging="348"/>
        <w:spacing w:after="0" w:line="261" w:lineRule="auto"/>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the adjustments made during each fiscal year presented in the Pay Versus Performance Table to arrive at the average compensation “actually paid” to our Non-PEO NEOs during each of the reportable years:</w:t>
      </w:r>
    </w:p>
    <w:p>
      <w:pPr>
        <w:spacing w:after="0" w:line="71" w:lineRule="exact"/>
        <w:rPr>
          <w:sz w:val="20"/>
          <w:szCs w:val="20"/>
          <w:color w:val="auto"/>
        </w:rPr>
      </w:pPr>
    </w:p>
    <w:tbl>
      <w:tblPr>
        <w:tblLayout w:type="fixed"/>
        <w:tblInd w:w="670" w:type="dxa"/>
        <w:tblCellMar>
          <w:top w:w="0" w:type="dxa"/>
          <w:left w:w="0" w:type="dxa"/>
          <w:bottom w:w="0" w:type="dxa"/>
          <w:right w:w="0" w:type="dxa"/>
        </w:tblCellMar>
      </w:tblPr>
      <w:tr>
        <w:trPr>
          <w:trHeight w:val="246"/>
        </w:trPr>
        <w:tc>
          <w:tcPr>
            <w:tcW w:w="980" w:type="dxa"/>
            <w:vAlign w:val="bottom"/>
            <w:tcBorders>
              <w:top w:val="single" w:sz="8" w:color="auto"/>
              <w:left w:val="single" w:sz="8" w:color="auto"/>
              <w:right w:val="single" w:sz="8" w:color="auto"/>
            </w:tcBorders>
          </w:tcPr>
          <w:p>
            <w:pPr>
              <w:spacing w:after="0"/>
              <w:rPr>
                <w:sz w:val="21"/>
                <w:szCs w:val="21"/>
                <w:color w:val="auto"/>
              </w:rPr>
            </w:pPr>
          </w:p>
        </w:tc>
        <w:tc>
          <w:tcPr>
            <w:tcW w:w="80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80" w:type="dxa"/>
            <w:vAlign w:val="bottom"/>
            <w:tcBorders>
              <w:top w:val="single" w:sz="8" w:color="auto"/>
              <w:right w:val="single" w:sz="8" w:color="auto"/>
            </w:tcBorders>
          </w:tcPr>
          <w:p>
            <w:pPr>
              <w:spacing w:after="0"/>
              <w:rPr>
                <w:sz w:val="21"/>
                <w:szCs w:val="21"/>
                <w:color w:val="auto"/>
              </w:rPr>
            </w:pP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Increase/</w:t>
            </w:r>
          </w:p>
        </w:tc>
        <w:tc>
          <w:tcPr>
            <w:tcW w:w="780" w:type="dxa"/>
            <w:vAlign w:val="bottom"/>
            <w:tcBorders>
              <w:top w:val="single" w:sz="8" w:color="auto"/>
              <w:right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880" w:type="dxa"/>
            <w:vAlign w:val="bottom"/>
            <w:tcBorders>
              <w:top w:val="single" w:sz="8" w:color="auto"/>
              <w:right w:val="single" w:sz="8" w:color="auto"/>
            </w:tcBorders>
          </w:tcPr>
          <w:p>
            <w:pPr>
              <w:spacing w:after="0"/>
              <w:rPr>
                <w:sz w:val="21"/>
                <w:szCs w:val="2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deduction</w:t>
            </w:r>
          </w:p>
        </w:tc>
        <w:tc>
          <w:tcPr>
            <w:tcW w:w="78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Change in</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Increase/</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deduction</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from</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for Change in</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Dollar Value</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prior Year-end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of Dividends</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Deduction for</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Increase for</w:t>
            </w: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 current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from Prior</w:t>
            </w:r>
          </w:p>
        </w:tc>
        <w:tc>
          <w:tcPr>
            <w:tcW w:w="7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or other</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Amounts</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6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1"/>
              </w:rPr>
              <w:t>Year-end of</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1"/>
              </w:rPr>
              <w:t>Year-end to</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Deduction of</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Earnings Paid</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Reported</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79"/>
              </w:rPr>
              <w:t>of</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Increase for</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Vesting Date</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 of</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on Stock</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Adjustments to</w:t>
            </w: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under the</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9"/>
              </w:rPr>
              <w:t>Awards</w:t>
            </w:r>
          </w:p>
        </w:tc>
        <w:tc>
          <w:tcPr>
            <w:tcW w:w="680" w:type="dxa"/>
            <w:vAlign w:val="bottom"/>
            <w:tcBorders>
              <w:right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2"/>
                <w:szCs w:val="12"/>
                <w:b w:val="1"/>
                <w:bCs w:val="1"/>
                <w:color w:val="auto"/>
                <w:w w:val="94"/>
              </w:rPr>
              <w:t>Fair Value</w:t>
            </w:r>
          </w:p>
        </w:tc>
        <w:tc>
          <w:tcPr>
            <w:tcW w:w="82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Awards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Awards prior</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Determine</w:t>
            </w: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rPr>
              <w:t>Granted</w:t>
            </w:r>
          </w:p>
        </w:tc>
        <w:tc>
          <w:tcPr>
            <w:tcW w:w="680" w:type="dxa"/>
            <w:vAlign w:val="bottom"/>
            <w:tcBorders>
              <w:right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2"/>
                <w:szCs w:val="12"/>
                <w:b w:val="1"/>
                <w:bCs w:val="1"/>
                <w:color w:val="auto"/>
                <w:w w:val="98"/>
              </w:rPr>
              <w:t>of Awards</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Prior to</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to Vesting</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80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6"/>
              </w:rPr>
              <w:t>Awards” and</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6"/>
              </w:rPr>
              <w:t>during the</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Granted</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year that</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Prior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Prior to year</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Date not</w:t>
            </w:r>
          </w:p>
        </w:tc>
        <w:tc>
          <w:tcPr>
            <w:tcW w:w="880" w:type="dxa"/>
            <w:vAlign w:val="bottom"/>
            <w:tcBorders>
              <w:right w:val="single" w:sz="8" w:color="auto"/>
            </w:tcBorders>
          </w:tcPr>
          <w:p>
            <w:pPr>
              <w:spacing w:after="0"/>
              <w:rPr>
                <w:sz w:val="11"/>
                <w:szCs w:val="11"/>
                <w:color w:val="auto"/>
              </w:rPr>
            </w:pP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“Actually</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3"/>
              </w:rPr>
              <w:t>SCT Total</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“Option</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4"/>
              </w:rPr>
              <w:t>year that</w:t>
            </w:r>
          </w:p>
        </w:tc>
        <w:tc>
          <w:tcPr>
            <w:tcW w:w="680" w:type="dxa"/>
            <w:vAlign w:val="bottom"/>
            <w:tcBorders>
              <w:right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2"/>
                <w:szCs w:val="12"/>
                <w:b w:val="1"/>
                <w:bCs w:val="1"/>
                <w:color w:val="auto"/>
                <w:w w:val="96"/>
              </w:rPr>
              <w:t>during the</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were</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rPr>
              <w:t>to year</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that were</w:t>
            </w:r>
          </w:p>
        </w:tc>
        <w:tc>
          <w:tcPr>
            <w:tcW w:w="84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otherwise</w:t>
            </w:r>
          </w:p>
        </w:tc>
        <w:tc>
          <w:tcPr>
            <w:tcW w:w="880" w:type="dxa"/>
            <w:vAlign w:val="bottom"/>
            <w:tcBorders>
              <w:right w:val="single" w:sz="8" w:color="auto"/>
            </w:tcBorders>
          </w:tcPr>
          <w:p>
            <w:pPr>
              <w:jc w:val="center"/>
              <w:ind w:right="34"/>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Paid”</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Awards”</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Remain</w:t>
            </w:r>
          </w:p>
        </w:tc>
        <w:tc>
          <w:tcPr>
            <w:tcW w:w="680" w:type="dxa"/>
            <w:vAlign w:val="bottom"/>
            <w:tcBorders>
              <w:right w:val="single" w:sz="8" w:color="auto"/>
            </w:tcBorders>
          </w:tcPr>
          <w:p>
            <w:pPr>
              <w:jc w:val="center"/>
              <w:ind w:right="16"/>
              <w:spacing w:after="0" w:line="135" w:lineRule="exact"/>
              <w:rPr>
                <w:sz w:val="20"/>
                <w:szCs w:val="20"/>
                <w:color w:val="auto"/>
              </w:rPr>
            </w:pPr>
            <w:r>
              <w:rPr>
                <w:rFonts w:ascii="Times New Roman" w:cs="Times New Roman" w:eastAsia="Times New Roman" w:hAnsi="Times New Roman"/>
                <w:sz w:val="12"/>
                <w:szCs w:val="12"/>
                <w:b w:val="1"/>
                <w:bCs w:val="1"/>
                <w:color w:val="auto"/>
                <w:w w:val="94"/>
              </w:rPr>
              <w:t>year that</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that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Forfeited or</w:t>
            </w:r>
          </w:p>
        </w:tc>
        <w:tc>
          <w:tcPr>
            <w:tcW w:w="840" w:type="dxa"/>
            <w:vAlign w:val="bottom"/>
            <w:tcBorders>
              <w:right w:val="single" w:sz="8" w:color="auto"/>
            </w:tcBorders>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included in</w:t>
            </w:r>
          </w:p>
        </w:tc>
        <w:tc>
          <w:tcPr>
            <w:tcW w:w="880" w:type="dxa"/>
            <w:vAlign w:val="bottom"/>
            <w:tcBorders>
              <w:right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2"/>
                <w:szCs w:val="12"/>
                <w:b w:val="1"/>
                <w:bCs w:val="1"/>
                <w:color w:val="auto"/>
                <w:w w:val="97"/>
              </w:rPr>
              <w:t>Adjustments</w:t>
            </w:r>
          </w:p>
        </w:tc>
      </w:tr>
      <w:tr>
        <w:trPr>
          <w:trHeight w:val="135"/>
        </w:trPr>
        <w:tc>
          <w:tcPr>
            <w:tcW w:w="980" w:type="dxa"/>
            <w:vAlign w:val="bottom"/>
            <w:tcBorders>
              <w:left w:val="single" w:sz="8" w:color="auto"/>
              <w:right w:val="single" w:sz="8" w:color="auto"/>
            </w:tcBorders>
          </w:tcPr>
          <w:p>
            <w:pPr>
              <w:ind w:left="100"/>
              <w:spacing w:after="0" w:line="135" w:lineRule="exact"/>
              <w:rPr>
                <w:sz w:val="20"/>
                <w:szCs w:val="20"/>
                <w:color w:val="auto"/>
              </w:rPr>
            </w:pPr>
            <w:r>
              <w:rPr>
                <w:rFonts w:ascii="Times New Roman" w:cs="Times New Roman" w:eastAsia="Times New Roman" w:hAnsi="Times New Roman"/>
                <w:sz w:val="12"/>
                <w:szCs w:val="12"/>
                <w:b w:val="1"/>
                <w:bCs w:val="1"/>
                <w:color w:val="auto"/>
              </w:rPr>
              <w:t>for Current</w:t>
            </w:r>
          </w:p>
        </w:tc>
        <w:tc>
          <w:tcPr>
            <w:tcW w:w="8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Of Average of</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Column in the</w:t>
            </w:r>
          </w:p>
        </w:tc>
        <w:tc>
          <w:tcPr>
            <w:tcW w:w="720" w:type="dxa"/>
            <w:vAlign w:val="bottom"/>
            <w:tcBorders>
              <w:right w:val="single" w:sz="8" w:color="auto"/>
            </w:tcBorders>
          </w:tcPr>
          <w:p>
            <w:pPr>
              <w:jc w:val="center"/>
              <w:ind w:right="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Unvested as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6"/>
              </w:rPr>
              <w:t>Vest during</w:t>
            </w:r>
          </w:p>
        </w:tc>
        <w:tc>
          <w:tcPr>
            <w:tcW w:w="8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and Unvested</w:t>
            </w:r>
          </w:p>
        </w:tc>
        <w:tc>
          <w:tcPr>
            <w:tcW w:w="7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2"/>
              </w:rPr>
              <w:t>Vested</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Modified</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880" w:type="dxa"/>
            <w:vAlign w:val="bottom"/>
            <w:tcBorders>
              <w:right w:val="single" w:sz="8" w:color="auto"/>
            </w:tcBorders>
          </w:tcPr>
          <w:p>
            <w:pPr>
              <w:jc w:val="center"/>
              <w:ind w:right="54"/>
              <w:spacing w:after="0" w:line="135" w:lineRule="exact"/>
              <w:rPr>
                <w:sz w:val="20"/>
                <w:szCs w:val="20"/>
                <w:color w:val="auto"/>
              </w:rPr>
            </w:pPr>
            <w:r>
              <w:rPr>
                <w:rFonts w:ascii="Times New Roman" w:cs="Times New Roman" w:eastAsia="Times New Roman" w:hAnsi="Times New Roman"/>
                <w:sz w:val="12"/>
                <w:szCs w:val="12"/>
                <w:b w:val="1"/>
                <w:bCs w:val="1"/>
                <w:color w:val="auto"/>
                <w:w w:val="95"/>
              </w:rPr>
              <w:t>to SCT Total</w:t>
            </w:r>
          </w:p>
        </w:tc>
      </w:tr>
      <w:tr>
        <w:trPr>
          <w:trHeight w:val="152"/>
        </w:trPr>
        <w:tc>
          <w:tcPr>
            <w:tcW w:w="9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b w:val="1"/>
                <w:bCs w:val="1"/>
                <w:color w:val="auto"/>
              </w:rPr>
              <w:t>PEO</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Non-PEO NE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SCT</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of Year End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as of Year-end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during year</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during year</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c>
          <w:tcPr>
            <w:tcW w:w="880" w:type="dxa"/>
            <w:vAlign w:val="bottom"/>
            <w:tcBorders>
              <w:right w:val="single" w:sz="8" w:color="auto"/>
            </w:tcBorders>
          </w:tcPr>
          <w:p>
            <w:pPr>
              <w:jc w:val="center"/>
              <w:ind w:right="14"/>
              <w:spacing w:after="0"/>
              <w:rPr>
                <w:sz w:val="20"/>
                <w:szCs w:val="20"/>
                <w:color w:val="auto"/>
              </w:rPr>
            </w:pPr>
            <w:r>
              <w:rPr>
                <w:rFonts w:ascii="Times New Roman" w:cs="Times New Roman" w:eastAsia="Times New Roman" w:hAnsi="Times New Roman"/>
                <w:sz w:val="12"/>
                <w:szCs w:val="12"/>
                <w:b w:val="1"/>
                <w:bCs w:val="1"/>
                <w:color w:val="auto"/>
                <w:w w:val="97"/>
              </w:rPr>
              <w:t>Compensation</w:t>
            </w:r>
          </w:p>
        </w:tc>
      </w:tr>
      <w:tr>
        <w:trPr>
          <w:trHeight w:val="33"/>
        </w:trPr>
        <w:tc>
          <w:tcPr>
            <w:tcW w:w="98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r>
      <w:tr>
        <w:trPr>
          <w:trHeight w:val="204"/>
        </w:trPr>
        <w:tc>
          <w:tcPr>
            <w:tcW w:w="980" w:type="dxa"/>
            <w:vAlign w:val="bottom"/>
            <w:tcBorders>
              <w:left w:val="single" w:sz="8" w:color="auto"/>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4"/>
                <w:szCs w:val="14"/>
                <w:color w:val="auto"/>
              </w:rPr>
              <w:t>2024</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$2,061,804</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850,870</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793,558</w:t>
            </w:r>
          </w:p>
        </w:tc>
        <w:tc>
          <w:tcPr>
            <w:tcW w:w="6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$45,740</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$173,875</w:t>
            </w:r>
          </w:p>
        </w:tc>
        <w:tc>
          <w:tcPr>
            <w:tcW w:w="7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80" w:type="dxa"/>
            <w:vAlign w:val="bottom"/>
            <w:tcBorders>
              <w:bottom w:val="single" w:sz="8" w:color="auto"/>
              <w:right w:val="single" w:sz="8" w:color="auto"/>
            </w:tcBorders>
            <w:shd w:val="clear" w:color="auto" w:fill="C7CDE8"/>
          </w:tcPr>
          <w:p>
            <w:pPr>
              <w:jc w:val="center"/>
              <w:ind w:right="34"/>
              <w:spacing w:after="0"/>
              <w:rPr>
                <w:sz w:val="20"/>
                <w:szCs w:val="20"/>
                <w:color w:val="auto"/>
              </w:rPr>
            </w:pPr>
            <w:r>
              <w:rPr>
                <w:rFonts w:ascii="Times New Roman" w:cs="Times New Roman" w:eastAsia="Times New Roman" w:hAnsi="Times New Roman"/>
                <w:sz w:val="14"/>
                <w:szCs w:val="14"/>
                <w:color w:val="auto"/>
              </w:rPr>
              <w:t>$162,302</w:t>
            </w:r>
          </w:p>
        </w:tc>
      </w:tr>
      <w:tr>
        <w:trPr>
          <w:trHeight w:val="196"/>
        </w:trPr>
        <w:tc>
          <w:tcPr>
            <w:tcW w:w="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2023</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$2,371,929</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$1,270,317</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$599,274</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($629,633)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($76,258)</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rPr>
              <w:t>($1,376,934)</w:t>
            </w:r>
          </w:p>
        </w:tc>
      </w:tr>
      <w:tr>
        <w:trPr>
          <w:trHeight w:val="196"/>
        </w:trPr>
        <w:tc>
          <w:tcPr>
            <w:tcW w:w="980" w:type="dxa"/>
            <w:vAlign w:val="bottom"/>
            <w:tcBorders>
              <w:left w:val="single" w:sz="8" w:color="auto"/>
              <w:bottom w:val="single" w:sz="8" w:color="auto"/>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$2,755,870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$2,294,777</w:t>
            </w:r>
          </w:p>
        </w:tc>
        <w:tc>
          <w:tcPr>
            <w:tcW w:w="7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$752,084</w:t>
            </w:r>
          </w:p>
        </w:tc>
        <w:tc>
          <w:tcPr>
            <w:tcW w:w="6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8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($255,227)</w:t>
            </w:r>
          </w:p>
        </w:tc>
        <w:tc>
          <w:tcPr>
            <w:tcW w:w="7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80" w:type="dxa"/>
            <w:vAlign w:val="bottom"/>
            <w:tcBorders>
              <w:bottom w:val="single" w:sz="8" w:color="auto"/>
              <w:right w:val="single" w:sz="8" w:color="auto"/>
            </w:tcBorders>
            <w:shd w:val="clear" w:color="auto" w:fill="C7CDE8"/>
          </w:tcPr>
          <w:p>
            <w:pPr>
              <w:jc w:val="center"/>
              <w:ind w:right="14"/>
              <w:spacing w:after="0"/>
              <w:rPr>
                <w:sz w:val="20"/>
                <w:szCs w:val="20"/>
                <w:color w:val="auto"/>
              </w:rPr>
            </w:pPr>
            <w:r>
              <w:rPr>
                <w:rFonts w:ascii="Times New Roman" w:cs="Times New Roman" w:eastAsia="Times New Roman" w:hAnsi="Times New Roman"/>
                <w:sz w:val="14"/>
                <w:szCs w:val="14"/>
                <w:color w:val="auto"/>
              </w:rPr>
              <w:t>($1,797,920)</w:t>
            </w:r>
          </w:p>
        </w:tc>
      </w:tr>
      <w:tr>
        <w:trPr>
          <w:trHeight w:val="196"/>
        </w:trPr>
        <w:tc>
          <w:tcPr>
            <w:tcW w:w="98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2021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$2,208,882</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$1,266,739</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80" w:type="dxa"/>
            <w:vAlign w:val="bottom"/>
            <w:tcBorders>
              <w:bottom w:val="single" w:sz="8" w:color="auto"/>
              <w:right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color w:val="auto"/>
              </w:rPr>
              <w:t>$1,266,739</w:t>
            </w:r>
          </w:p>
        </w:tc>
      </w:tr>
      <w:tr>
        <w:trPr>
          <w:trHeight w:val="194"/>
        </w:trPr>
        <w:tc>
          <w:tcPr>
            <w:tcW w:w="980" w:type="dxa"/>
            <w:vAlign w:val="bottom"/>
            <w:tcBorders>
              <w:left w:val="single" w:sz="8" w:color="auto"/>
              <w:bottom w:val="single" w:sz="8" w:color="C7CDE8"/>
              <w:right w:val="single" w:sz="8" w:color="auto"/>
            </w:tcBorders>
            <w:shd w:val="clear" w:color="auto" w:fill="C7CDE8"/>
          </w:tcPr>
          <w:p>
            <w:pPr>
              <w:ind w:left="100"/>
              <w:spacing w:after="0"/>
              <w:rPr>
                <w:sz w:val="20"/>
                <w:szCs w:val="20"/>
                <w:color w:val="auto"/>
              </w:rPr>
            </w:pPr>
            <w:r>
              <w:rPr>
                <w:rFonts w:ascii="Times New Roman" w:cs="Times New Roman" w:eastAsia="Times New Roman" w:hAnsi="Times New Roman"/>
                <w:sz w:val="14"/>
                <w:szCs w:val="14"/>
                <w:color w:val="auto"/>
              </w:rPr>
              <w:t>2020</w:t>
            </w:r>
          </w:p>
        </w:tc>
        <w:tc>
          <w:tcPr>
            <w:tcW w:w="80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$1,394,132</w:t>
            </w:r>
          </w:p>
        </w:tc>
        <w:tc>
          <w:tcPr>
            <w:tcW w:w="82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$950,676</w:t>
            </w:r>
          </w:p>
        </w:tc>
        <w:tc>
          <w:tcPr>
            <w:tcW w:w="72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$878,066</w:t>
            </w:r>
          </w:p>
        </w:tc>
        <w:tc>
          <w:tcPr>
            <w:tcW w:w="68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2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($204,937)</w:t>
            </w:r>
          </w:p>
        </w:tc>
        <w:tc>
          <w:tcPr>
            <w:tcW w:w="78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($685,150)</w:t>
            </w:r>
          </w:p>
        </w:tc>
        <w:tc>
          <w:tcPr>
            <w:tcW w:w="74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840" w:type="dxa"/>
            <w:vAlign w:val="bottom"/>
            <w:tcBorders>
              <w:bottom w:val="single" w:sz="8" w:color="C7CDE8"/>
              <w:right w:val="single" w:sz="8" w:color="auto"/>
            </w:tcBorders>
            <w:shd w:val="clear" w:color="auto" w:fill="C7CDE8"/>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880" w:type="dxa"/>
            <w:vAlign w:val="bottom"/>
            <w:tcBorders>
              <w:bottom w:val="single" w:sz="8" w:color="C7CDE8"/>
              <w:right w:val="single" w:sz="8" w:color="auto"/>
            </w:tcBorders>
            <w:shd w:val="clear" w:color="auto" w:fill="C7CDE8"/>
          </w:tcPr>
          <w:p>
            <w:pPr>
              <w:jc w:val="center"/>
              <w:ind w:right="14"/>
              <w:spacing w:after="0"/>
              <w:rPr>
                <w:sz w:val="20"/>
                <w:szCs w:val="20"/>
                <w:color w:val="auto"/>
              </w:rPr>
            </w:pPr>
            <w:r>
              <w:rPr>
                <w:rFonts w:ascii="Times New Roman" w:cs="Times New Roman" w:eastAsia="Times New Roman" w:hAnsi="Times New Roman"/>
                <w:sz w:val="14"/>
                <w:szCs w:val="14"/>
                <w:color w:val="auto"/>
              </w:rPr>
              <w:t>($962,697)</w:t>
            </w:r>
          </w:p>
        </w:tc>
      </w:tr>
      <w:tr>
        <w:trPr>
          <w:trHeight w:val="20"/>
        </w:trPr>
        <w:tc>
          <w:tcPr>
            <w:tcW w:w="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r>
    </w:tbl>
    <w:p>
      <w:pPr>
        <w:spacing w:after="0" w:line="31" w:lineRule="exact"/>
        <w:rPr>
          <w:sz w:val="20"/>
          <w:szCs w:val="20"/>
          <w:color w:val="auto"/>
        </w:rPr>
      </w:pPr>
    </w:p>
    <w:p>
      <w:pPr>
        <w:jc w:val="both"/>
        <w:ind w:left="640" w:right="6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is calculated for each fiscal year based on a fixed investment of $100 from the day before the beginning of the earliest period reported in the table (December 30, 2020) through the end of each applicable year, assuming reinvestment of dividends.</w:t>
      </w:r>
    </w:p>
    <w:p>
      <w:pPr>
        <w:ind w:left="640" w:right="53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Horizons Marijuana Life Sciences Index is the peer group index selected by the Company for this purpose and for purposes of the Stock Performance Graph in our Annual Report.</w:t>
      </w:r>
    </w:p>
    <w:p>
      <w:pPr>
        <w:ind w:left="640" w:right="6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dollar amounts reported represents the amount of net income (loss) reflected in the Company's audited financial statements for the applicable year or period.</w:t>
      </w:r>
    </w:p>
    <w:p>
      <w:pPr>
        <w:ind w:left="640" w:right="53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identified Adjusted EBITDA as the Company-selected measure for this pay versus performance disclosure, as it represents the most significant financial performance measure used to link compensation actually paid to the PEOs and Non-PEO NEOs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6" w:name="page57"/>
    <w:bookmarkEnd w:id="56"/>
    <w:p>
      <w:pPr>
        <w:ind w:left="660" w:right="359"/>
        <w:spacing w:after="0" w:line="235" w:lineRule="auto"/>
        <w:rPr>
          <w:sz w:val="20"/>
          <w:szCs w:val="20"/>
          <w:color w:val="auto"/>
        </w:rPr>
      </w:pPr>
      <w:r>
        <w:rPr>
          <w:rFonts w:ascii="Times New Roman" w:cs="Times New Roman" w:eastAsia="Times New Roman" w:hAnsi="Times New Roman"/>
          <w:sz w:val="14"/>
          <w:szCs w:val="14"/>
          <w:color w:val="auto"/>
        </w:rPr>
        <w:t>to the Company's performance in fiscal year 2024. The Adjusted EBITDA for all years except the year ended May 31, 2024 and the year ended May 31, 2020 includes an adjustment for lease expenses. Please see “Reconciliation of Non-GAAP Financial Measures to GAAP Measures” in our Annual Report on Form 10-K for the fiscal year ended May 31, 2024 for a reconciliation of such non-GAAP Measures to the most directly comparable GAAP financial measures</w:t>
      </w:r>
    </w:p>
    <w:p>
      <w:pPr>
        <w:spacing w:after="0" w:line="17"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Aphria Inc.’s Adjusted EBITDA for the year ended May 31, 2020, presented in USD and according to US GAAP.</w:t>
      </w:r>
    </w:p>
    <w:p>
      <w:pPr>
        <w:spacing w:after="0" w:line="41"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EBITDA PSU Awards” as described in the Compensation Discussion &amp; Analysis section are not included because there was no change in fair value as of the end of Fiscal Year 2024 based upon the probable outcome of the performance conditions as of the last day of Fiscal Year 2024. There was no grant date fair value for purposes of ASC 718 due to the three-year cumulative performance targets not having been set during Fiscal Year 2024.</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Financial Performance Measures</w:t>
      </w:r>
    </w:p>
    <w:p>
      <w:pPr>
        <w:spacing w:after="0" w:line="102"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color w:val="auto"/>
        </w:rPr>
        <w:t>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2139950</wp:posOffset>
            </wp:positionH>
            <wp:positionV relativeFrom="paragraph">
              <wp:posOffset>87630</wp:posOffset>
            </wp:positionV>
            <wp:extent cx="1448435"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48435" cy="428625"/>
                    </a:xfrm>
                    <a:prstGeom prst="rect">
                      <a:avLst/>
                    </a:prstGeom>
                    <a:noFill/>
                  </pic:spPr>
                </pic:pic>
              </a:graphicData>
            </a:graphic>
          </wp:anchor>
        </w:drawing>
      </w:r>
    </w:p>
    <w:p>
      <w:pPr>
        <w:spacing w:after="0" w:line="22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7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Consolidated Net Revenue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Narrative Disclosure of the Relationship between Financial Performance Measures</w:t>
      </w:r>
    </w:p>
    <w:p>
      <w:pPr>
        <w:spacing w:after="0" w:line="102"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The graphs below compare the compensation actually paid to our Current PEO and Prior PEO and the average of the compensation actually paid to our remaining NEOs, with (i) our cumulative TSR, (ii) Peer Group TSR, (iii) our Net Income, and (iv) our Adjusted EBITDA, in each case, for all reportable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157480</wp:posOffset>
            </wp:positionV>
            <wp:extent cx="5100320" cy="2940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0032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1228090</wp:posOffset>
            </wp:positionH>
            <wp:positionV relativeFrom="page">
              <wp:posOffset>88900</wp:posOffset>
            </wp:positionV>
            <wp:extent cx="5100320" cy="2922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10032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188595</wp:posOffset>
            </wp:positionV>
            <wp:extent cx="5134610" cy="2922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3461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00489A"/>
        </w:rPr>
        <w:t>EQUITY COMPENSATION PLANS</w:t>
      </w:r>
    </w:p>
    <w:p>
      <w:pPr>
        <w:spacing w:after="0" w:line="103"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May 31, 2024.</w:t>
      </w:r>
    </w:p>
    <w:p>
      <w:pPr>
        <w:sectPr>
          <w:pgSz w:w="11900" w:h="16838" w:orient="portrait"/>
          <w:cols w:equalWidth="0" w:num="1">
            <w:col w:w="9019"/>
          </w:cols>
          <w:pgMar w:left="1440" w:top="122"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 Number of securities to</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5"/>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 exercise of</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300" w:type="dxa"/>
            <w:vAlign w:val="bottom"/>
          </w:tcPr>
          <w:p>
            <w:pPr>
              <w:spacing w:after="0"/>
              <w:rPr>
                <w:sz w:val="12"/>
                <w:szCs w:val="12"/>
                <w:color w:val="auto"/>
              </w:rPr>
            </w:pPr>
          </w:p>
        </w:tc>
        <w:tc>
          <w:tcPr>
            <w:tcW w:w="1680" w:type="dxa"/>
            <w:vAlign w:val="bottom"/>
            <w:gridSpan w:val="5"/>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90"/>
        </w:trPr>
        <w:tc>
          <w:tcPr>
            <w:tcW w:w="23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0" w:type="dxa"/>
            <w:vAlign w:val="bottom"/>
          </w:tcPr>
          <w:p>
            <w:pPr>
              <w:spacing w:after="0"/>
              <w:rPr>
                <w:sz w:val="1"/>
                <w:szCs w:val="1"/>
                <w:color w:val="auto"/>
              </w:rPr>
            </w:pPr>
          </w:p>
        </w:tc>
      </w:tr>
      <w:tr>
        <w:trPr>
          <w:trHeight w:val="23"/>
        </w:trPr>
        <w:tc>
          <w:tcPr>
            <w:tcW w:w="23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Amended and Restated</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Tilray, Inc. 2018 equity</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380" w:type="dxa"/>
            <w:vAlign w:val="bottom"/>
          </w:tcPr>
          <w:p>
            <w:pPr>
              <w:ind w:left="400"/>
              <w:spacing w:after="0" w:line="320" w:lineRule="exact"/>
              <w:rPr>
                <w:sz w:val="20"/>
                <w:szCs w:val="20"/>
                <w:color w:val="auto"/>
              </w:rPr>
            </w:pPr>
            <w:r>
              <w:rPr>
                <w:rFonts w:ascii="Times New Roman" w:cs="Times New Roman" w:eastAsia="Times New Roman" w:hAnsi="Times New Roman"/>
                <w:sz w:val="18"/>
                <w:szCs w:val="18"/>
                <w:color w:val="auto"/>
              </w:rPr>
              <w:t>Incentive Plan</w:t>
            </w:r>
            <w:r>
              <w:rPr>
                <w:rFonts w:ascii="Times New Roman" w:cs="Times New Roman" w:eastAsia="Times New Roman" w:hAnsi="Times New Roman"/>
                <w:sz w:val="29"/>
                <w:szCs w:val="29"/>
                <w:color w:val="auto"/>
                <w:vertAlign w:val="superscript"/>
              </w:rPr>
              <w:t>(2)(3)</w:t>
            </w:r>
          </w:p>
        </w:tc>
        <w:tc>
          <w:tcPr>
            <w:tcW w:w="1580" w:type="dxa"/>
            <w:vAlign w:val="bottom"/>
            <w:gridSpan w:val="5"/>
          </w:tcPr>
          <w:p>
            <w:pPr>
              <w:ind w:left="760"/>
              <w:spacing w:after="0"/>
              <w:rPr>
                <w:sz w:val="20"/>
                <w:szCs w:val="20"/>
                <w:color w:val="auto"/>
              </w:rPr>
            </w:pPr>
            <w:r>
              <w:rPr>
                <w:rFonts w:ascii="Times New Roman" w:cs="Times New Roman" w:eastAsia="Times New Roman" w:hAnsi="Times New Roman"/>
                <w:sz w:val="18"/>
                <w:szCs w:val="18"/>
                <w:color w:val="auto"/>
                <w:w w:val="98"/>
              </w:rPr>
              <w:t>28,767,293</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Aphria Equity Incentive Plan</w:t>
            </w: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678,405</w:t>
            </w:r>
          </w:p>
        </w:tc>
        <w:tc>
          <w:tcPr>
            <w:tcW w:w="0" w:type="dxa"/>
            <w:vAlign w:val="bottom"/>
          </w:tcPr>
          <w:p>
            <w:pPr>
              <w:spacing w:after="0"/>
              <w:rPr>
                <w:sz w:val="1"/>
                <w:szCs w:val="1"/>
                <w:color w:val="auto"/>
              </w:rPr>
            </w:pPr>
          </w:p>
        </w:tc>
      </w:tr>
      <w:tr>
        <w:trPr>
          <w:trHeight w:val="265"/>
        </w:trPr>
        <w:tc>
          <w:tcPr>
            <w:tcW w:w="2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Privateer Holdings, Inc. 2011</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Equity Incentive Plan</w:t>
            </w:r>
          </w:p>
        </w:tc>
        <w:tc>
          <w:tcPr>
            <w:tcW w:w="198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49,166</w:t>
            </w:r>
          </w:p>
        </w:tc>
        <w:tc>
          <w:tcPr>
            <w:tcW w:w="0" w:type="dxa"/>
            <w:vAlign w:val="bottom"/>
          </w:tcPr>
          <w:p>
            <w:pPr>
              <w:spacing w:after="0"/>
              <w:rPr>
                <w:sz w:val="1"/>
                <w:szCs w:val="1"/>
                <w:color w:val="auto"/>
              </w:rPr>
            </w:pPr>
          </w:p>
        </w:tc>
      </w:tr>
      <w:tr>
        <w:trPr>
          <w:trHeight w:val="265"/>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54"/>
        </w:trPr>
        <w:tc>
          <w:tcPr>
            <w:tcW w:w="2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4"/>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380" w:type="dxa"/>
            <w:vAlign w:val="bottom"/>
            <w:vMerge w:val="continue"/>
          </w:tcPr>
          <w:p>
            <w:pPr>
              <w:spacing w:after="0"/>
              <w:rPr>
                <w:sz w:val="18"/>
                <w:szCs w:val="18"/>
                <w:color w:val="auto"/>
              </w:rPr>
            </w:pPr>
          </w:p>
        </w:tc>
        <w:tc>
          <w:tcPr>
            <w:tcW w:w="76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1"/>
              </w:rPr>
              <w:t>29,494,864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-1799590</wp:posOffset>
            </wp:positionV>
            <wp:extent cx="5349240" cy="3175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349240" cy="31750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-1002030</wp:posOffset>
            </wp:positionV>
            <wp:extent cx="5349240" cy="179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49240" cy="17970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-505460</wp:posOffset>
            </wp:positionV>
            <wp:extent cx="5349240" cy="3175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31750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40" w:firstLine="215"/>
        <w:spacing w:after="0" w:line="234" w:lineRule="auto"/>
        <w:tabs>
          <w:tab w:leader="none" w:pos="392" w:val="left"/>
        </w:tabs>
        <w:numPr>
          <w:ilvl w:val="0"/>
          <w:numId w:val="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Weighted average exercise price of outstanding</w:t>
      </w:r>
    </w:p>
    <w:p>
      <w:pPr>
        <w:spacing w:after="0" w:line="1" w:lineRule="exact"/>
        <w:rPr>
          <w:rFonts w:ascii="Times New Roman" w:cs="Times New Roman" w:eastAsia="Times New Roman" w:hAnsi="Times New Roman"/>
          <w:sz w:val="14"/>
          <w:szCs w:val="14"/>
          <w:b w:val="1"/>
          <w:bCs w:val="1"/>
          <w:color w:val="auto"/>
        </w:rPr>
      </w:pPr>
    </w:p>
    <w:p>
      <w:pPr>
        <w:ind w:left="300"/>
        <w:spacing w:after="0" w:line="23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options, warrants</w:t>
      </w:r>
    </w:p>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-22225</wp:posOffset>
            </wp:positionV>
            <wp:extent cx="11487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color w:val="auto"/>
        </w:rPr>
        <w:t>$14.53</w:t>
      </w:r>
    </w:p>
    <w:p>
      <w:pPr>
        <w:spacing w:after="0" w:line="77" w:lineRule="exact"/>
        <w:rPr>
          <w:sz w:val="20"/>
          <w:szCs w:val="20"/>
          <w:color w:val="auto"/>
        </w:rPr>
      </w:pPr>
    </w:p>
    <w:p>
      <w:pPr>
        <w:ind w:left="820" w:hanging="188"/>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7.56</w:t>
      </w:r>
    </w:p>
    <w:p>
      <w:pPr>
        <w:spacing w:after="0" w:line="292" w:lineRule="exact"/>
        <w:rPr>
          <w:rFonts w:ascii="Times New Roman" w:cs="Times New Roman" w:eastAsia="Times New Roman" w:hAnsi="Times New Roman"/>
          <w:sz w:val="18"/>
          <w:szCs w:val="18"/>
          <w:color w:val="auto"/>
        </w:rPr>
      </w:pPr>
    </w:p>
    <w:p>
      <w:pPr>
        <w:ind w:left="820" w:hanging="188"/>
        <w:spacing w:after="0"/>
        <w:tabs>
          <w:tab w:leader="none" w:pos="8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3.46</w:t>
      </w:r>
    </w:p>
    <w:p>
      <w:pPr>
        <w:spacing w:after="0" w:line="2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51435</wp:posOffset>
            </wp:positionV>
            <wp:extent cx="283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$13.44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34290</wp:posOffset>
            </wp:positionV>
            <wp:extent cx="3175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both"/>
        <w:ind w:left="16" w:right="419" w:hanging="16"/>
        <w:spacing w:after="0" w:line="230" w:lineRule="auto"/>
        <w:tabs>
          <w:tab w:leader="none" w:pos="193" w:val="left"/>
        </w:tabs>
        <w:numPr>
          <w:ilvl w:val="0"/>
          <w:numId w:val="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Number of securities remaining available for issuance under equity</w:t>
      </w:r>
    </w:p>
    <w:p>
      <w:pPr>
        <w:ind w:left="36" w:right="419" w:firstLine="110"/>
        <w:spacing w:after="0" w:line="23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compensation plans (excluding securities reflected in 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15240</wp:posOffset>
            </wp:positionV>
            <wp:extent cx="9772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96"/>
        <w:spacing w:after="0"/>
        <w:rPr>
          <w:sz w:val="20"/>
          <w:szCs w:val="20"/>
          <w:color w:val="auto"/>
        </w:rPr>
      </w:pPr>
      <w:r>
        <w:rPr>
          <w:rFonts w:ascii="Times New Roman" w:cs="Times New Roman" w:eastAsia="Times New Roman" w:hAnsi="Times New Roman"/>
          <w:sz w:val="18"/>
          <w:szCs w:val="18"/>
          <w:color w:val="auto"/>
        </w:rPr>
        <w:t>23,541,017</w:t>
      </w:r>
    </w:p>
    <w:p>
      <w:pPr>
        <w:spacing w:after="0" w:line="77" w:lineRule="exact"/>
        <w:rPr>
          <w:sz w:val="20"/>
          <w:szCs w:val="20"/>
          <w:color w:val="auto"/>
        </w:rPr>
      </w:pPr>
    </w:p>
    <w:p>
      <w:pPr>
        <w:ind w:left="1196"/>
        <w:spacing w:after="0"/>
        <w:rPr>
          <w:sz w:val="20"/>
          <w:szCs w:val="20"/>
          <w:color w:val="auto"/>
        </w:rPr>
      </w:pPr>
      <w:r>
        <w:rPr>
          <w:rFonts w:ascii="Times New Roman" w:cs="Times New Roman" w:eastAsia="Times New Roman" w:hAnsi="Times New Roman"/>
          <w:sz w:val="18"/>
          <w:szCs w:val="18"/>
          <w:color w:val="auto"/>
        </w:rPr>
        <w:t>0</w:t>
      </w:r>
    </w:p>
    <w:p>
      <w:pPr>
        <w:spacing w:after="0" w:line="293" w:lineRule="exact"/>
        <w:rPr>
          <w:sz w:val="20"/>
          <w:szCs w:val="20"/>
          <w:color w:val="auto"/>
        </w:rPr>
      </w:pPr>
    </w:p>
    <w:p>
      <w:pPr>
        <w:ind w:left="1196"/>
        <w:spacing w:after="0"/>
        <w:rPr>
          <w:sz w:val="20"/>
          <w:szCs w:val="20"/>
          <w:color w:val="auto"/>
        </w:rPr>
      </w:pPr>
      <w:r>
        <w:rPr>
          <w:rFonts w:ascii="Times New Roman" w:cs="Times New Roman" w:eastAsia="Times New Roman" w:hAnsi="Times New Roman"/>
          <w:sz w:val="18"/>
          <w:szCs w:val="18"/>
          <w:color w:val="auto"/>
        </w:rPr>
        <w:t>0</w:t>
      </w:r>
    </w:p>
    <w:p>
      <w:pPr>
        <w:spacing w:after="0" w:line="293" w:lineRule="exact"/>
        <w:rPr>
          <w:sz w:val="20"/>
          <w:szCs w:val="20"/>
          <w:color w:val="auto"/>
        </w:rPr>
      </w:pPr>
    </w:p>
    <w:p>
      <w:pPr>
        <w:ind w:left="1016"/>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51435</wp:posOffset>
            </wp:positionV>
            <wp:extent cx="4540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70" w:lineRule="exact"/>
        <w:rPr>
          <w:sz w:val="20"/>
          <w:szCs w:val="20"/>
          <w:color w:val="auto"/>
        </w:rPr>
      </w:pPr>
    </w:p>
    <w:p>
      <w:pPr>
        <w:ind w:left="396"/>
        <w:spacing w:after="0"/>
        <w:rPr>
          <w:sz w:val="20"/>
          <w:szCs w:val="20"/>
          <w:color w:val="auto"/>
        </w:rPr>
      </w:pPr>
      <w:r>
        <w:rPr>
          <w:rFonts w:ascii="Times New Roman" w:cs="Times New Roman" w:eastAsia="Times New Roman" w:hAnsi="Times New Roman"/>
          <w:sz w:val="18"/>
          <w:szCs w:val="18"/>
          <w:u w:val="single" w:color="auto"/>
          <w:color w:val="auto"/>
        </w:rPr>
        <w:t>23,541,017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34290</wp:posOffset>
            </wp:positionV>
            <wp:extent cx="5143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3">
            <w:col w:w="4700" w:space="360"/>
            <w:col w:w="1700" w:space="364"/>
            <w:col w:w="1895"/>
          </w:cols>
          <w:pgMar w:left="1440" w:top="122" w:right="1440" w:bottom="1440" w:gutter="0" w:footer="0" w:header="0"/>
          <w:type w:val="continuous"/>
        </w:sectPr>
      </w:pPr>
    </w:p>
    <w:p>
      <w:pPr>
        <w:spacing w:after="0" w:line="34" w:lineRule="exact"/>
        <w:rPr>
          <w:sz w:val="20"/>
          <w:szCs w:val="20"/>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RSU awards because they have no exercise price.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26,307,972 shares of our common stock subject to RSU awards and options to purchase 3,231,999 shares of common stock.</w:t>
      </w:r>
    </w:p>
    <w:p>
      <w:pPr>
        <w:spacing w:after="0" w:line="41" w:lineRule="exact"/>
        <w:rPr>
          <w:rFonts w:ascii="Times New Roman" w:cs="Times New Roman" w:eastAsia="Times New Roman" w:hAnsi="Times New Roman"/>
          <w:sz w:val="14"/>
          <w:szCs w:val="14"/>
          <w:color w:val="auto"/>
        </w:rPr>
      </w:pPr>
    </w:p>
    <w:p>
      <w:pPr>
        <w:ind w:left="640" w:right="339" w:hanging="348"/>
        <w:spacing w:after="0" w:line="241" w:lineRule="auto"/>
        <w:tabs>
          <w:tab w:leader="none" w:pos="6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Amended and Restated 2018 Equity Incentive Plan includes provisions providing for an annual increase in the number of securities available for future issuance on the first day of each Fiscal Year 2024, equal to the least of: (a) 4% of the outstanding shares of capital stock as of the last day of the immediately preceding Fiscal Year 2024; and (b) such lesser amount as the Board may determine.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00489A"/>
        </w:rPr>
        <w:t>AUDIT COMMITTEE REPORT</w:t>
      </w:r>
    </w:p>
    <w:p>
      <w:pPr>
        <w:spacing w:after="0" w:line="103" w:lineRule="exact"/>
        <w:rPr>
          <w:sz w:val="20"/>
          <w:szCs w:val="20"/>
          <w:color w:val="auto"/>
        </w:rPr>
      </w:pPr>
    </w:p>
    <w:p>
      <w:pPr>
        <w:ind w:left="300" w:right="299" w:firstLine="360"/>
        <w:spacing w:after="0" w:line="250" w:lineRule="auto"/>
        <w:rPr>
          <w:sz w:val="20"/>
          <w:szCs w:val="20"/>
          <w:color w:val="auto"/>
        </w:rPr>
      </w:pPr>
      <w:r>
        <w:rPr>
          <w:rFonts w:ascii="Times New Roman" w:cs="Times New Roman" w:eastAsia="Times New Roman" w:hAnsi="Times New Roman"/>
          <w:sz w:val="18"/>
          <w:szCs w:val="18"/>
          <w:color w:val="auto"/>
        </w:rPr>
        <w:t>Our Audit Committee consists of Messrs. Clanachan,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w:t>
      </w:r>
    </w:p>
    <w:p>
      <w:pPr>
        <w:spacing w:after="0" w:line="2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accounting, financial and other reporting and internal control practices and to oversee our independent registered accounting firm.</w:t>
      </w:r>
    </w:p>
    <w:p>
      <w:pPr>
        <w:spacing w:after="0" w:line="7" w:lineRule="exact"/>
        <w:rPr>
          <w:sz w:val="20"/>
          <w:szCs w:val="20"/>
          <w:color w:val="auto"/>
        </w:rPr>
      </w:pPr>
    </w:p>
    <w:p>
      <w:pPr>
        <w:ind w:left="300" w:right="319" w:firstLine="360"/>
        <w:spacing w:after="0" w:line="247" w:lineRule="auto"/>
        <w:rPr>
          <w:sz w:val="20"/>
          <w:szCs w:val="20"/>
          <w:color w:val="auto"/>
        </w:rPr>
      </w:pPr>
      <w:r>
        <w:rPr>
          <w:rFonts w:ascii="Times New Roman" w:cs="Times New Roman" w:eastAsia="Times New Roman" w:hAnsi="Times New Roman"/>
          <w:sz w:val="18"/>
          <w:szCs w:val="18"/>
          <w:color w:val="auto"/>
        </w:rPr>
        <w:t>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w:t>
      </w:r>
    </w:p>
    <w:p>
      <w:pPr>
        <w:spacing w:after="0" w:line="33" w:lineRule="exact"/>
        <w:rPr>
          <w:sz w:val="20"/>
          <w:szCs w:val="20"/>
          <w:color w:val="auto"/>
        </w:rPr>
      </w:pPr>
    </w:p>
    <w:p>
      <w:pPr>
        <w:ind w:left="300" w:right="379" w:firstLine="360"/>
        <w:spacing w:after="0" w:line="247" w:lineRule="auto"/>
        <w:rPr>
          <w:sz w:val="20"/>
          <w:szCs w:val="20"/>
          <w:color w:val="auto"/>
        </w:rPr>
      </w:pPr>
      <w:r>
        <w:rPr>
          <w:rFonts w:ascii="Times New Roman" w:cs="Times New Roman" w:eastAsia="Times New Roman" w:hAnsi="Times New Roman"/>
          <w:sz w:val="18"/>
          <w:szCs w:val="18"/>
          <w:color w:val="auto"/>
        </w:rPr>
        <w:t>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w:t>
      </w:r>
    </w:p>
    <w:p>
      <w:pPr>
        <w:spacing w:after="0" w:line="30" w:lineRule="exact"/>
        <w:rPr>
          <w:sz w:val="20"/>
          <w:szCs w:val="20"/>
          <w:color w:val="auto"/>
        </w:rPr>
      </w:pPr>
    </w:p>
    <w:p>
      <w:pPr>
        <w:ind w:left="300" w:right="379" w:firstLine="360"/>
        <w:spacing w:after="0" w:line="260" w:lineRule="auto"/>
        <w:rPr>
          <w:sz w:val="20"/>
          <w:szCs w:val="20"/>
          <w:color w:val="auto"/>
        </w:rPr>
      </w:pPr>
      <w:r>
        <w:rPr>
          <w:rFonts w:ascii="Times New Roman" w:cs="Times New Roman" w:eastAsia="Times New Roman" w:hAnsi="Times New Roman"/>
          <w:sz w:val="17"/>
          <w:szCs w:val="17"/>
          <w:color w:val="auto"/>
        </w:rPr>
        <w:t>The Audit Committee has reviewed and discussed the audited financial statements for the fiscal year ended May 31, 2024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w:t>
      </w:r>
    </w:p>
    <w:p>
      <w:pPr>
        <w:spacing w:after="0" w:line="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spacing w:after="0" w:line="43"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w:t>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the foregoing, the Audit Committee has recommended to the board of directors that the</w:t>
      </w:r>
    </w:p>
    <w:p>
      <w:pPr>
        <w:spacing w:after="0" w:line="27" w:lineRule="exact"/>
        <w:rPr>
          <w:sz w:val="20"/>
          <w:szCs w:val="20"/>
          <w:color w:val="auto"/>
        </w:rPr>
      </w:pPr>
    </w:p>
    <w:p>
      <w:pPr>
        <w:ind w:left="300" w:right="559"/>
        <w:spacing w:after="0" w:line="245" w:lineRule="auto"/>
        <w:rPr>
          <w:sz w:val="20"/>
          <w:szCs w:val="20"/>
          <w:color w:val="auto"/>
        </w:rPr>
      </w:pPr>
      <w:r>
        <w:rPr>
          <w:rFonts w:ascii="Times New Roman" w:cs="Times New Roman" w:eastAsia="Times New Roman" w:hAnsi="Times New Roman"/>
          <w:sz w:val="18"/>
          <w:szCs w:val="18"/>
          <w:color w:val="auto"/>
        </w:rPr>
        <w:t>audited financial statements be included in the Company’s Annual Report on Form 10-K for the fiscal year ended May 31, 2024.</w:t>
      </w:r>
    </w:p>
    <w:p>
      <w:pPr>
        <w:spacing w:after="0" w:line="30" w:lineRule="exact"/>
        <w:rPr>
          <w:sz w:val="20"/>
          <w:szCs w:val="20"/>
          <w:color w:val="auto"/>
        </w:rPr>
      </w:pPr>
    </w:p>
    <w:p>
      <w:pPr>
        <w:ind w:left="300" w:right="8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p>
    <w:p>
      <w:pPr>
        <w:spacing w:after="0" w:line="10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 xml:space="preserve">John M. Herhalt, </w:t>
      </w:r>
      <w:r>
        <w:rPr>
          <w:rFonts w:ascii="Times New Roman" w:cs="Times New Roman" w:eastAsia="Times New Roman" w:hAnsi="Times New Roman"/>
          <w:sz w:val="18"/>
          <w:szCs w:val="18"/>
          <w:i w:val="1"/>
          <w:iCs w:val="1"/>
          <w:color w:val="auto"/>
        </w:rPr>
        <w:t>Chair</w:t>
      </w:r>
    </w:p>
    <w:p>
      <w:pPr>
        <w:spacing w:after="0" w:line="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i w:val="1"/>
          <w:iCs w:val="1"/>
          <w:color w:val="auto"/>
        </w:rPr>
        <w:t>David Clanachan,</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David Hopkinson and</w:t>
      </w:r>
    </w:p>
    <w:p>
      <w:pPr>
        <w:spacing w:after="0" w:line="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i w:val="1"/>
          <w:iCs w:val="1"/>
          <w:color w:val="auto"/>
        </w:rPr>
        <w:t>Tom Looney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0" w:name="page61"/>
    <w:bookmarkEnd w:id="60"/>
    <w:p>
      <w:pPr>
        <w:ind w:left="3900"/>
        <w:spacing w:after="0"/>
        <w:rPr>
          <w:sz w:val="20"/>
          <w:szCs w:val="20"/>
          <w:color w:val="auto"/>
        </w:rPr>
      </w:pPr>
      <w:r>
        <w:rPr>
          <w:rFonts w:ascii="Arial" w:cs="Arial" w:eastAsia="Arial" w:hAnsi="Arial"/>
          <w:sz w:val="18"/>
          <w:szCs w:val="18"/>
          <w:b w:val="1"/>
          <w:bCs w:val="1"/>
          <w:color w:val="00489A"/>
        </w:rPr>
        <w:t>PROPOSAL 2</w:t>
      </w:r>
    </w:p>
    <w:p>
      <w:pPr>
        <w:spacing w:after="0" w:line="8"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00489A"/>
        </w:rPr>
        <w:t>RATIFICATION OF APPOINTMENT OF INDEPENDENT</w:t>
      </w:r>
    </w:p>
    <w:p>
      <w:pPr>
        <w:ind w:left="2680"/>
        <w:spacing w:after="0"/>
        <w:rPr>
          <w:sz w:val="20"/>
          <w:szCs w:val="20"/>
          <w:color w:val="auto"/>
        </w:rPr>
      </w:pPr>
      <w:r>
        <w:rPr>
          <w:rFonts w:ascii="Arial" w:cs="Arial" w:eastAsia="Arial" w:hAnsi="Arial"/>
          <w:sz w:val="18"/>
          <w:szCs w:val="18"/>
          <w:b w:val="1"/>
          <w:bCs w:val="1"/>
          <w:color w:val="00489A"/>
        </w:rPr>
        <w:t>REGISTERED PUBLIC ACCOUNTING FIRM</w:t>
      </w:r>
    </w:p>
    <w:p>
      <w:pPr>
        <w:spacing w:after="0" w:line="86"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has selected PricewaterhouseCoopers LLP as the Company’s independent registered public accounting firm for the fiscal year ending May 31, 2025 and has further directed that management submit the selection of its independent registered public accounting firm for ratification by the stockholders at the Annual Meeting. Representatives of PricewaterhouseCoopers LLP are expected to attend the Annual Meeting virtually. They will have an opportunity to make a statement if they so desire and will be available to respond to appropriate questions.</w:t>
      </w:r>
    </w:p>
    <w:p>
      <w:pPr>
        <w:spacing w:after="0" w:line="79"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w:t>
      </w:r>
    </w:p>
    <w:p>
      <w:pPr>
        <w:spacing w:after="0" w:line="84" w:lineRule="exact"/>
        <w:rPr>
          <w:sz w:val="20"/>
          <w:szCs w:val="20"/>
          <w:color w:val="auto"/>
        </w:rPr>
      </w:pPr>
    </w:p>
    <w:p>
      <w:pPr>
        <w:jc w:val="both"/>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The affirmative vote of the holders of a majority of the shares present or represented by proxy and entitled to vote on the matter at the Annual Meeting will be required to ratify the selection of PricewaterhouseCoopers LLP.</w:t>
      </w:r>
    </w:p>
    <w:p>
      <w:pPr>
        <w:spacing w:after="0" w:line="99" w:lineRule="exact"/>
        <w:rPr>
          <w:sz w:val="20"/>
          <w:szCs w:val="20"/>
          <w:color w:val="auto"/>
        </w:rPr>
      </w:pPr>
    </w:p>
    <w:p>
      <w:pPr>
        <w:jc w:val="center"/>
        <w:ind w:left="292" w:right="311"/>
        <w:spacing w:after="0" w:line="257" w:lineRule="auto"/>
        <w:rPr>
          <w:sz w:val="20"/>
          <w:szCs w:val="20"/>
          <w:color w:val="auto"/>
        </w:rPr>
      </w:pPr>
      <w:r>
        <w:rPr>
          <w:rFonts w:ascii="Arial" w:cs="Arial" w:eastAsia="Arial" w:hAnsi="Arial"/>
          <w:sz w:val="18"/>
          <w:szCs w:val="18"/>
          <w:b w:val="1"/>
          <w:bCs w:val="1"/>
          <w:color w:val="00489A"/>
        </w:rPr>
        <w:t>THE BOARD UNANIMOUSLY RECOMMENDS THAT YOU VOTE “FOR” THE RATIFICATION OF THE APPOINTMENT OF PRICEWATERHOUSECOOPERS LLP AS OUR INDEPENDENT REGISTERED PUBLIC ACCOUNTING FIRM FOR THE NEXT FISCAL YEAR.</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Principal Accountant Fees</w:t>
      </w:r>
    </w:p>
    <w:p>
      <w:pPr>
        <w:spacing w:after="0" w:line="104" w:lineRule="exact"/>
        <w:rPr>
          <w:sz w:val="20"/>
          <w:szCs w:val="20"/>
          <w:color w:val="auto"/>
        </w:rPr>
      </w:pPr>
    </w:p>
    <w:p>
      <w:pPr>
        <w:ind w:left="300" w:right="18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aggregate fees billed for professional services rendered by PricewaterhouseCoopers LLP for the fiscal year ended May 31, 2024.</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40" w:type="dxa"/>
            <w:vAlign w:val="bottom"/>
          </w:tcPr>
          <w:p>
            <w:pPr>
              <w:spacing w:after="0"/>
              <w:rPr>
                <w:sz w:val="23"/>
                <w:szCs w:val="23"/>
                <w:color w:val="auto"/>
              </w:rPr>
            </w:pPr>
          </w:p>
        </w:tc>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Type of Fees</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3"/>
                <w:szCs w:val="23"/>
                <w:color w:val="auto"/>
              </w:rPr>
            </w:pPr>
          </w:p>
        </w:tc>
        <w:tc>
          <w:tcPr>
            <w:tcW w:w="8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r>
      <w:tr>
        <w:trPr>
          <w:trHeight w:val="277"/>
        </w:trPr>
        <w:tc>
          <w:tcPr>
            <w:tcW w:w="40" w:type="dxa"/>
            <w:vAlign w:val="bottom"/>
            <w:shd w:val="clear" w:color="auto" w:fill="C7CDE8"/>
          </w:tcPr>
          <w:p>
            <w:pPr>
              <w:spacing w:after="0"/>
              <w:rPr>
                <w:sz w:val="24"/>
                <w:szCs w:val="24"/>
                <w:color w:val="auto"/>
              </w:rPr>
            </w:pPr>
          </w:p>
        </w:tc>
        <w:tc>
          <w:tcPr>
            <w:tcW w:w="6020" w:type="dxa"/>
            <w:vAlign w:val="bottom"/>
            <w:shd w:val="clear" w:color="auto" w:fill="C7CDE8"/>
          </w:tcPr>
          <w:p>
            <w:pPr>
              <w:ind w:left="20"/>
              <w:spacing w:after="0" w:line="277"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(2)</w:t>
            </w:r>
          </w:p>
        </w:tc>
        <w:tc>
          <w:tcPr>
            <w:tcW w:w="10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$ 1,125,111</w:t>
            </w:r>
          </w:p>
        </w:tc>
        <w:tc>
          <w:tcPr>
            <w:tcW w:w="160" w:type="dxa"/>
            <w:vAlign w:val="bottom"/>
            <w:shd w:val="clear" w:color="auto" w:fill="C7CDE8"/>
          </w:tcPr>
          <w:p>
            <w:pPr>
              <w:spacing w:after="0"/>
              <w:rPr>
                <w:sz w:val="24"/>
                <w:szCs w:val="24"/>
                <w:color w:val="auto"/>
              </w:rPr>
            </w:pPr>
          </w:p>
        </w:tc>
        <w:tc>
          <w:tcPr>
            <w:tcW w:w="20" w:type="dxa"/>
            <w:vAlign w:val="bottom"/>
            <w:shd w:val="clear" w:color="auto" w:fill="C7CDE8"/>
          </w:tcPr>
          <w:p>
            <w:pPr>
              <w:spacing w:after="0"/>
              <w:rPr>
                <w:sz w:val="24"/>
                <w:szCs w:val="24"/>
                <w:color w:val="auto"/>
              </w:rPr>
            </w:pPr>
          </w:p>
        </w:tc>
        <w:tc>
          <w:tcPr>
            <w:tcW w:w="100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$1,477,595</w:t>
            </w:r>
          </w:p>
        </w:tc>
        <w:tc>
          <w:tcPr>
            <w:tcW w:w="100" w:type="dxa"/>
            <w:vAlign w:val="bottom"/>
            <w:shd w:val="clear" w:color="auto" w:fill="C7CDE8"/>
          </w:tcPr>
          <w:p>
            <w:pPr>
              <w:spacing w:after="0"/>
              <w:rPr>
                <w:sz w:val="24"/>
                <w:szCs w:val="24"/>
                <w:color w:val="auto"/>
              </w:rPr>
            </w:pPr>
          </w:p>
        </w:tc>
        <w:tc>
          <w:tcPr>
            <w:tcW w:w="60" w:type="dxa"/>
            <w:vAlign w:val="bottom"/>
            <w:shd w:val="clear" w:color="auto" w:fill="C7CDE8"/>
          </w:tcPr>
          <w:p>
            <w:pPr>
              <w:spacing w:after="0"/>
              <w:rPr>
                <w:sz w:val="24"/>
                <w:szCs w:val="24"/>
                <w:color w:val="auto"/>
              </w:rPr>
            </w:pPr>
          </w:p>
        </w:tc>
      </w:tr>
      <w:tr>
        <w:trPr>
          <w:trHeight w:val="283"/>
        </w:trPr>
        <w:tc>
          <w:tcPr>
            <w:tcW w:w="40" w:type="dxa"/>
            <w:vAlign w:val="bottom"/>
          </w:tcPr>
          <w:p>
            <w:pPr>
              <w:spacing w:after="0"/>
              <w:rPr>
                <w:sz w:val="24"/>
                <w:szCs w:val="24"/>
                <w:color w:val="auto"/>
              </w:rPr>
            </w:pPr>
          </w:p>
        </w:tc>
        <w:tc>
          <w:tcPr>
            <w:tcW w:w="6020" w:type="dxa"/>
            <w:vAlign w:val="bottom"/>
          </w:tcPr>
          <w:p>
            <w:pPr>
              <w:ind w:left="20"/>
              <w:spacing w:after="0" w:line="284" w:lineRule="exact"/>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9"/>
                <w:szCs w:val="29"/>
                <w:color w:val="auto"/>
                <w:vertAlign w:val="superscript"/>
              </w:rPr>
              <w:t>(3)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127,364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83,518</w:t>
            </w:r>
          </w:p>
        </w:tc>
        <w:tc>
          <w:tcPr>
            <w:tcW w:w="60" w:type="dxa"/>
            <w:vAlign w:val="bottom"/>
          </w:tcPr>
          <w:p>
            <w:pPr>
              <w:spacing w:after="0"/>
              <w:rPr>
                <w:sz w:val="24"/>
                <w:szCs w:val="24"/>
                <w:color w:val="auto"/>
              </w:rPr>
            </w:pPr>
          </w:p>
        </w:tc>
      </w:tr>
      <w:tr>
        <w:trPr>
          <w:trHeight w:val="243"/>
        </w:trPr>
        <w:tc>
          <w:tcPr>
            <w:tcW w:w="40" w:type="dxa"/>
            <w:vAlign w:val="bottom"/>
            <w:shd w:val="clear" w:color="auto" w:fill="C7CDE8"/>
          </w:tcPr>
          <w:p>
            <w:pPr>
              <w:spacing w:after="0"/>
              <w:rPr>
                <w:sz w:val="21"/>
                <w:szCs w:val="21"/>
                <w:color w:val="auto"/>
              </w:rPr>
            </w:pPr>
          </w:p>
        </w:tc>
        <w:tc>
          <w:tcPr>
            <w:tcW w:w="6020" w:type="dxa"/>
            <w:vAlign w:val="bottom"/>
            <w:shd w:val="clear" w:color="auto" w:fill="C7CDE8"/>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80" w:type="dxa"/>
            <w:vAlign w:val="bottom"/>
            <w:shd w:val="clear" w:color="auto" w:fill="C7CDE8"/>
          </w:tcPr>
          <w:p>
            <w:pPr>
              <w:spacing w:after="0"/>
              <w:rPr>
                <w:sz w:val="21"/>
                <w:szCs w:val="21"/>
                <w:color w:val="auto"/>
              </w:rPr>
            </w:pPr>
          </w:p>
        </w:tc>
        <w:tc>
          <w:tcPr>
            <w:tcW w:w="1020" w:type="dxa"/>
            <w:vAlign w:val="bottom"/>
            <w:gridSpan w:val="3"/>
            <w:shd w:val="clear" w:color="auto" w:fill="C7CDE8"/>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7CDE8"/>
          </w:tcPr>
          <w:p>
            <w:pPr>
              <w:spacing w:after="0"/>
              <w:rPr>
                <w:sz w:val="21"/>
                <w:szCs w:val="21"/>
                <w:color w:val="auto"/>
              </w:rPr>
            </w:pPr>
          </w:p>
        </w:tc>
        <w:tc>
          <w:tcPr>
            <w:tcW w:w="920" w:type="dxa"/>
            <w:vAlign w:val="bottom"/>
            <w:gridSpan w:val="2"/>
            <w:shd w:val="clear" w:color="auto" w:fill="C7CD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7CDE8"/>
          </w:tcPr>
          <w:p>
            <w:pPr>
              <w:spacing w:after="0"/>
              <w:rPr>
                <w:sz w:val="21"/>
                <w:szCs w:val="21"/>
                <w:color w:val="auto"/>
              </w:rPr>
            </w:pPr>
          </w:p>
        </w:tc>
      </w:tr>
      <w:tr>
        <w:trPr>
          <w:trHeight w:val="234"/>
        </w:trPr>
        <w:tc>
          <w:tcPr>
            <w:tcW w:w="40" w:type="dxa"/>
            <w:vAlign w:val="bottom"/>
          </w:tcPr>
          <w:p>
            <w:pPr>
              <w:spacing w:after="0"/>
              <w:rPr>
                <w:sz w:val="20"/>
                <w:szCs w:val="20"/>
                <w:color w:val="auto"/>
              </w:rPr>
            </w:pPr>
          </w:p>
        </w:tc>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112,380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148,000</w:t>
            </w:r>
          </w:p>
        </w:tc>
        <w:tc>
          <w:tcPr>
            <w:tcW w:w="60" w:type="dxa"/>
            <w:vAlign w:val="bottom"/>
          </w:tcPr>
          <w:p>
            <w:pPr>
              <w:spacing w:after="0"/>
              <w:rPr>
                <w:sz w:val="20"/>
                <w:szCs w:val="20"/>
                <w:color w:val="auto"/>
              </w:rPr>
            </w:pPr>
          </w:p>
        </w:tc>
      </w:tr>
      <w:tr>
        <w:trPr>
          <w:trHeight w:val="22"/>
        </w:trPr>
        <w:tc>
          <w:tcPr>
            <w:tcW w:w="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3"/>
        </w:trPr>
        <w:tc>
          <w:tcPr>
            <w:tcW w:w="40" w:type="dxa"/>
            <w:vAlign w:val="bottom"/>
            <w:tcBorders>
              <w:top w:val="single" w:sz="8" w:color="C7CDE8"/>
              <w:bottom w:val="single" w:sz="8" w:color="C7CDE8"/>
            </w:tcBorders>
            <w:shd w:val="clear" w:color="auto" w:fill="C7CDE8"/>
          </w:tcPr>
          <w:p>
            <w:pPr>
              <w:spacing w:after="0"/>
              <w:rPr>
                <w:sz w:val="21"/>
                <w:szCs w:val="21"/>
                <w:color w:val="auto"/>
              </w:rPr>
            </w:pPr>
          </w:p>
        </w:tc>
        <w:tc>
          <w:tcPr>
            <w:tcW w:w="6020" w:type="dxa"/>
            <w:vAlign w:val="bottom"/>
            <w:tcBorders>
              <w:top w:val="single" w:sz="8" w:color="C7CDE8"/>
              <w:bottom w:val="single" w:sz="8" w:color="C7CDE8"/>
            </w:tcBorders>
            <w:shd w:val="clear" w:color="auto" w:fill="C7CDE8"/>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7CDE8"/>
              <w:bottom w:val="single" w:sz="8" w:color="C7CDE8"/>
            </w:tcBorders>
            <w:shd w:val="clear" w:color="auto" w:fill="C7CDE8"/>
          </w:tcPr>
          <w:p>
            <w:pPr>
              <w:spacing w:after="0"/>
              <w:rPr>
                <w:sz w:val="21"/>
                <w:szCs w:val="21"/>
                <w:color w:val="auto"/>
              </w:rPr>
            </w:pPr>
          </w:p>
        </w:tc>
        <w:tc>
          <w:tcPr>
            <w:tcW w:w="840" w:type="dxa"/>
            <w:vAlign w:val="bottom"/>
            <w:tcBorders>
              <w:top w:val="single" w:sz="8" w:color="auto"/>
              <w:bottom w:val="single" w:sz="8" w:color="auto"/>
            </w:tcBorders>
            <w:shd w:val="clear" w:color="auto" w:fill="C7CDE8"/>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$1,364,855</w:t>
            </w:r>
          </w:p>
        </w:tc>
        <w:tc>
          <w:tcPr>
            <w:tcW w:w="160" w:type="dxa"/>
            <w:vAlign w:val="bottom"/>
            <w:tcBorders>
              <w:top w:val="single" w:sz="8" w:color="C7CDE8"/>
              <w:bottom w:val="single" w:sz="8" w:color="auto"/>
            </w:tcBorders>
            <w:shd w:val="clear" w:color="auto" w:fill="C7CDE8"/>
          </w:tcPr>
          <w:p>
            <w:pPr>
              <w:spacing w:after="0"/>
              <w:rPr>
                <w:sz w:val="21"/>
                <w:szCs w:val="21"/>
                <w:color w:val="auto"/>
              </w:rPr>
            </w:pPr>
          </w:p>
        </w:tc>
        <w:tc>
          <w:tcPr>
            <w:tcW w:w="20" w:type="dxa"/>
            <w:vAlign w:val="bottom"/>
            <w:tcBorders>
              <w:top w:val="single" w:sz="8" w:color="C7CDE8"/>
              <w:bottom w:val="single" w:sz="8" w:color="C7CDE8"/>
            </w:tcBorders>
            <w:shd w:val="clear" w:color="auto" w:fill="C7CDE8"/>
          </w:tcPr>
          <w:p>
            <w:pPr>
              <w:spacing w:after="0"/>
              <w:rPr>
                <w:sz w:val="21"/>
                <w:szCs w:val="21"/>
                <w:color w:val="auto"/>
              </w:rPr>
            </w:pPr>
          </w:p>
        </w:tc>
        <w:tc>
          <w:tcPr>
            <w:tcW w:w="180" w:type="dxa"/>
            <w:vAlign w:val="bottom"/>
            <w:tcBorders>
              <w:top w:val="single" w:sz="8" w:color="C7CDE8"/>
              <w:bottom w:val="single" w:sz="8" w:color="C7CDE8"/>
            </w:tcBorders>
            <w:shd w:val="clear" w:color="auto" w:fill="C7CDE8"/>
          </w:tcPr>
          <w:p>
            <w:pPr>
              <w:spacing w:after="0"/>
              <w:rPr>
                <w:sz w:val="21"/>
                <w:szCs w:val="21"/>
                <w:color w:val="auto"/>
              </w:rPr>
            </w:pPr>
          </w:p>
        </w:tc>
        <w:tc>
          <w:tcPr>
            <w:tcW w:w="820" w:type="dxa"/>
            <w:vAlign w:val="bottom"/>
            <w:tcBorders>
              <w:top w:val="single" w:sz="8" w:color="auto"/>
              <w:bottom w:val="single" w:sz="8" w:color="auto"/>
            </w:tcBorders>
            <w:shd w:val="clear" w:color="auto" w:fill="C7CDE8"/>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1,709,113</w:t>
            </w:r>
          </w:p>
        </w:tc>
        <w:tc>
          <w:tcPr>
            <w:tcW w:w="100" w:type="dxa"/>
            <w:vAlign w:val="bottom"/>
            <w:tcBorders>
              <w:top w:val="single" w:sz="8" w:color="C7CDE8"/>
              <w:bottom w:val="single" w:sz="8" w:color="C7CDE8"/>
            </w:tcBorders>
            <w:shd w:val="clear" w:color="auto" w:fill="C7CDE8"/>
          </w:tcPr>
          <w:p>
            <w:pPr>
              <w:spacing w:after="0"/>
              <w:rPr>
                <w:sz w:val="21"/>
                <w:szCs w:val="21"/>
                <w:color w:val="auto"/>
              </w:rPr>
            </w:pPr>
          </w:p>
        </w:tc>
        <w:tc>
          <w:tcPr>
            <w:tcW w:w="60" w:type="dxa"/>
            <w:vAlign w:val="bottom"/>
            <w:tcBorders>
              <w:top w:val="single" w:sz="8" w:color="C7CDE8"/>
              <w:bottom w:val="single" w:sz="8" w:color="C7CDE8"/>
            </w:tcBorders>
            <w:shd w:val="clear" w:color="auto" w:fill="C7CDE8"/>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111760</wp:posOffset>
            </wp:positionV>
            <wp:extent cx="822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are in USD.</w:t>
      </w:r>
    </w:p>
    <w:p>
      <w:pPr>
        <w:spacing w:after="0" w:line="41" w:lineRule="exact"/>
        <w:rPr>
          <w:rFonts w:ascii="Times New Roman" w:cs="Times New Roman" w:eastAsia="Times New Roman" w:hAnsi="Times New Roman"/>
          <w:sz w:val="14"/>
          <w:szCs w:val="14"/>
          <w:color w:val="auto"/>
        </w:rPr>
      </w:pPr>
    </w:p>
    <w:p>
      <w:pPr>
        <w:ind w:left="640" w:right="519" w:hanging="348"/>
        <w:spacing w:after="0" w:line="236"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w:t>
      </w:r>
    </w:p>
    <w:p>
      <w:pPr>
        <w:spacing w:after="0" w:line="14" w:lineRule="exact"/>
        <w:rPr>
          <w:rFonts w:ascii="Times New Roman" w:cs="Times New Roman" w:eastAsia="Times New Roman" w:hAnsi="Times New Roman"/>
          <w:sz w:val="14"/>
          <w:szCs w:val="14"/>
          <w:color w:val="auto"/>
        </w:rPr>
      </w:pPr>
    </w:p>
    <w:p>
      <w:pPr>
        <w:ind w:left="640" w:right="51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are fees for services related to accounting consultation, compliance with regulatory requirements, and additional audit and audit-related fees for statutory audits and statutory reviews of non-consolidated controlled related entities.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Audit Committee’s Pre-Approval Policy</w:t>
      </w:r>
    </w:p>
    <w:p>
      <w:pPr>
        <w:spacing w:after="0" w:line="104"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8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has determined that the rendering of services other than audit services by PricewaterhouseCoopers LLP is compatible with maintaining the principal accountant’s independence.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00489A"/>
        </w:rPr>
        <w:t>PROPOSAL 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AUTHORIZED SHARES PROPOSAL</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General</w:t>
      </w:r>
    </w:p>
    <w:p>
      <w:pPr>
        <w:spacing w:after="0" w:line="100" w:lineRule="exact"/>
        <w:rPr>
          <w:sz w:val="20"/>
          <w:szCs w:val="20"/>
          <w:color w:val="auto"/>
        </w:rPr>
      </w:pPr>
    </w:p>
    <w:p>
      <w:pPr>
        <w:ind w:left="300" w:right="459" w:firstLine="360"/>
        <w:spacing w:after="0" w:line="259" w:lineRule="auto"/>
        <w:rPr>
          <w:sz w:val="20"/>
          <w:szCs w:val="20"/>
          <w:color w:val="auto"/>
        </w:rPr>
      </w:pPr>
      <w:r>
        <w:rPr>
          <w:rFonts w:ascii="Times New Roman" w:cs="Times New Roman" w:eastAsia="Times New Roman" w:hAnsi="Times New Roman"/>
          <w:sz w:val="18"/>
          <w:szCs w:val="18"/>
          <w:color w:val="auto"/>
        </w:rPr>
        <w:t>The Board has unanimously approved an amendment (the “</w:t>
      </w:r>
      <w:r>
        <w:rPr>
          <w:rFonts w:ascii="Times New Roman" w:cs="Times New Roman" w:eastAsia="Times New Roman" w:hAnsi="Times New Roman"/>
          <w:sz w:val="18"/>
          <w:szCs w:val="18"/>
          <w:b w:val="1"/>
          <w:bCs w:val="1"/>
          <w:i w:val="1"/>
          <w:iCs w:val="1"/>
          <w:color w:val="auto"/>
        </w:rPr>
        <w:t>Authorized Shares Proposal</w:t>
      </w:r>
      <w:r>
        <w:rPr>
          <w:rFonts w:ascii="Times New Roman" w:cs="Times New Roman" w:eastAsia="Times New Roman" w:hAnsi="Times New Roman"/>
          <w:sz w:val="18"/>
          <w:szCs w:val="18"/>
          <w:color w:val="auto"/>
        </w:rPr>
        <w:t>”) to the Charter to increase the number of authorized shares of capital stock from 1,208,000,000 to 1,426,000000, consisting of 1,416,000,000 shares of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10,000,000 shares of preferred stock, par value $0.0001 per share. The Authorized Shares Proposal only increases the number of authorized shares of Common Stock and will not change the number of authorized shares of preferred stock.</w:t>
      </w:r>
    </w:p>
    <w:p>
      <w:pPr>
        <w:spacing w:after="0" w:line="75"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additional shares of Common Stock authorized for issuance by the Authorized Shares Proposal would be a part of the existing class of Common Stock and, if and when issued, would have the same rights and privileges as the Common Stock presently issued and outstanding. The Company’s stockholders do not have preemptive rights with respect to its Common Stock and accordingly, should the Board elect to issue additional shares of common stock, existing stockholders would not have any preferential rights to purchase the shares.</w:t>
      </w:r>
    </w:p>
    <w:p>
      <w:pPr>
        <w:spacing w:after="0" w:line="75"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Provided the stockholders approve the Authorized Shares Proposal, the increased number of shares would be authorized for issuance but would remain unissued until such time as the Board approves a specific issuance of such shares. Other than future issuances under the Company’s equity compensation plans, the Company currently has no plans or arrangements to issue the additional authorized shares of Common Stock that will result in the event that the Company’s stockholders approve, and the Company implements, the Authorized Shares Proposal.</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description of the Authorized Shares Proposal amendment to the Charter is qualified in its entirety by reference to the text of the proposed revisions, which are attached as Appendix A. Additions are indicated by underlining, and deletions are indicated by strike-throughs. However, the text of the Authorized Shares Proposal is subject to revision to include such changes as may be required by the Secretary of State of the State of Delaware and as deemed necessary and advisable to effect the Authorized Shares Proposal. The Board reserves its right to elect not to proceed with and abandon the Authorized Shares Proposal if it determines, in its sole discretion at any time, that this proposal is no longer in the best interests of our stockholders.</w:t>
      </w:r>
    </w:p>
    <w:p>
      <w:pPr>
        <w:spacing w:after="0" w:line="81"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If we fail to obtain stockholder approval of this proposal at the Annual Meeting, we intend to continue to seek to obtain stockholder approval at each subsequent annual meeting of stockholders and/or special meeting of stockholders until such approval has been obtained, and we will incur the costs associated therewith.</w:t>
      </w:r>
    </w:p>
    <w:p>
      <w:pPr>
        <w:spacing w:after="0" w:line="68" w:lineRule="exact"/>
        <w:rPr>
          <w:sz w:val="20"/>
          <w:szCs w:val="20"/>
          <w:color w:val="auto"/>
        </w:rPr>
      </w:pPr>
    </w:p>
    <w:p>
      <w:pPr>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The Authorized Shares Proposal amendment to the Charter would become effective upon the filing of a Certificate of Amendment with the Secretary of State of the State of Delaware, which we would file promptly following the Annual Meeting if our stockholders approve the Authorized Shares Proposal.</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Background</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Charter currently authorizes the issuance of up to 1,208,000,000 shares of capital stock, of which</w:t>
      </w:r>
    </w:p>
    <w:p>
      <w:pPr>
        <w:spacing w:after="0" w:line="27" w:lineRule="exact"/>
        <w:rPr>
          <w:sz w:val="20"/>
          <w:szCs w:val="20"/>
          <w:color w:val="auto"/>
        </w:rPr>
      </w:pPr>
    </w:p>
    <w:p>
      <w:pPr>
        <w:ind w:left="300" w:right="539" w:hanging="8"/>
        <w:spacing w:after="0" w:line="260" w:lineRule="auto"/>
        <w:tabs>
          <w:tab w:leader="none" w:pos="5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1,198,000,000 shares were classified as Common Stock and (b) 10,000,000 shares were classified as preferred stock.</w:t>
      </w:r>
    </w:p>
    <w:p>
      <w:pPr>
        <w:spacing w:after="0" w:line="73"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As of the close of business on September 14, 2024, there were approximately 875,444,828 shares of Common Stock issued and outstanding, no preferred stock issued and outstanding, and 105,606,883 shares of Common Stock reserved for issuance pursuant to outstanding option awards and other equity compensation awards, meaning that we presently have 226,948,289 authorized shares available for issuance.</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Purpose of the Proposal</w:t>
      </w:r>
    </w:p>
    <w:p>
      <w:pPr>
        <w:spacing w:after="0" w:line="10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Board believes it is in the best interest of the Company and its stockholders to have a greater number of authorized shares of Common Stock to provide the Company with flexibility to issue shares of common stock for any proper corporate purpose, which could include strategic investments, strategic partnership arrangements, awards or grants under employee equity incentive plans, equity based financing to support the execution of the Company’s business strategy, or other general purposes.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2" w:name="page63"/>
    <w:bookmarkEnd w:id="62"/>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availability of additional authorized shares of Common Stock would enhance the business and financial flexibility and allow the Company to execute any of these transactions in the future without the possible delays and significant expense of obtaining additional shareholder approval, except as may be required in particular cases by the Charter, applicable law or the rules of any stock exchange or other system on which the Company’s securities may then be listed.</w:t>
      </w:r>
    </w:p>
    <w:p>
      <w:pPr>
        <w:spacing w:after="0" w:line="75"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The Board believes that additional authorized shares of capital stock will enable the Company to take timely advantage of market conditions and favorable financing and acquisition opportunities that become available to the Company. We anticipate that having additional flexibility will allow us to pursue our strategic objectives, in addition to allowing us to provide equity incentives to our employees in order to attract, retain and motivate key talent.</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Rights of Additional Authorized Shares</w:t>
      </w:r>
    </w:p>
    <w:p>
      <w:pPr>
        <w:spacing w:after="0" w:line="10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Any newly authorized shares of Common Stock will be identical to the shares of Common Stock now authorized and outstanding. The amendment will not affect the rights of current holders of Common Stock, none of whom have preemptive or similar rights to acquire the newly authorized shares.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Effects of the Proposal</w:t>
      </w:r>
    </w:p>
    <w:p>
      <w:pPr>
        <w:spacing w:after="0" w:line="104"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Adoption of the Authorized Shares Proposal will have no immediate dilutive effect on the proportionate voting power or other rights of the Company’s existing stockholders. The Board has no current plan, arrangement, commitment or understanding to issue shares from the additional authorized shares provided by the Authorized Shares Proposal. However, any future issuance of additional authorized shares of our Common Stock, at the future direction of the Board, generally without the requirement of stockholder approval (unless specifically required by applicable law or Nasdaq regulation) may, among other things, dilute the earnings per share of Common Stock and the equity and voting rights of those holding Common Stock at the time such additional shares are issued.</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Potential Anti-Takeover Effects</w:t>
      </w:r>
    </w:p>
    <w:p>
      <w:pPr>
        <w:spacing w:after="0" w:line="10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Authorized Shares Proposal could adversely affect the ability of third parties to effect a takeover or a change in control by, for example, permitting issuances that would dilute the ownership of a person seeking to effect a change in the composition of our Board or contemplating a tender offer or other transaction that the Board determines is not in our best interests or in the best interests of our stockholders. The Board’s ability to issue substantial amounts of Common Stock without the need for stockholder approval, except as may be required by law or regulation, upon such terms and conditions as our Board may determine from time to time in the exercise of its business judgment, may, among other things, be used to create voting impediments with respect to a change in control or to dilute the stock ownership of stockholders seeking to obtain control of the Company. The issuance of Common Stock, while providing desirable flexibility in connection with potential financings and other corporate transactions, may have the effect of discouraging, delaying or preventing a change in control of the Company. Our Board, however, does not intend or view the Authorized Shares Proposal as an anti-takeover measure, nor does it contemplate its use in this manner at any time in the foreseeable future.</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Appraisal Rights</w:t>
      </w:r>
    </w:p>
    <w:p>
      <w:pPr>
        <w:spacing w:after="0" w:line="104"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8"/>
          <w:szCs w:val="18"/>
          <w:color w:val="auto"/>
        </w:rPr>
        <w:t>Pursuant to the DGCL, stockholders are not entitled to appraisal rights with respect to the Authorized Shares Proposal.</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Required Vote</w:t>
      </w:r>
    </w:p>
    <w:p>
      <w:pPr>
        <w:spacing w:after="0" w:line="104"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Approval of the Authorized Shares Proposal amendment to the Charter requires the affirmative “FOR” vote of at least a majority of the voting power shares of common stock casting votes in person (online during the virtual meeting) or by proxy at the Annual Meeting by the holders entitled to vote thereon. This means that the Authorized Shares Proposal will be approved if the votes cast “FOR” the proposal exceed the votes cast “AGAINST” the proposal. You may vote “FOR,” “AGAINST,” or “ABSTAIN” on this proposal. Abstentions are not counted as votes cast and will have no effect on the vote on this proposal. We do not expect there to be any broker non-votes with respect to this proposal, however, if there are any broker non-votes, they will not be counted as votes cast, and they will have no effect on the vote on this proposal.</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3" w:name="page64"/>
    <w:bookmarkEnd w:id="63"/>
    <w:p>
      <w:pPr>
        <w:jc w:val="center"/>
        <w:ind w:right="60"/>
        <w:spacing w:after="0"/>
        <w:rPr>
          <w:sz w:val="20"/>
          <w:szCs w:val="20"/>
          <w:color w:val="auto"/>
        </w:rPr>
      </w:pPr>
      <w:r>
        <w:rPr>
          <w:rFonts w:ascii="Arial" w:cs="Arial" w:eastAsia="Arial" w:hAnsi="Arial"/>
          <w:sz w:val="18"/>
          <w:szCs w:val="18"/>
          <w:b w:val="1"/>
          <w:bCs w:val="1"/>
          <w:color w:val="00489A"/>
        </w:rPr>
        <w:t>PROPOSAL 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00489A"/>
        </w:rPr>
        <w:t>GOVERNANCE PROPOSAL</w:t>
      </w:r>
    </w:p>
    <w:p>
      <w:pPr>
        <w:spacing w:after="0" w:line="86" w:lineRule="exact"/>
        <w:rPr>
          <w:sz w:val="20"/>
          <w:szCs w:val="20"/>
          <w:color w:val="auto"/>
        </w:rPr>
      </w:pPr>
    </w:p>
    <w:p>
      <w:pPr>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w:t>
      </w:r>
    </w:p>
    <w:p>
      <w:pPr>
        <w:spacing w:after="0" w:line="75" w:lineRule="exact"/>
        <w:rPr>
          <w:sz w:val="20"/>
          <w:szCs w:val="20"/>
          <w:color w:val="auto"/>
        </w:rPr>
      </w:pPr>
    </w:p>
    <w:p>
      <w:pPr>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description of the Governance Proposal amendment to the Charter is qualified in its entirety by reference to the text of the proposed revisions, which are set forth Appendix A. Additions are indicated by underlining, and deletions are indicated by strike-throughs.</w:t>
      </w:r>
    </w:p>
    <w:p>
      <w:pPr>
        <w:spacing w:after="0" w:line="68" w:lineRule="exact"/>
        <w:rPr>
          <w:sz w:val="20"/>
          <w:szCs w:val="20"/>
          <w:color w:val="auto"/>
        </w:rPr>
      </w:pPr>
    </w:p>
    <w:p>
      <w:pPr>
        <w:ind w:left="1300" w:right="1380" w:firstLine="360"/>
        <w:spacing w:after="0" w:line="266" w:lineRule="auto"/>
        <w:rPr>
          <w:sz w:val="20"/>
          <w:szCs w:val="20"/>
          <w:color w:val="auto"/>
        </w:rPr>
      </w:pPr>
      <w:r>
        <w:rPr>
          <w:rFonts w:ascii="Times New Roman" w:cs="Times New Roman" w:eastAsia="Times New Roman" w:hAnsi="Times New Roman"/>
          <w:sz w:val="18"/>
          <w:szCs w:val="18"/>
          <w:color w:val="auto"/>
        </w:rPr>
        <w:t>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w:t>
      </w:r>
    </w:p>
    <w:p>
      <w:pPr>
        <w:spacing w:after="0" w:line="68" w:lineRule="exact"/>
        <w:rPr>
          <w:sz w:val="20"/>
          <w:szCs w:val="20"/>
          <w:color w:val="auto"/>
        </w:rPr>
      </w:pPr>
    </w:p>
    <w:p>
      <w:pPr>
        <w:ind w:left="1300" w:right="1380" w:firstLine="360"/>
        <w:spacing w:after="0" w:line="258" w:lineRule="auto"/>
        <w:rPr>
          <w:sz w:val="20"/>
          <w:szCs w:val="20"/>
          <w:color w:val="auto"/>
        </w:rPr>
      </w:pPr>
      <w:r>
        <w:rPr>
          <w:rFonts w:ascii="Times New Roman" w:cs="Times New Roman" w:eastAsia="Times New Roman" w:hAnsi="Times New Roman"/>
          <w:sz w:val="18"/>
          <w:szCs w:val="18"/>
          <w:color w:val="auto"/>
        </w:rPr>
        <w:t>Our stockholders were previously asked to approve the amendments described in this proposal at the Company’s 2023 annual meeting of stockholders. The proposed amendments did not receive a vote of the requisite 66 2/3% of the voting power of shares outstanding and entitled to vote generally in the election of directors of the Company. In the furtherance of good governance, we are once again seeking the approval of our stockholders of the Governance Proposal amendment to the Charter.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00489A"/>
        </w:rPr>
        <w:t>Declassification of Board</w:t>
      </w:r>
    </w:p>
    <w:p>
      <w:pPr>
        <w:spacing w:after="0" w:line="104" w:lineRule="exact"/>
        <w:rPr>
          <w:sz w:val="20"/>
          <w:szCs w:val="20"/>
          <w:color w:val="auto"/>
        </w:rPr>
      </w:pPr>
    </w:p>
    <w:p>
      <w:pPr>
        <w:ind w:left="1300" w:right="1440" w:firstLine="360"/>
        <w:spacing w:after="0" w:line="282" w:lineRule="auto"/>
        <w:rPr>
          <w:sz w:val="20"/>
          <w:szCs w:val="20"/>
          <w:color w:val="auto"/>
        </w:rPr>
      </w:pPr>
      <w:r>
        <w:rPr>
          <w:rFonts w:ascii="Times New Roman" w:cs="Times New Roman" w:eastAsia="Times New Roman" w:hAnsi="Times New Roman"/>
          <w:sz w:val="18"/>
          <w:szCs w:val="18"/>
          <w:color w:val="auto"/>
        </w:rPr>
        <w:t>Currently, the Charter provides that the Board is divided into three classes, with each class serving a staggered three-year term, and only one class being eligible for re-election each annual meeting. Specifically:</w:t>
      </w:r>
    </w:p>
    <w:p>
      <w:pPr>
        <w:spacing w:after="0" w:line="54" w:lineRule="exact"/>
        <w:rPr>
          <w:sz w:val="20"/>
          <w:szCs w:val="20"/>
          <w:color w:val="auto"/>
        </w:rPr>
      </w:pPr>
    </w:p>
    <w:p>
      <w:pPr>
        <w:ind w:left="2000" w:right="2180" w:hanging="348"/>
        <w:spacing w:after="0" w:line="282" w:lineRule="auto"/>
        <w:tabs>
          <w:tab w:leader="none" w:pos="2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designated as Class I directors have terms expiring at the 2025 annual meeting of stockholders;</w:t>
      </w:r>
    </w:p>
    <w:p>
      <w:pPr>
        <w:spacing w:after="0" w:line="53" w:lineRule="exact"/>
        <w:rPr>
          <w:rFonts w:ascii="Times New Roman" w:cs="Times New Roman" w:eastAsia="Times New Roman" w:hAnsi="Times New Roman"/>
          <w:sz w:val="18"/>
          <w:szCs w:val="18"/>
          <w:color w:val="auto"/>
        </w:rPr>
      </w:pPr>
    </w:p>
    <w:p>
      <w:pPr>
        <w:ind w:left="2000" w:right="2120" w:hanging="348"/>
        <w:spacing w:after="0" w:line="282" w:lineRule="auto"/>
        <w:tabs>
          <w:tab w:leader="none" w:pos="2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designated as Class II directors have terms expiring at the 2026 annual meeting of stockholders; and</w:t>
      </w:r>
    </w:p>
    <w:p>
      <w:pPr>
        <w:spacing w:after="0" w:line="53" w:lineRule="exact"/>
        <w:rPr>
          <w:rFonts w:ascii="Times New Roman" w:cs="Times New Roman" w:eastAsia="Times New Roman" w:hAnsi="Times New Roman"/>
          <w:sz w:val="18"/>
          <w:szCs w:val="18"/>
          <w:color w:val="auto"/>
        </w:rPr>
      </w:pPr>
    </w:p>
    <w:p>
      <w:pPr>
        <w:ind w:left="2000" w:right="2060" w:hanging="348"/>
        <w:spacing w:after="0" w:line="282" w:lineRule="auto"/>
        <w:tabs>
          <w:tab w:leader="none" w:pos="2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designated as Class III directors have terms expiring at the 2024 annual meeting of stockholders.</w:t>
      </w:r>
    </w:p>
    <w:p>
      <w:pPr>
        <w:spacing w:after="0" w:line="9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Our current Board members and their respective designations are as follow: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370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Current Position</w:t>
            </w:r>
          </w:p>
        </w:tc>
        <w:tc>
          <w:tcPr>
            <w:tcW w:w="16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80" w:type="dxa"/>
            <w:vAlign w:val="bottom"/>
          </w:tcPr>
          <w:p>
            <w:pPr>
              <w:spacing w:after="0"/>
              <w:rPr>
                <w:sz w:val="16"/>
                <w:szCs w:val="16"/>
                <w:color w:val="auto"/>
              </w:rPr>
            </w:pPr>
          </w:p>
        </w:tc>
        <w:tc>
          <w:tcPr>
            <w:tcW w:w="19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Term Expires</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13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40" w:type="dxa"/>
            <w:vAlign w:val="bottom"/>
            <w:tcBorders>
              <w:right w:val="single" w:sz="8" w:color="C7CDE8"/>
            </w:tcBorders>
          </w:tcPr>
          <w:p>
            <w:pPr>
              <w:spacing w:after="0"/>
              <w:rPr>
                <w:sz w:val="18"/>
                <w:szCs w:val="18"/>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b w:val="1"/>
                <w:bCs w:val="1"/>
                <w:color w:val="auto"/>
              </w:rPr>
              <w:t>Jodi Butts</w:t>
            </w:r>
          </w:p>
        </w:tc>
        <w:tc>
          <w:tcPr>
            <w:tcW w:w="160" w:type="dxa"/>
            <w:vAlign w:val="bottom"/>
            <w:shd w:val="clear" w:color="auto" w:fill="C7CDE8"/>
          </w:tcPr>
          <w:p>
            <w:pPr>
              <w:spacing w:after="0"/>
              <w:rPr>
                <w:sz w:val="18"/>
                <w:szCs w:val="18"/>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Nominating &amp; Governance Committee Member;</w:t>
            </w:r>
          </w:p>
        </w:tc>
        <w:tc>
          <w:tcPr>
            <w:tcW w:w="160" w:type="dxa"/>
            <w:vAlign w:val="bottom"/>
            <w:shd w:val="clear" w:color="auto" w:fill="C7CDE8"/>
          </w:tcPr>
          <w:p>
            <w:pPr>
              <w:spacing w:after="0"/>
              <w:rPr>
                <w:sz w:val="18"/>
                <w:szCs w:val="18"/>
                <w:color w:val="auto"/>
              </w:rPr>
            </w:pPr>
          </w:p>
        </w:tc>
        <w:tc>
          <w:tcPr>
            <w:tcW w:w="6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Class III</w:t>
            </w:r>
          </w:p>
        </w:tc>
        <w:tc>
          <w:tcPr>
            <w:tcW w:w="180" w:type="dxa"/>
            <w:vAlign w:val="bottom"/>
            <w:shd w:val="clear" w:color="auto" w:fill="C7CDE8"/>
          </w:tcPr>
          <w:p>
            <w:pPr>
              <w:spacing w:after="0"/>
              <w:rPr>
                <w:sz w:val="18"/>
                <w:szCs w:val="18"/>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shd w:val="clear" w:color="auto" w:fill="C7CDE8"/>
          </w:tcPr>
          <w:p>
            <w:pPr>
              <w:spacing w:after="0"/>
              <w:rPr>
                <w:sz w:val="18"/>
                <w:szCs w:val="18"/>
                <w:color w:val="auto"/>
              </w:rPr>
            </w:pPr>
          </w:p>
        </w:tc>
        <w:tc>
          <w:tcPr>
            <w:tcW w:w="1300" w:type="dxa"/>
            <w:vAlign w:val="bottom"/>
          </w:tcPr>
          <w:p>
            <w:pPr>
              <w:spacing w:after="0"/>
              <w:rPr>
                <w:sz w:val="18"/>
                <w:szCs w:val="18"/>
                <w:color w:val="auto"/>
              </w:rPr>
            </w:pPr>
          </w:p>
        </w:tc>
      </w:tr>
      <w:tr>
        <w:trPr>
          <w:trHeight w:val="255"/>
        </w:trPr>
        <w:tc>
          <w:tcPr>
            <w:tcW w:w="1340" w:type="dxa"/>
            <w:vAlign w:val="bottom"/>
            <w:tcBorders>
              <w:right w:val="single" w:sz="8" w:color="C7CDE8"/>
            </w:tcBorders>
          </w:tcPr>
          <w:p>
            <w:pPr>
              <w:spacing w:after="0"/>
              <w:rPr>
                <w:sz w:val="22"/>
                <w:szCs w:val="22"/>
                <w:color w:val="auto"/>
              </w:rPr>
            </w:pPr>
          </w:p>
        </w:tc>
        <w:tc>
          <w:tcPr>
            <w:tcW w:w="1520" w:type="dxa"/>
            <w:vAlign w:val="bottom"/>
            <w:tcBorders>
              <w:bottom w:val="single" w:sz="8" w:color="C7CDE8"/>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370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Borders>
              <w:bottom w:val="single" w:sz="8" w:color="C7CDE8"/>
            </w:tcBorders>
            <w:shd w:val="clear" w:color="auto" w:fill="C7CDE8"/>
          </w:tcPr>
          <w:p>
            <w:pPr>
              <w:spacing w:after="0"/>
              <w:rPr>
                <w:sz w:val="22"/>
                <w:szCs w:val="22"/>
                <w:color w:val="auto"/>
              </w:rPr>
            </w:pPr>
          </w:p>
        </w:tc>
        <w:tc>
          <w:tcPr>
            <w:tcW w:w="640" w:type="dxa"/>
            <w:vAlign w:val="bottom"/>
            <w:tcBorders>
              <w:bottom w:val="single" w:sz="8" w:color="C7CDE8"/>
            </w:tcBorders>
            <w:shd w:val="clear" w:color="auto" w:fill="C7CDE8"/>
          </w:tcPr>
          <w:p>
            <w:pPr>
              <w:spacing w:after="0"/>
              <w:rPr>
                <w:sz w:val="22"/>
                <w:szCs w:val="22"/>
                <w:color w:val="auto"/>
              </w:rPr>
            </w:pPr>
          </w:p>
        </w:tc>
        <w:tc>
          <w:tcPr>
            <w:tcW w:w="180" w:type="dxa"/>
            <w:vAlign w:val="bottom"/>
            <w:tcBorders>
              <w:bottom w:val="single" w:sz="8" w:color="C7CDE8"/>
            </w:tcBorders>
            <w:shd w:val="clear" w:color="auto" w:fill="C7CDE8"/>
          </w:tcPr>
          <w:p>
            <w:pPr>
              <w:spacing w:after="0"/>
              <w:rPr>
                <w:sz w:val="22"/>
                <w:szCs w:val="22"/>
                <w:color w:val="auto"/>
              </w:rPr>
            </w:pPr>
          </w:p>
        </w:tc>
        <w:tc>
          <w:tcPr>
            <w:tcW w:w="194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r>
      <w:tr>
        <w:trPr>
          <w:trHeight w:val="225"/>
        </w:trPr>
        <w:tc>
          <w:tcPr>
            <w:tcW w:w="1340" w:type="dxa"/>
            <w:vAlign w:val="bottom"/>
          </w:tcPr>
          <w:p>
            <w:pPr>
              <w:spacing w:after="0"/>
              <w:rPr>
                <w:sz w:val="19"/>
                <w:szCs w:val="19"/>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David Clanachan</w:t>
            </w:r>
          </w:p>
        </w:tc>
        <w:tc>
          <w:tcPr>
            <w:tcW w:w="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Independent Director</w:t>
            </w:r>
          </w:p>
        </w:tc>
        <w:tc>
          <w:tcPr>
            <w:tcW w:w="1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Class II</w:t>
            </w:r>
          </w:p>
        </w:tc>
        <w:tc>
          <w:tcPr>
            <w:tcW w:w="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1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1340" w:type="dxa"/>
            <w:vAlign w:val="bottom"/>
            <w:tcBorders>
              <w:right w:val="single" w:sz="8" w:color="C7CDE8"/>
            </w:tcBorders>
          </w:tcPr>
          <w:p>
            <w:pPr>
              <w:spacing w:after="0"/>
              <w:rPr>
                <w:sz w:val="19"/>
                <w:szCs w:val="19"/>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b w:val="1"/>
                <w:bCs w:val="1"/>
                <w:color w:val="auto"/>
              </w:rPr>
              <w:t>John M. Herhalt</w:t>
            </w:r>
          </w:p>
        </w:tc>
        <w:tc>
          <w:tcPr>
            <w:tcW w:w="160" w:type="dxa"/>
            <w:vAlign w:val="bottom"/>
            <w:shd w:val="clear" w:color="auto" w:fill="C7CDE8"/>
          </w:tcPr>
          <w:p>
            <w:pPr>
              <w:spacing w:after="0"/>
              <w:rPr>
                <w:sz w:val="19"/>
                <w:szCs w:val="19"/>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Chair of the Audit Committee; Independent</w:t>
            </w:r>
          </w:p>
        </w:tc>
        <w:tc>
          <w:tcPr>
            <w:tcW w:w="160" w:type="dxa"/>
            <w:vAlign w:val="bottom"/>
            <w:shd w:val="clear" w:color="auto" w:fill="C7CDE8"/>
          </w:tcPr>
          <w:p>
            <w:pPr>
              <w:spacing w:after="0"/>
              <w:rPr>
                <w:sz w:val="19"/>
                <w:szCs w:val="19"/>
                <w:color w:val="auto"/>
              </w:rPr>
            </w:pPr>
          </w:p>
        </w:tc>
        <w:tc>
          <w:tcPr>
            <w:tcW w:w="6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Class I</w:t>
            </w:r>
          </w:p>
        </w:tc>
        <w:tc>
          <w:tcPr>
            <w:tcW w:w="180" w:type="dxa"/>
            <w:vAlign w:val="bottom"/>
            <w:shd w:val="clear" w:color="auto" w:fill="C7CDE8"/>
          </w:tcPr>
          <w:p>
            <w:pPr>
              <w:spacing w:after="0"/>
              <w:rPr>
                <w:sz w:val="19"/>
                <w:szCs w:val="19"/>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2025 annual meeting of</w:t>
            </w:r>
          </w:p>
        </w:tc>
        <w:tc>
          <w:tcPr>
            <w:tcW w:w="80" w:type="dxa"/>
            <w:vAlign w:val="bottom"/>
            <w:shd w:val="clear" w:color="auto" w:fill="C7CDE8"/>
          </w:tcPr>
          <w:p>
            <w:pPr>
              <w:spacing w:after="0"/>
              <w:rPr>
                <w:sz w:val="19"/>
                <w:szCs w:val="19"/>
                <w:color w:val="auto"/>
              </w:rPr>
            </w:pPr>
          </w:p>
        </w:tc>
        <w:tc>
          <w:tcPr>
            <w:tcW w:w="1300" w:type="dxa"/>
            <w:vAlign w:val="bottom"/>
          </w:tcPr>
          <w:p>
            <w:pPr>
              <w:spacing w:after="0"/>
              <w:rPr>
                <w:sz w:val="19"/>
                <w:szCs w:val="19"/>
                <w:color w:val="auto"/>
              </w:rPr>
            </w:pPr>
          </w:p>
        </w:tc>
      </w:tr>
      <w:tr>
        <w:trPr>
          <w:trHeight w:val="255"/>
        </w:trPr>
        <w:tc>
          <w:tcPr>
            <w:tcW w:w="1340" w:type="dxa"/>
            <w:vAlign w:val="bottom"/>
            <w:tcBorders>
              <w:right w:val="single" w:sz="8" w:color="C7CDE8"/>
            </w:tcBorders>
          </w:tcPr>
          <w:p>
            <w:pPr>
              <w:spacing w:after="0"/>
              <w:rPr>
                <w:sz w:val="22"/>
                <w:szCs w:val="22"/>
                <w:color w:val="auto"/>
              </w:rPr>
            </w:pPr>
          </w:p>
        </w:tc>
        <w:tc>
          <w:tcPr>
            <w:tcW w:w="1520" w:type="dxa"/>
            <w:vAlign w:val="bottom"/>
            <w:tcBorders>
              <w:bottom w:val="single" w:sz="8" w:color="C7CDE8"/>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370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Borders>
              <w:bottom w:val="single" w:sz="8" w:color="C7CDE8"/>
            </w:tcBorders>
            <w:shd w:val="clear" w:color="auto" w:fill="C7CDE8"/>
          </w:tcPr>
          <w:p>
            <w:pPr>
              <w:spacing w:after="0"/>
              <w:rPr>
                <w:sz w:val="22"/>
                <w:szCs w:val="22"/>
                <w:color w:val="auto"/>
              </w:rPr>
            </w:pPr>
          </w:p>
        </w:tc>
        <w:tc>
          <w:tcPr>
            <w:tcW w:w="640" w:type="dxa"/>
            <w:vAlign w:val="bottom"/>
            <w:tcBorders>
              <w:bottom w:val="single" w:sz="8" w:color="C7CDE8"/>
            </w:tcBorders>
            <w:shd w:val="clear" w:color="auto" w:fill="C7CDE8"/>
          </w:tcPr>
          <w:p>
            <w:pPr>
              <w:spacing w:after="0"/>
              <w:rPr>
                <w:sz w:val="22"/>
                <w:szCs w:val="22"/>
                <w:color w:val="auto"/>
              </w:rPr>
            </w:pPr>
          </w:p>
        </w:tc>
        <w:tc>
          <w:tcPr>
            <w:tcW w:w="180" w:type="dxa"/>
            <w:vAlign w:val="bottom"/>
            <w:tcBorders>
              <w:bottom w:val="single" w:sz="8" w:color="C7CDE8"/>
            </w:tcBorders>
            <w:shd w:val="clear" w:color="auto" w:fill="C7CDE8"/>
          </w:tcPr>
          <w:p>
            <w:pPr>
              <w:spacing w:after="0"/>
              <w:rPr>
                <w:sz w:val="22"/>
                <w:szCs w:val="22"/>
                <w:color w:val="auto"/>
              </w:rPr>
            </w:pPr>
          </w:p>
        </w:tc>
        <w:tc>
          <w:tcPr>
            <w:tcW w:w="194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r>
      <w:tr>
        <w:trPr>
          <w:trHeight w:val="225"/>
        </w:trPr>
        <w:tc>
          <w:tcPr>
            <w:tcW w:w="1340" w:type="dxa"/>
            <w:vAlign w:val="bottom"/>
          </w:tcPr>
          <w:p>
            <w:pPr>
              <w:spacing w:after="0"/>
              <w:rPr>
                <w:sz w:val="19"/>
                <w:szCs w:val="19"/>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David Hopkinson</w:t>
            </w:r>
          </w:p>
        </w:tc>
        <w:tc>
          <w:tcPr>
            <w:tcW w:w="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 &amp;</w:t>
            </w:r>
          </w:p>
        </w:tc>
        <w:tc>
          <w:tcPr>
            <w:tcW w:w="1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Class III</w:t>
            </w:r>
          </w:p>
        </w:tc>
        <w:tc>
          <w:tcPr>
            <w:tcW w:w="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Independent</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1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1340" w:type="dxa"/>
            <w:vAlign w:val="bottom"/>
            <w:tcBorders>
              <w:right w:val="single" w:sz="8" w:color="C7CDE8"/>
            </w:tcBorders>
          </w:tcPr>
          <w:p>
            <w:pPr>
              <w:spacing w:after="0"/>
              <w:rPr>
                <w:sz w:val="19"/>
                <w:szCs w:val="19"/>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b w:val="1"/>
                <w:bCs w:val="1"/>
                <w:color w:val="auto"/>
              </w:rPr>
              <w:t>Thomas Looney</w:t>
            </w:r>
          </w:p>
        </w:tc>
        <w:tc>
          <w:tcPr>
            <w:tcW w:w="160" w:type="dxa"/>
            <w:vAlign w:val="bottom"/>
            <w:shd w:val="clear" w:color="auto" w:fill="C7CDE8"/>
          </w:tcPr>
          <w:p>
            <w:pPr>
              <w:spacing w:after="0"/>
              <w:rPr>
                <w:sz w:val="19"/>
                <w:szCs w:val="19"/>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Chair of the Compensation Committee and</w:t>
            </w:r>
          </w:p>
        </w:tc>
        <w:tc>
          <w:tcPr>
            <w:tcW w:w="160" w:type="dxa"/>
            <w:vAlign w:val="bottom"/>
            <w:shd w:val="clear" w:color="auto" w:fill="C7CDE8"/>
          </w:tcPr>
          <w:p>
            <w:pPr>
              <w:spacing w:after="0"/>
              <w:rPr>
                <w:sz w:val="19"/>
                <w:szCs w:val="19"/>
                <w:color w:val="auto"/>
              </w:rPr>
            </w:pPr>
          </w:p>
        </w:tc>
        <w:tc>
          <w:tcPr>
            <w:tcW w:w="6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Class III</w:t>
            </w:r>
          </w:p>
        </w:tc>
        <w:tc>
          <w:tcPr>
            <w:tcW w:w="180" w:type="dxa"/>
            <w:vAlign w:val="bottom"/>
            <w:shd w:val="clear" w:color="auto" w:fill="C7CDE8"/>
          </w:tcPr>
          <w:p>
            <w:pPr>
              <w:spacing w:after="0"/>
              <w:rPr>
                <w:sz w:val="19"/>
                <w:szCs w:val="19"/>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2024 annual meeting of</w:t>
            </w:r>
          </w:p>
        </w:tc>
        <w:tc>
          <w:tcPr>
            <w:tcW w:w="80" w:type="dxa"/>
            <w:vAlign w:val="bottom"/>
            <w:shd w:val="clear" w:color="auto" w:fill="C7CDE8"/>
          </w:tcPr>
          <w:p>
            <w:pPr>
              <w:spacing w:after="0"/>
              <w:rPr>
                <w:sz w:val="19"/>
                <w:szCs w:val="19"/>
                <w:color w:val="auto"/>
              </w:rPr>
            </w:pPr>
          </w:p>
        </w:tc>
        <w:tc>
          <w:tcPr>
            <w:tcW w:w="1300" w:type="dxa"/>
            <w:vAlign w:val="bottom"/>
          </w:tcPr>
          <w:p>
            <w:pPr>
              <w:spacing w:after="0"/>
              <w:rPr>
                <w:sz w:val="19"/>
                <w:szCs w:val="19"/>
                <w:color w:val="auto"/>
              </w:rPr>
            </w:pPr>
          </w:p>
        </w:tc>
      </w:tr>
      <w:tr>
        <w:trPr>
          <w:trHeight w:val="255"/>
        </w:trPr>
        <w:tc>
          <w:tcPr>
            <w:tcW w:w="1340" w:type="dxa"/>
            <w:vAlign w:val="bottom"/>
            <w:tcBorders>
              <w:right w:val="single" w:sz="8" w:color="C7CDE8"/>
            </w:tcBorders>
          </w:tcPr>
          <w:p>
            <w:pPr>
              <w:spacing w:after="0"/>
              <w:rPr>
                <w:sz w:val="22"/>
                <w:szCs w:val="22"/>
                <w:color w:val="auto"/>
              </w:rPr>
            </w:pPr>
          </w:p>
        </w:tc>
        <w:tc>
          <w:tcPr>
            <w:tcW w:w="1520" w:type="dxa"/>
            <w:vAlign w:val="bottom"/>
            <w:tcBorders>
              <w:bottom w:val="single" w:sz="8" w:color="C7CDE8"/>
            </w:tcBorders>
            <w:shd w:val="clear" w:color="auto" w:fill="C7CDE8"/>
          </w:tcPr>
          <w:p>
            <w:pPr>
              <w:spacing w:after="0"/>
              <w:rPr>
                <w:sz w:val="22"/>
                <w:szCs w:val="22"/>
                <w:color w:val="auto"/>
              </w:rPr>
            </w:pPr>
          </w:p>
        </w:tc>
        <w:tc>
          <w:tcPr>
            <w:tcW w:w="160" w:type="dxa"/>
            <w:vAlign w:val="bottom"/>
            <w:tcBorders>
              <w:bottom w:val="single" w:sz="8" w:color="C7CDE8"/>
            </w:tcBorders>
            <w:shd w:val="clear" w:color="auto" w:fill="C7CDE8"/>
          </w:tcPr>
          <w:p>
            <w:pPr>
              <w:spacing w:after="0"/>
              <w:rPr>
                <w:sz w:val="22"/>
                <w:szCs w:val="22"/>
                <w:color w:val="auto"/>
              </w:rPr>
            </w:pPr>
          </w:p>
        </w:tc>
        <w:tc>
          <w:tcPr>
            <w:tcW w:w="370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Audit Committee Member; Independent Director</w:t>
            </w:r>
          </w:p>
        </w:tc>
        <w:tc>
          <w:tcPr>
            <w:tcW w:w="160" w:type="dxa"/>
            <w:vAlign w:val="bottom"/>
            <w:tcBorders>
              <w:bottom w:val="single" w:sz="8" w:color="C7CDE8"/>
            </w:tcBorders>
            <w:shd w:val="clear" w:color="auto" w:fill="C7CDE8"/>
          </w:tcPr>
          <w:p>
            <w:pPr>
              <w:spacing w:after="0"/>
              <w:rPr>
                <w:sz w:val="22"/>
                <w:szCs w:val="22"/>
                <w:color w:val="auto"/>
              </w:rPr>
            </w:pPr>
          </w:p>
        </w:tc>
        <w:tc>
          <w:tcPr>
            <w:tcW w:w="640" w:type="dxa"/>
            <w:vAlign w:val="bottom"/>
            <w:tcBorders>
              <w:bottom w:val="single" w:sz="8" w:color="C7CDE8"/>
            </w:tcBorders>
            <w:shd w:val="clear" w:color="auto" w:fill="C7CDE8"/>
          </w:tcPr>
          <w:p>
            <w:pPr>
              <w:spacing w:after="0"/>
              <w:rPr>
                <w:sz w:val="22"/>
                <w:szCs w:val="22"/>
                <w:color w:val="auto"/>
              </w:rPr>
            </w:pPr>
          </w:p>
        </w:tc>
        <w:tc>
          <w:tcPr>
            <w:tcW w:w="180" w:type="dxa"/>
            <w:vAlign w:val="bottom"/>
            <w:tcBorders>
              <w:bottom w:val="single" w:sz="8" w:color="C7CDE8"/>
            </w:tcBorders>
            <w:shd w:val="clear" w:color="auto" w:fill="C7CDE8"/>
          </w:tcPr>
          <w:p>
            <w:pPr>
              <w:spacing w:after="0"/>
              <w:rPr>
                <w:sz w:val="22"/>
                <w:szCs w:val="22"/>
                <w:color w:val="auto"/>
              </w:rPr>
            </w:pPr>
          </w:p>
        </w:tc>
        <w:tc>
          <w:tcPr>
            <w:tcW w:w="194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Borders>
              <w:bottom w:val="single" w:sz="8" w:color="C7CDE8"/>
            </w:tcBorders>
            <w:shd w:val="clear" w:color="auto" w:fill="C7CDE8"/>
          </w:tcPr>
          <w:p>
            <w:pPr>
              <w:spacing w:after="0"/>
              <w:rPr>
                <w:sz w:val="22"/>
                <w:szCs w:val="22"/>
                <w:color w:val="auto"/>
              </w:rPr>
            </w:pPr>
          </w:p>
        </w:tc>
        <w:tc>
          <w:tcPr>
            <w:tcW w:w="1300" w:type="dxa"/>
            <w:vAlign w:val="bottom"/>
          </w:tcPr>
          <w:p>
            <w:pPr>
              <w:spacing w:after="0"/>
              <w:rPr>
                <w:sz w:val="22"/>
                <w:szCs w:val="22"/>
                <w:color w:val="auto"/>
              </w:rPr>
            </w:pPr>
          </w:p>
        </w:tc>
      </w:tr>
      <w:tr>
        <w:trPr>
          <w:trHeight w:val="225"/>
        </w:trPr>
        <w:tc>
          <w:tcPr>
            <w:tcW w:w="1340" w:type="dxa"/>
            <w:vAlign w:val="bottom"/>
          </w:tcPr>
          <w:p>
            <w:pPr>
              <w:spacing w:after="0"/>
              <w:rPr>
                <w:sz w:val="19"/>
                <w:szCs w:val="19"/>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Renah Persofsky</w:t>
            </w:r>
          </w:p>
        </w:tc>
        <w:tc>
          <w:tcPr>
            <w:tcW w:w="16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Vice-Chair (Lead Director) and Chair of the</w:t>
            </w:r>
          </w:p>
        </w:tc>
        <w:tc>
          <w:tcPr>
            <w:tcW w:w="16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Class II</w:t>
            </w:r>
          </w:p>
        </w:tc>
        <w:tc>
          <w:tcPr>
            <w:tcW w:w="18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1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Governance Committee;</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
        </w:trPr>
        <w:tc>
          <w:tcPr>
            <w:tcW w:w="13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1340" w:type="dxa"/>
            <w:vAlign w:val="bottom"/>
            <w:tcBorders>
              <w:right w:val="single" w:sz="8" w:color="C7CDE8"/>
            </w:tcBorders>
          </w:tcPr>
          <w:p>
            <w:pPr>
              <w:spacing w:after="0"/>
              <w:rPr>
                <w:sz w:val="19"/>
                <w:szCs w:val="19"/>
                <w:color w:val="auto"/>
              </w:rPr>
            </w:pPr>
          </w:p>
        </w:tc>
        <w:tc>
          <w:tcPr>
            <w:tcW w:w="1520" w:type="dxa"/>
            <w:vAlign w:val="bottom"/>
            <w:shd w:val="clear" w:color="auto" w:fill="C7CDE8"/>
          </w:tcPr>
          <w:p>
            <w:pPr>
              <w:ind w:left="40"/>
              <w:spacing w:after="0"/>
              <w:rPr>
                <w:sz w:val="20"/>
                <w:szCs w:val="20"/>
                <w:color w:val="auto"/>
              </w:rPr>
            </w:pPr>
            <w:r>
              <w:rPr>
                <w:rFonts w:ascii="Times New Roman" w:cs="Times New Roman" w:eastAsia="Times New Roman" w:hAnsi="Times New Roman"/>
                <w:sz w:val="18"/>
                <w:szCs w:val="18"/>
                <w:b w:val="1"/>
                <w:bCs w:val="1"/>
                <w:color w:val="auto"/>
              </w:rPr>
              <w:t>Irwin D. Simon</w:t>
            </w:r>
          </w:p>
        </w:tc>
        <w:tc>
          <w:tcPr>
            <w:tcW w:w="160" w:type="dxa"/>
            <w:vAlign w:val="bottom"/>
            <w:shd w:val="clear" w:color="auto" w:fill="C7CDE8"/>
          </w:tcPr>
          <w:p>
            <w:pPr>
              <w:spacing w:after="0"/>
              <w:rPr>
                <w:sz w:val="19"/>
                <w:szCs w:val="19"/>
                <w:color w:val="auto"/>
              </w:rPr>
            </w:pPr>
          </w:p>
        </w:tc>
        <w:tc>
          <w:tcPr>
            <w:tcW w:w="370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Chairman of the Board of Directors; President and</w:t>
            </w:r>
          </w:p>
        </w:tc>
        <w:tc>
          <w:tcPr>
            <w:tcW w:w="160" w:type="dxa"/>
            <w:vAlign w:val="bottom"/>
            <w:shd w:val="clear" w:color="auto" w:fill="C7CDE8"/>
          </w:tcPr>
          <w:p>
            <w:pPr>
              <w:spacing w:after="0"/>
              <w:rPr>
                <w:sz w:val="19"/>
                <w:szCs w:val="19"/>
                <w:color w:val="auto"/>
              </w:rPr>
            </w:pPr>
          </w:p>
        </w:tc>
        <w:tc>
          <w:tcPr>
            <w:tcW w:w="6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Class II</w:t>
            </w:r>
          </w:p>
        </w:tc>
        <w:tc>
          <w:tcPr>
            <w:tcW w:w="180" w:type="dxa"/>
            <w:vAlign w:val="bottom"/>
            <w:shd w:val="clear" w:color="auto" w:fill="C7CDE8"/>
          </w:tcPr>
          <w:p>
            <w:pPr>
              <w:spacing w:after="0"/>
              <w:rPr>
                <w:sz w:val="19"/>
                <w:szCs w:val="19"/>
                <w:color w:val="auto"/>
              </w:rPr>
            </w:pPr>
          </w:p>
        </w:tc>
        <w:tc>
          <w:tcPr>
            <w:tcW w:w="1940" w:type="dxa"/>
            <w:vAlign w:val="bottom"/>
            <w:shd w:val="clear" w:color="auto" w:fill="C7CDE8"/>
          </w:tcPr>
          <w:p>
            <w:pPr>
              <w:spacing w:after="0"/>
              <w:rPr>
                <w:sz w:val="20"/>
                <w:szCs w:val="20"/>
                <w:color w:val="auto"/>
              </w:rPr>
            </w:pPr>
            <w:r>
              <w:rPr>
                <w:rFonts w:ascii="Times New Roman" w:cs="Times New Roman" w:eastAsia="Times New Roman" w:hAnsi="Times New Roman"/>
                <w:sz w:val="18"/>
                <w:szCs w:val="18"/>
                <w:color w:val="auto"/>
              </w:rPr>
              <w:t>2026 annual meeting of</w:t>
            </w:r>
          </w:p>
        </w:tc>
        <w:tc>
          <w:tcPr>
            <w:tcW w:w="80" w:type="dxa"/>
            <w:vAlign w:val="bottom"/>
            <w:shd w:val="clear" w:color="auto" w:fill="C7CDE8"/>
          </w:tcPr>
          <w:p>
            <w:pPr>
              <w:spacing w:after="0"/>
              <w:rPr>
                <w:sz w:val="19"/>
                <w:szCs w:val="19"/>
                <w:color w:val="auto"/>
              </w:rPr>
            </w:pPr>
          </w:p>
        </w:tc>
        <w:tc>
          <w:tcPr>
            <w:tcW w:w="1300" w:type="dxa"/>
            <w:vAlign w:val="bottom"/>
          </w:tcPr>
          <w:p>
            <w:pPr>
              <w:spacing w:after="0"/>
              <w:rPr>
                <w:sz w:val="19"/>
                <w:szCs w:val="19"/>
                <w:color w:val="auto"/>
              </w:rPr>
            </w:pPr>
          </w:p>
        </w:tc>
      </w:tr>
      <w:tr>
        <w:trPr>
          <w:trHeight w:val="268"/>
        </w:trPr>
        <w:tc>
          <w:tcPr>
            <w:tcW w:w="1340" w:type="dxa"/>
            <w:vAlign w:val="bottom"/>
            <w:tcBorders>
              <w:right w:val="single" w:sz="8" w:color="C7CDE8"/>
            </w:tcBorders>
          </w:tcPr>
          <w:p>
            <w:pPr>
              <w:spacing w:after="0"/>
              <w:rPr>
                <w:sz w:val="23"/>
                <w:szCs w:val="23"/>
                <w:color w:val="auto"/>
              </w:rPr>
            </w:pPr>
          </w:p>
        </w:tc>
        <w:tc>
          <w:tcPr>
            <w:tcW w:w="1520" w:type="dxa"/>
            <w:vAlign w:val="bottom"/>
            <w:tcBorders>
              <w:bottom w:val="single" w:sz="8" w:color="C7CDE8"/>
            </w:tcBorders>
            <w:shd w:val="clear" w:color="auto" w:fill="C7CDE8"/>
          </w:tcPr>
          <w:p>
            <w:pPr>
              <w:spacing w:after="0"/>
              <w:rPr>
                <w:sz w:val="23"/>
                <w:szCs w:val="23"/>
                <w:color w:val="auto"/>
              </w:rPr>
            </w:pPr>
          </w:p>
        </w:tc>
        <w:tc>
          <w:tcPr>
            <w:tcW w:w="160" w:type="dxa"/>
            <w:vAlign w:val="bottom"/>
            <w:tcBorders>
              <w:bottom w:val="single" w:sz="8" w:color="C7CDE8"/>
            </w:tcBorders>
            <w:shd w:val="clear" w:color="auto" w:fill="C7CDE8"/>
          </w:tcPr>
          <w:p>
            <w:pPr>
              <w:spacing w:after="0"/>
              <w:rPr>
                <w:sz w:val="23"/>
                <w:szCs w:val="23"/>
                <w:color w:val="auto"/>
              </w:rPr>
            </w:pPr>
          </w:p>
        </w:tc>
        <w:tc>
          <w:tcPr>
            <w:tcW w:w="370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60" w:type="dxa"/>
            <w:vAlign w:val="bottom"/>
            <w:tcBorders>
              <w:bottom w:val="single" w:sz="8" w:color="C7CDE8"/>
            </w:tcBorders>
            <w:shd w:val="clear" w:color="auto" w:fill="C7CDE8"/>
          </w:tcPr>
          <w:p>
            <w:pPr>
              <w:spacing w:after="0"/>
              <w:rPr>
                <w:sz w:val="23"/>
                <w:szCs w:val="23"/>
                <w:color w:val="auto"/>
              </w:rPr>
            </w:pPr>
          </w:p>
        </w:tc>
        <w:tc>
          <w:tcPr>
            <w:tcW w:w="640" w:type="dxa"/>
            <w:vAlign w:val="bottom"/>
            <w:tcBorders>
              <w:bottom w:val="single" w:sz="8" w:color="C7CDE8"/>
            </w:tcBorders>
            <w:shd w:val="clear" w:color="auto" w:fill="C7CDE8"/>
          </w:tcPr>
          <w:p>
            <w:pPr>
              <w:spacing w:after="0"/>
              <w:rPr>
                <w:sz w:val="23"/>
                <w:szCs w:val="23"/>
                <w:color w:val="auto"/>
              </w:rPr>
            </w:pPr>
          </w:p>
        </w:tc>
        <w:tc>
          <w:tcPr>
            <w:tcW w:w="180" w:type="dxa"/>
            <w:vAlign w:val="bottom"/>
            <w:tcBorders>
              <w:bottom w:val="single" w:sz="8" w:color="C7CDE8"/>
            </w:tcBorders>
            <w:shd w:val="clear" w:color="auto" w:fill="C7CDE8"/>
          </w:tcPr>
          <w:p>
            <w:pPr>
              <w:spacing w:after="0"/>
              <w:rPr>
                <w:sz w:val="23"/>
                <w:szCs w:val="23"/>
                <w:color w:val="auto"/>
              </w:rPr>
            </w:pPr>
          </w:p>
        </w:tc>
        <w:tc>
          <w:tcPr>
            <w:tcW w:w="1940" w:type="dxa"/>
            <w:vAlign w:val="bottom"/>
            <w:tcBorders>
              <w:bottom w:val="single" w:sz="8" w:color="C7CDE8"/>
            </w:tcBorders>
            <w:shd w:val="clear" w:color="auto" w:fill="C7CDE8"/>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80" w:type="dxa"/>
            <w:vAlign w:val="bottom"/>
            <w:tcBorders>
              <w:bottom w:val="single" w:sz="8" w:color="C7CDE8"/>
            </w:tcBorders>
            <w:shd w:val="clear" w:color="auto" w:fill="C7CDE8"/>
          </w:tcPr>
          <w:p>
            <w:pPr>
              <w:spacing w:after="0"/>
              <w:rPr>
                <w:sz w:val="23"/>
                <w:szCs w:val="23"/>
                <w:color w:val="auto"/>
              </w:rPr>
            </w:pPr>
          </w:p>
        </w:tc>
        <w:tc>
          <w:tcPr>
            <w:tcW w:w="1300" w:type="dxa"/>
            <w:vAlign w:val="bottom"/>
          </w:tcPr>
          <w:p>
            <w:pPr>
              <w:spacing w:after="0"/>
              <w:rPr>
                <w:sz w:val="23"/>
                <w:szCs w:val="23"/>
                <w:color w:val="auto"/>
              </w:rPr>
            </w:pPr>
          </w:p>
        </w:tc>
      </w:tr>
      <w:tr>
        <w:trPr>
          <w:trHeight w:val="540"/>
        </w:trPr>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gridSpan w:val="2"/>
          </w:tcPr>
          <w:p>
            <w:pPr>
              <w:jc w:val="right"/>
              <w:ind w:right="1031"/>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6"/>
        </w:trPr>
        <w:tc>
          <w:tcPr>
            <w:tcW w:w="1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122" w:right="439" w:bottom="1440" w:gutter="0" w:footer="0" w:header="0"/>
        </w:sectPr>
      </w:pPr>
    </w:p>
    <w:bookmarkStart w:id="64" w:name="page65"/>
    <w:bookmarkEnd w:id="64"/>
    <w:p>
      <w:pPr>
        <w:ind w:left="300"/>
        <w:spacing w:after="0"/>
        <w:rPr>
          <w:sz w:val="20"/>
          <w:szCs w:val="20"/>
          <w:color w:val="auto"/>
        </w:rPr>
      </w:pPr>
      <w:r>
        <w:rPr>
          <w:rFonts w:ascii="Arial" w:cs="Arial" w:eastAsia="Arial" w:hAnsi="Arial"/>
          <w:sz w:val="18"/>
          <w:szCs w:val="18"/>
          <w:b w:val="1"/>
          <w:bCs w:val="1"/>
          <w:color w:val="00489A"/>
        </w:rPr>
        <w:t>Purpose of the Proposal</w:t>
      </w:r>
    </w:p>
    <w:p>
      <w:pPr>
        <w:spacing w:after="0" w:line="103"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w:t>
      </w:r>
    </w:p>
    <w:p>
      <w:pPr>
        <w:spacing w:after="0" w:line="8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 w:cs="Times New Roman" w:eastAsia="Times New Roman" w:hAnsi="Times New Roman"/>
          <w:sz w:val="18"/>
          <w:szCs w:val="18"/>
          <w:b w:val="1"/>
          <w:bCs w:val="1"/>
          <w:i w:val="1"/>
          <w:iCs w:val="1"/>
          <w:color w:val="auto"/>
        </w:rPr>
        <w:t>Declassification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Impact of the Proposal - Annual Elections of Directors</w:t>
      </w:r>
    </w:p>
    <w:p>
      <w:pPr>
        <w:spacing w:after="0" w:line="104"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2025 annual meeting of our stockholders and until his or her successor shall be elected and qualified, or his or her earlier death, resignation, or removal from office.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Required Vote</w:t>
      </w:r>
    </w:p>
    <w:p>
      <w:pPr>
        <w:spacing w:after="0" w:line="104"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Approval of the Governance Proposal requires the affirmative “FOR” vote from the holders of at least 66 2/3% of the voting power of shares outstanding and entitled to vote generally in the election of directors of the Company. You may vote “FOR,” “AGAINST,” or “ABSTAIN” on this proposal. Abstentions have the same effect as a vote against the proposal.</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00489A"/>
        </w:rPr>
        <w:t>OUR BOARD UNANIMOUSLY RECOMMENDS A VOTE “FOR”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489A"/>
        </w:rPr>
        <w:t>THE APPROVAL OF GOVERNANCE PROPOSAL.</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5" w:name="page66"/>
    <w:bookmarkEnd w:id="65"/>
    <w:p>
      <w:pPr>
        <w:ind w:left="300" w:right="1879" w:firstLine="1578"/>
        <w:spacing w:after="0" w:line="430" w:lineRule="auto"/>
        <w:rPr>
          <w:sz w:val="20"/>
          <w:szCs w:val="20"/>
          <w:color w:val="auto"/>
        </w:rPr>
      </w:pPr>
      <w:r>
        <w:rPr>
          <w:rFonts w:ascii="Arial" w:cs="Arial" w:eastAsia="Arial" w:hAnsi="Arial"/>
          <w:sz w:val="18"/>
          <w:szCs w:val="18"/>
          <w:b w:val="1"/>
          <w:bCs w:val="1"/>
          <w:color w:val="00489A"/>
        </w:rPr>
        <w:t>STOCKHOLDER PROPOSALS AND COMPANY INFORMATION Stockholder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-64770</wp:posOffset>
            </wp:positionV>
            <wp:extent cx="53492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ind w:left="300" w:right="59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Rule 14a-8 under the Exchange Act and the advance notice provisions of our Bylaws, stockholder proposals and director nominations for the Annual Meeting of Stockholders for the fiscal year ended May 31, 2025 must be received by our Corporate Secretary at our principal executive office on or before May 30, 2025.</w:t>
      </w:r>
    </w:p>
    <w:p>
      <w:pPr>
        <w:spacing w:after="0" w:line="72"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order for proposals submitted outside of Rule 14a-8 to be considered at the Annual Meeting of Stockholders for the fiscal year ended May 31, 2025,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265 Talbot Street West, Leamington, Ontario N8H 4H3, Canada.</w:t>
      </w:r>
    </w:p>
    <w:p>
      <w:pPr>
        <w:spacing w:after="0" w:line="84" w:lineRule="exact"/>
        <w:rPr>
          <w:sz w:val="20"/>
          <w:szCs w:val="20"/>
          <w:color w:val="auto"/>
        </w:rPr>
      </w:pPr>
    </w:p>
    <w:p>
      <w:pPr>
        <w:ind w:left="300" w:right="499" w:firstLine="360"/>
        <w:spacing w:after="0" w:line="225" w:lineRule="auto"/>
        <w:rPr>
          <w:sz w:val="20"/>
          <w:szCs w:val="20"/>
          <w:color w:val="auto"/>
        </w:rPr>
      </w:pPr>
      <w:r>
        <w:rPr>
          <w:rFonts w:ascii="Times New Roman" w:cs="Times New Roman" w:eastAsia="Times New Roman" w:hAnsi="Times New Roman"/>
          <w:sz w:val="17"/>
          <w:szCs w:val="17"/>
          <w:color w:val="auto"/>
        </w:rPr>
        <w:t>In order to be timely, a stockholder’s notice must be delivered not later than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date of mailing of the notice for the preceding year’s annual meeting of stockholders nor earlier</w:t>
      </w:r>
    </w:p>
    <w:p>
      <w:pPr>
        <w:spacing w:after="0" w:line="2" w:lineRule="exact"/>
        <w:rPr>
          <w:sz w:val="20"/>
          <w:szCs w:val="20"/>
          <w:color w:val="auto"/>
        </w:rPr>
      </w:pPr>
    </w:p>
    <w:p>
      <w:pPr>
        <w:ind w:left="300" w:right="319"/>
        <w:spacing w:after="0" w:line="242" w:lineRule="auto"/>
        <w:rPr>
          <w:sz w:val="20"/>
          <w:szCs w:val="20"/>
          <w:color w:val="auto"/>
        </w:rPr>
      </w:pPr>
      <w:r>
        <w:rPr>
          <w:rFonts w:ascii="Times New Roman" w:cs="Times New Roman" w:eastAsia="Times New Roman" w:hAnsi="Times New Roman"/>
          <w:sz w:val="18"/>
          <w:szCs w:val="18"/>
          <w:color w:val="auto"/>
        </w:rPr>
        <w:t>than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2025 must be received by the Company not earlier than May 29, 2025 and not later than June 28, 2025. However, in the event that the date of the Annual Meeting of Stockholders for the fiscal year ended May 31, 2025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2025. An untimely or incomplete proposal or nomination may be excluded from consideration at the Annual Meeting of Stockholders for the fiscal year ended May 31, 2025.</w:t>
      </w:r>
    </w:p>
    <w:p>
      <w:pPr>
        <w:spacing w:after="0" w:line="97"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about advance notice of stockholder proposals and director nominations.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Annual Report to Stockholders and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5"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A copy of the Company’s Annual Report to the Securities and Exchange Commission on Form 10-K for the fiscal year ended May 31, 2024 is available without charge upon written request to: 265 Talbot Street West, Leamington, Ontario N8H 4H3, Canada.</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Householding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5"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72"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265 Talbot Street West, Leamington, Ontario N8H 4H3, Canada. Stockholders who currently receive multiple copies of the Proxy Materials at their addresses and would like to request “householding” of their communications should contact their brokers.</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6" w:name="page67"/>
    <w:bookmarkEnd w:id="66"/>
    <w:p>
      <w:pPr>
        <w:ind w:left="3540"/>
        <w:spacing w:after="0"/>
        <w:rPr>
          <w:sz w:val="20"/>
          <w:szCs w:val="20"/>
          <w:color w:val="auto"/>
        </w:rPr>
      </w:pPr>
      <w:r>
        <w:rPr>
          <w:rFonts w:ascii="Arial" w:cs="Arial" w:eastAsia="Arial" w:hAnsi="Arial"/>
          <w:sz w:val="18"/>
          <w:szCs w:val="18"/>
          <w:b w:val="1"/>
          <w:bCs w:val="1"/>
          <w:color w:val="00489A"/>
        </w:rPr>
        <w:t>OTHER INFORMATION</w:t>
      </w:r>
    </w:p>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Other Matters That May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17780</wp:posOffset>
            </wp:positionV>
            <wp:extent cx="5349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1" w:lineRule="exact"/>
        <w:rPr>
          <w:sz w:val="20"/>
          <w:szCs w:val="20"/>
          <w:color w:val="auto"/>
        </w:rPr>
      </w:pPr>
    </w:p>
    <w:p>
      <w:pPr>
        <w:ind w:left="300" w:right="359" w:firstLine="360"/>
        <w:spacing w:after="0" w:line="289" w:lineRule="auto"/>
        <w:rPr>
          <w:sz w:val="20"/>
          <w:szCs w:val="20"/>
          <w:color w:val="auto"/>
        </w:rPr>
      </w:pPr>
      <w:r>
        <w:rPr>
          <w:rFonts w:ascii="Times New Roman" w:cs="Times New Roman" w:eastAsia="Times New Roman" w:hAnsi="Times New Roman"/>
          <w:sz w:val="17"/>
          <w:szCs w:val="17"/>
          <w:color w:val="auto"/>
        </w:rPr>
        <w:t>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Solicitation of Proxies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489A"/>
        </w:rPr>
        <w:t>Websites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26035</wp:posOffset>
            </wp:positionV>
            <wp:extent cx="53492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7" w:name="page68"/>
    <w:bookmarkEnd w:id="67"/>
    <w:p>
      <w:pPr>
        <w:jc w:val="right"/>
        <w:ind w:right="299"/>
        <w:spacing w:after="0"/>
        <w:rPr>
          <w:sz w:val="20"/>
          <w:szCs w:val="20"/>
          <w:color w:val="auto"/>
        </w:rPr>
      </w:pPr>
      <w:r>
        <w:rPr>
          <w:rFonts w:ascii="Arial" w:cs="Arial" w:eastAsia="Arial" w:hAnsi="Arial"/>
          <w:sz w:val="18"/>
          <w:szCs w:val="18"/>
          <w:b w:val="1"/>
          <w:bCs w:val="1"/>
          <w:color w:val="00489A"/>
        </w:rPr>
        <w:t>Appendix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00489A"/>
        </w:rPr>
        <w:t>FIFTH</w:t>
      </w:r>
      <w:r>
        <w:rPr>
          <w:rFonts w:ascii="Arial" w:cs="Arial" w:eastAsia="Arial" w:hAnsi="Arial"/>
          <w:sz w:val="18"/>
          <w:szCs w:val="18"/>
          <w:b w:val="1"/>
          <w:bCs w:val="1"/>
          <w:color w:val="EB002A"/>
          <w:strike w:val="1"/>
        </w:rPr>
        <w:t>FOURTH</w:t>
      </w:r>
      <w:r>
        <w:rPr>
          <w:rFonts w:ascii="Arial" w:cs="Arial" w:eastAsia="Arial" w:hAnsi="Arial"/>
          <w:sz w:val="18"/>
          <w:szCs w:val="18"/>
          <w:b w:val="1"/>
          <w:bCs w:val="1"/>
          <w:color w:val="00489A"/>
        </w:rPr>
        <w:t xml:space="preserve"> AMENDED AND RESTATED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CERTIFICATE OF INCORPORATION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TILRAY BRANDS,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EB002A"/>
          <w:strike w:val="1"/>
        </w:rPr>
        <w:t>November 30, 2023</w:t>
      </w:r>
      <w:r>
        <w:rPr>
          <w:rFonts w:ascii="Arial" w:cs="Arial" w:eastAsia="Arial" w:hAnsi="Arial"/>
          <w:sz w:val="18"/>
          <w:szCs w:val="18"/>
          <w:b w:val="1"/>
          <w:bCs w:val="1"/>
          <w:color w:val="00489A"/>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-7620</wp:posOffset>
            </wp:positionV>
            <wp:extent cx="3429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8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The undersigned, for the purposes of amending and restating the certificate of incorporation of Tilray Brands,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 that:</w:t>
      </w:r>
    </w:p>
    <w:p>
      <w:pPr>
        <w:spacing w:after="0" w:line="50"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present name of the Corporation is Tilray Brands, Inc. The Corporation was originally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name “Tilray, Inc.,” by the filing of 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w:t>
      </w:r>
      <w:r>
        <w:rPr>
          <w:rFonts w:ascii="Times New Roman" w:cs="Times New Roman" w:eastAsia="Times New Roman" w:hAnsi="Times New Roman"/>
          <w:sz w:val="18"/>
          <w:szCs w:val="18"/>
          <w:color w:val="auto"/>
        </w:rPr>
        <w:t>) with the Secretary of State of the State of Delaware on January 24, 2018, thereby causing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Corporation to become organized and existing under and by virtue of the General Corporation Law of the State of Delaware, as amended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left="300" w:right="6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of the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“First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which amended and restated in its entirety the Original Certificate, was filed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Secretary of State of the State of Delaware on July 23, 2018.</w:t>
      </w:r>
    </w:p>
    <w:p>
      <w:pPr>
        <w:spacing w:after="0" w:line="63"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amended and restated certificate of incorporation of the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“Second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which amended and restated in its entirety the First Amended and Restated Certificate,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filed with the Secretary of State of the State of Delaware on December 12, 2019.</w:t>
      </w:r>
    </w:p>
    <w:p>
      <w:pPr>
        <w:spacing w:after="0" w:line="63" w:lineRule="exact"/>
        <w:rPr>
          <w:sz w:val="20"/>
          <w:szCs w:val="20"/>
          <w:color w:val="auto"/>
        </w:rPr>
      </w:pPr>
    </w:p>
    <w:p>
      <w:pPr>
        <w:ind w:left="300" w:right="5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The certificate of retirement of Class 1 common stock of the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which amended certain provisions of the Second Amended and Restated Certificate, was filed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Secretary of State of the State of Delaware on October 1, 2020.</w:t>
      </w:r>
    </w:p>
    <w:p>
      <w:pPr>
        <w:spacing w:after="0" w:line="63" w:lineRule="exact"/>
        <w:rPr>
          <w:sz w:val="20"/>
          <w:szCs w:val="20"/>
          <w:color w:val="auto"/>
        </w:rPr>
      </w:pPr>
    </w:p>
    <w:p>
      <w:pPr>
        <w:ind w:left="30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The certificate of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“First Certificate of Amendment”</w:t>
      </w:r>
      <w:r>
        <w:rPr>
          <w:rFonts w:ascii="Times New Roman" w:cs="Times New Roman" w:eastAsia="Times New Roman" w:hAnsi="Times New Roman"/>
          <w:sz w:val="18"/>
          <w:szCs w:val="18"/>
          <w:color w:val="auto"/>
        </w:rPr>
        <w:t>), which amended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Second Amended and Restated Certificate, was filed with the Secretary of State of the State of Delaware on September 10, 2021.</w:t>
      </w:r>
    </w:p>
    <w:p>
      <w:pPr>
        <w:spacing w:after="0" w:line="63" w:lineRule="exact"/>
        <w:rPr>
          <w:sz w:val="20"/>
          <w:szCs w:val="20"/>
          <w:color w:val="auto"/>
        </w:rPr>
      </w:pPr>
    </w:p>
    <w:p>
      <w:pPr>
        <w:ind w:left="30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SIX: </w:t>
      </w:r>
      <w:r>
        <w:rPr>
          <w:rFonts w:ascii="Times New Roman" w:cs="Times New Roman" w:eastAsia="Times New Roman" w:hAnsi="Times New Roman"/>
          <w:sz w:val="18"/>
          <w:szCs w:val="18"/>
          <w:color w:val="auto"/>
        </w:rPr>
        <w:t>The second certificate of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“Second Certificate of Amendment”</w:t>
      </w:r>
      <w:r>
        <w:rPr>
          <w:rFonts w:ascii="Times New Roman" w:cs="Times New Roman" w:eastAsia="Times New Roman" w:hAnsi="Times New Roman"/>
          <w:sz w:val="18"/>
          <w:szCs w:val="18"/>
          <w:color w:val="auto"/>
        </w:rPr>
        <w:t>), which amended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provisions of the Second Amended and Restated Certificate, was filed with the Secretary of State of the State of Delaware on January 10, 2022, and a Certificate of Designation of Series A Preferred Stock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w:t>
      </w:r>
      <w:r>
        <w:rPr>
          <w:rFonts w:ascii="Times New Roman" w:cs="Times New Roman" w:eastAsia="Times New Roman" w:hAnsi="Times New Roman"/>
          <w:sz w:val="18"/>
          <w:szCs w:val="18"/>
          <w:color w:val="auto"/>
        </w:rPr>
        <w:t>), which designated 120,000 shares of Preferred Stock as “Series A Preferred Stock” that have already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automatically converted into shares of Common Stock in accordance with the terms of the Certificate of Designation, was filed with the Secretary of State of the State of Delaware on February 21, 2023.</w:t>
      </w:r>
    </w:p>
    <w:p>
      <w:pPr>
        <w:spacing w:after="0" w:line="74" w:lineRule="exact"/>
        <w:rPr>
          <w:sz w:val="20"/>
          <w:szCs w:val="20"/>
          <w:color w:val="auto"/>
        </w:rPr>
      </w:pPr>
    </w:p>
    <w:p>
      <w:pPr>
        <w:ind w:left="300" w:right="5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SEVEN</w:t>
      </w:r>
      <w:r>
        <w:rPr>
          <w:rFonts w:ascii="Times New Roman" w:cs="Times New Roman" w:eastAsia="Times New Roman" w:hAnsi="Times New Roman"/>
          <w:sz w:val="18"/>
          <w:szCs w:val="18"/>
          <w:color w:val="auto"/>
        </w:rPr>
        <w:t>: The third amended and restated certificate of incorporation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i w:val="1"/>
          <w:iCs w:val="1"/>
          <w:u w:val="single" w:color="auto"/>
          <w:color w:val="EB002A"/>
          <w:strike w:val="1"/>
        </w:rPr>
        <w:t>Existing</w:t>
      </w:r>
      <w:r>
        <w:rPr>
          <w:rFonts w:ascii="Times New Roman" w:cs="Times New Roman" w:eastAsia="Times New Roman" w:hAnsi="Times New Roman"/>
          <w:sz w:val="18"/>
          <w:szCs w:val="18"/>
          <w:b w:val="1"/>
          <w:bCs w:val="1"/>
          <w:i w:val="1"/>
          <w:iCs w:val="1"/>
          <w:color w:val="00489A"/>
        </w:rPr>
        <w:t>Third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00489A"/>
        </w:rPr>
        <w:t xml:space="preserve">Restated </w:t>
      </w:r>
      <w:r>
        <w:rPr>
          <w:rFonts w:ascii="Times New Roman" w:cs="Times New Roman" w:eastAsia="Times New Roman" w:hAnsi="Times New Roman"/>
          <w:sz w:val="18"/>
          <w:szCs w:val="18"/>
          <w:b w:val="1"/>
          <w:bCs w:val="1"/>
          <w:i w:val="1"/>
          <w:iCs w:val="1"/>
          <w:color w:val="000000"/>
        </w:rPr>
        <w:t>Certificate”</w:t>
      </w:r>
      <w:r>
        <w:rPr>
          <w:rFonts w:ascii="Times New Roman" w:cs="Times New Roman" w:eastAsia="Times New Roman" w:hAnsi="Times New Roman"/>
          <w:sz w:val="18"/>
          <w:szCs w:val="18"/>
          <w:color w:val="000000"/>
        </w:rPr>
        <w:t>), which amended</w:t>
      </w:r>
      <w:r>
        <w:rPr>
          <w:rFonts w:ascii="Times New Roman" w:cs="Times New Roman" w:eastAsia="Times New Roman" w:hAnsi="Times New Roman"/>
          <w:sz w:val="18"/>
          <w:szCs w:val="18"/>
          <w:b w:val="1"/>
          <w:bCs w:val="1"/>
          <w:i w:val="1"/>
          <w:iCs w:val="1"/>
          <w:color w:val="00489A"/>
        </w:rPr>
        <w:t xml:space="preserve"> </w:t>
      </w:r>
      <w:r>
        <w:rPr>
          <w:rFonts w:ascii="Times New Roman" w:cs="Times New Roman" w:eastAsia="Times New Roman" w:hAnsi="Times New Roman"/>
          <w:sz w:val="18"/>
          <w:szCs w:val="18"/>
          <w:u w:val="single" w:color="auto"/>
          <w:color w:val="EB002A"/>
          <w:strike w:val="1"/>
        </w:rPr>
        <w:t>certain provisions of</w:t>
      </w:r>
      <w:r>
        <w:rPr>
          <w:rFonts w:ascii="Times New Roman" w:cs="Times New Roman" w:eastAsia="Times New Roman" w:hAnsi="Times New Roman"/>
          <w:sz w:val="18"/>
          <w:szCs w:val="18"/>
          <w:b w:val="1"/>
          <w:bCs w:val="1"/>
          <w:i w:val="1"/>
          <w:iCs w:val="1"/>
          <w:color w:val="00489A"/>
        </w:rPr>
        <w:t xml:space="preserve"> </w:t>
      </w:r>
      <w:r>
        <w:rPr>
          <w:rFonts w:ascii="Times New Roman" w:cs="Times New Roman" w:eastAsia="Times New Roman" w:hAnsi="Times New Roman"/>
          <w:sz w:val="18"/>
          <w:szCs w:val="18"/>
          <w:color w:val="00489A"/>
        </w:rPr>
        <w:t>and restated in its entirety</w:t>
      </w:r>
      <w:r>
        <w:rPr>
          <w:rFonts w:ascii="Times New Roman" w:cs="Times New Roman" w:eastAsia="Times New Roman" w:hAnsi="Times New Roman"/>
          <w:sz w:val="18"/>
          <w:szCs w:val="18"/>
          <w:b w:val="1"/>
          <w:bCs w:val="1"/>
          <w:i w:val="1"/>
          <w:iCs w:val="1"/>
          <w:color w:val="00489A"/>
        </w:rPr>
        <w:t xml:space="preserve"> </w:t>
      </w:r>
      <w:r>
        <w:rPr>
          <w:rFonts w:ascii="Times New Roman" w:cs="Times New Roman" w:eastAsia="Times New Roman" w:hAnsi="Times New Roman"/>
          <w:sz w:val="18"/>
          <w:szCs w:val="18"/>
          <w:color w:val="000000"/>
        </w:rPr>
        <w:t>the Second Amended and</w:t>
      </w:r>
      <w:r>
        <w:rPr>
          <w:rFonts w:ascii="Times New Roman" w:cs="Times New Roman" w:eastAsia="Times New Roman" w:hAnsi="Times New Roman"/>
          <w:sz w:val="18"/>
          <w:szCs w:val="18"/>
          <w:b w:val="1"/>
          <w:bCs w:val="1"/>
          <w:i w:val="1"/>
          <w:iCs w:val="1"/>
          <w:color w:val="00489A"/>
        </w:rPr>
        <w:t xml:space="preserve"> </w:t>
      </w:r>
      <w:r>
        <w:rPr>
          <w:rFonts w:ascii="Times New Roman" w:cs="Times New Roman" w:eastAsia="Times New Roman" w:hAnsi="Times New Roman"/>
          <w:sz w:val="18"/>
          <w:szCs w:val="18"/>
          <w:color w:val="000000"/>
        </w:rPr>
        <w:t>Restated Certificate, was filed with the Secretary of State of the State of Delaware on March 20, 2023.</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0489A"/>
        </w:rPr>
        <w:t>EIGHT</w:t>
      </w:r>
    </w:p>
    <w:p>
      <w:pPr>
        <w:spacing w:after="0" w:line="31" w:lineRule="exact"/>
        <w:rPr>
          <w:sz w:val="20"/>
          <w:szCs w:val="20"/>
          <w:color w:val="auto"/>
        </w:rPr>
      </w:pPr>
    </w:p>
    <w:p>
      <w:pPr>
        <w:ind w:left="740" w:hanging="88"/>
        <w:spacing w:after="0"/>
        <w:tabs>
          <w:tab w:leader="none" w:pos="740" w:val="left"/>
        </w:tabs>
        <w:numPr>
          <w:ilvl w:val="0"/>
          <w:numId w:val="55"/>
        </w:numPr>
        <w:rPr>
          <w:rFonts w:ascii="Times New Roman" w:cs="Times New Roman" w:eastAsia="Times New Roman" w:hAnsi="Times New Roman"/>
          <w:sz w:val="18"/>
          <w:szCs w:val="18"/>
          <w:color w:val="00489A"/>
        </w:rPr>
      </w:pPr>
      <w:r>
        <w:rPr>
          <w:rFonts w:ascii="Times New Roman" w:cs="Times New Roman" w:eastAsia="Times New Roman" w:hAnsi="Times New Roman"/>
          <w:sz w:val="18"/>
          <w:szCs w:val="18"/>
          <w:color w:val="00489A"/>
        </w:rPr>
        <w:t>The fourth amended and restated certificate of incorporation (the</w:t>
      </w:r>
    </w:p>
    <w:p>
      <w:pPr>
        <w:spacing w:after="0" w:line="9" w:lineRule="exact"/>
        <w:rPr>
          <w:rFonts w:ascii="Times New Roman" w:cs="Times New Roman" w:eastAsia="Times New Roman" w:hAnsi="Times New Roman"/>
          <w:sz w:val="18"/>
          <w:szCs w:val="18"/>
          <w:color w:val="00489A"/>
        </w:rPr>
      </w:pPr>
    </w:p>
    <w:p>
      <w:pPr>
        <w:ind w:left="660"/>
        <w:spacing w:after="0"/>
        <w:rPr>
          <w:rFonts w:ascii="Times New Roman" w:cs="Times New Roman" w:eastAsia="Times New Roman" w:hAnsi="Times New Roman"/>
          <w:sz w:val="18"/>
          <w:szCs w:val="18"/>
          <w:color w:val="00489A"/>
        </w:rPr>
      </w:pPr>
      <w:r>
        <w:rPr>
          <w:rFonts w:ascii="Times New Roman" w:cs="Times New Roman" w:eastAsia="Times New Roman" w:hAnsi="Times New Roman"/>
          <w:sz w:val="18"/>
          <w:szCs w:val="18"/>
          <w:i w:val="1"/>
          <w:iCs w:val="1"/>
          <w:color w:val="00489A"/>
        </w:rPr>
        <w:t>“</w:t>
      </w:r>
    </w:p>
    <w:p>
      <w:pPr>
        <w:spacing w:after="0" w:line="9" w:lineRule="exact"/>
        <w:rPr>
          <w:rFonts w:ascii="Times New Roman" w:cs="Times New Roman" w:eastAsia="Times New Roman" w:hAnsi="Times New Roman"/>
          <w:sz w:val="18"/>
          <w:szCs w:val="18"/>
          <w:color w:val="00489A"/>
        </w:rPr>
      </w:pPr>
    </w:p>
    <w:p>
      <w:pPr>
        <w:ind w:left="660"/>
        <w:spacing w:after="0"/>
        <w:rPr>
          <w:rFonts w:ascii="Times New Roman" w:cs="Times New Roman" w:eastAsia="Times New Roman" w:hAnsi="Times New Roman"/>
          <w:sz w:val="18"/>
          <w:szCs w:val="18"/>
          <w:color w:val="00489A"/>
        </w:rPr>
      </w:pPr>
      <w:r>
        <w:rPr>
          <w:rFonts w:ascii="Times New Roman" w:cs="Times New Roman" w:eastAsia="Times New Roman" w:hAnsi="Times New Roman"/>
          <w:sz w:val="18"/>
          <w:szCs w:val="18"/>
          <w:b w:val="1"/>
          <w:bCs w:val="1"/>
          <w:i w:val="1"/>
          <w:iCs w:val="1"/>
          <w:color w:val="00489A"/>
        </w:rPr>
        <w:t>Existing Certificate</w:t>
      </w:r>
    </w:p>
    <w:p>
      <w:pPr>
        <w:spacing w:after="0" w:line="9" w:lineRule="exact"/>
        <w:rPr>
          <w:rFonts w:ascii="Times New Roman" w:cs="Times New Roman" w:eastAsia="Times New Roman" w:hAnsi="Times New Roman"/>
          <w:sz w:val="18"/>
          <w:szCs w:val="18"/>
          <w:color w:val="00489A"/>
        </w:rPr>
      </w:pPr>
    </w:p>
    <w:p>
      <w:pPr>
        <w:ind w:left="660"/>
        <w:spacing w:after="0"/>
        <w:rPr>
          <w:rFonts w:ascii="Times New Roman" w:cs="Times New Roman" w:eastAsia="Times New Roman" w:hAnsi="Times New Roman"/>
          <w:sz w:val="18"/>
          <w:szCs w:val="18"/>
          <w:color w:val="00489A"/>
        </w:rPr>
      </w:pPr>
      <w:r>
        <w:rPr>
          <w:rFonts w:ascii="Times New Roman" w:cs="Times New Roman" w:eastAsia="Times New Roman" w:hAnsi="Times New Roman"/>
          <w:sz w:val="18"/>
          <w:szCs w:val="18"/>
          <w:i w:val="1"/>
          <w:iCs w:val="1"/>
          <w:color w:val="00489A"/>
        </w:rPr>
        <w:t>”</w:t>
      </w:r>
    </w:p>
    <w:p>
      <w:pPr>
        <w:spacing w:after="0" w:line="9" w:lineRule="exact"/>
        <w:rPr>
          <w:rFonts w:ascii="Times New Roman" w:cs="Times New Roman" w:eastAsia="Times New Roman" w:hAnsi="Times New Roman"/>
          <w:sz w:val="18"/>
          <w:szCs w:val="18"/>
          <w:color w:val="00489A"/>
        </w:rPr>
      </w:pPr>
    </w:p>
    <w:p>
      <w:pPr>
        <w:ind w:left="660"/>
        <w:spacing w:after="0"/>
        <w:rPr>
          <w:rFonts w:ascii="Times New Roman" w:cs="Times New Roman" w:eastAsia="Times New Roman" w:hAnsi="Times New Roman"/>
          <w:sz w:val="18"/>
          <w:szCs w:val="18"/>
          <w:color w:val="00489A"/>
        </w:rPr>
      </w:pPr>
      <w:r>
        <w:rPr>
          <w:rFonts w:ascii="Times New Roman" w:cs="Times New Roman" w:eastAsia="Times New Roman" w:hAnsi="Times New Roman"/>
          <w:sz w:val="18"/>
          <w:szCs w:val="18"/>
          <w:color w:val="00489A"/>
        </w:rPr>
        <w:t>), which amended and restated in its entirety the Third Amended and Restated Certificate, was filed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00489A"/>
        </w:rPr>
        <w:t>Secretary of State of the State of Delaware on November 30, 2023.</w:t>
      </w:r>
    </w:p>
    <w:p>
      <w:pPr>
        <w:spacing w:after="0" w:line="95" w:lineRule="exact"/>
        <w:rPr>
          <w:sz w:val="20"/>
          <w:szCs w:val="20"/>
          <w:color w:val="auto"/>
        </w:rPr>
      </w:pPr>
    </w:p>
    <w:p>
      <w:pPr>
        <w:ind w:left="300" w:right="519" w:firstLine="3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EB002A"/>
          <w:strike w:val="1"/>
        </w:rPr>
        <w:t>EIGHT</w:t>
      </w:r>
      <w:r>
        <w:rPr>
          <w:rFonts w:ascii="Times New Roman" w:cs="Times New Roman" w:eastAsia="Times New Roman" w:hAnsi="Times New Roman"/>
          <w:sz w:val="18"/>
          <w:szCs w:val="18"/>
          <w:b w:val="1"/>
          <w:bCs w:val="1"/>
          <w:color w:val="00489A"/>
        </w:rPr>
        <w:t>NINE</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color w:val="000000"/>
        </w:rPr>
        <w:t>This fifth amended and restated certificate of incorporation (this</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b w:val="1"/>
          <w:bCs w:val="1"/>
          <w:i w:val="1"/>
          <w:iCs w:val="1"/>
          <w:color w:val="000000"/>
        </w:rPr>
        <w:t>“Amended and Restated</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b w:val="1"/>
          <w:bCs w:val="1"/>
          <w:i w:val="1"/>
          <w:iCs w:val="1"/>
          <w:color w:val="000000"/>
        </w:rPr>
        <w:t xml:space="preserve">Certificate of Incorporation”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b w:val="1"/>
          <w:bCs w:val="1"/>
          <w:i w:val="1"/>
          <w:iCs w:val="1"/>
          <w:color w:val="000000"/>
        </w:rPr>
        <w:t xml:space="preserve"> “Restated Certificate”</w:t>
      </w:r>
      <w:r>
        <w:rPr>
          <w:rFonts w:ascii="Times New Roman" w:cs="Times New Roman" w:eastAsia="Times New Roman" w:hAnsi="Times New Roman"/>
          <w:sz w:val="18"/>
          <w:szCs w:val="18"/>
          <w:color w:val="000000"/>
        </w:rPr>
        <w:t>), which amends and restates the Existing Certificate in its</w:t>
      </w:r>
      <w:r>
        <w:rPr>
          <w:rFonts w:ascii="Times New Roman" w:cs="Times New Roman" w:eastAsia="Times New Roman" w:hAnsi="Times New Roman"/>
          <w:sz w:val="18"/>
          <w:szCs w:val="18"/>
          <w:b w:val="1"/>
          <w:bCs w:val="1"/>
          <w:i w:val="1"/>
          <w:iCs w:val="1"/>
          <w:color w:val="000000"/>
        </w:rPr>
        <w:t xml:space="preserve"> </w:t>
      </w:r>
      <w:r>
        <w:rPr>
          <w:rFonts w:ascii="Times New Roman" w:cs="Times New Roman" w:eastAsia="Times New Roman" w:hAnsi="Times New Roman"/>
          <w:sz w:val="18"/>
          <w:szCs w:val="18"/>
          <w:color w:val="000000"/>
        </w:rPr>
        <w:t>entirety, was duly adopted in accordance with Sections 242 and 245 of the DGCL, and by the Corporation’s stockholders in accordance with Section 212 of the DGCL.</w:t>
      </w:r>
    </w:p>
    <w:p>
      <w:pPr>
        <w:spacing w:after="0" w:line="68"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EB002A"/>
          <w:strike w:val="1"/>
        </w:rPr>
        <w:t>NINE</w:t>
      </w:r>
      <w:r>
        <w:rPr>
          <w:rFonts w:ascii="Times New Roman" w:cs="Times New Roman" w:eastAsia="Times New Roman" w:hAnsi="Times New Roman"/>
          <w:sz w:val="18"/>
          <w:szCs w:val="18"/>
          <w:b w:val="1"/>
          <w:bCs w:val="1"/>
          <w:color w:val="00489A"/>
        </w:rPr>
        <w:t>TEN</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color w:val="000000"/>
        </w:rPr>
        <w:t>This Amended and Restated Certificate of Incorporation shall become effective upon filing with</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color w:val="000000"/>
        </w:rPr>
        <w:t xml:space="preserve">the Secretary of State of the State of Delaware (the </w:t>
      </w:r>
      <w:r>
        <w:rPr>
          <w:rFonts w:ascii="Times New Roman" w:cs="Times New Roman" w:eastAsia="Times New Roman" w:hAnsi="Times New Roman"/>
          <w:sz w:val="18"/>
          <w:szCs w:val="18"/>
          <w:b w:val="1"/>
          <w:bCs w:val="1"/>
          <w:i w:val="1"/>
          <w:iCs w:val="1"/>
          <w:color w:val="000000"/>
        </w:rPr>
        <w:t>“Effective Time”</w:t>
      </w:r>
      <w:r>
        <w:rPr>
          <w:rFonts w:ascii="Times New Roman" w:cs="Times New Roman" w:eastAsia="Times New Roman" w:hAnsi="Times New Roman"/>
          <w:sz w:val="18"/>
          <w:szCs w:val="18"/>
          <w:color w:val="000000"/>
        </w:rPr>
        <w: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b w:val="1"/>
          <w:bCs w:val="1"/>
          <w:u w:val="single" w:color="auto"/>
          <w:color w:val="EB002A"/>
          <w:strike w:val="1"/>
        </w:rPr>
        <w:t>TEN</w:t>
      </w:r>
      <w:r>
        <w:rPr>
          <w:rFonts w:ascii="Times New Roman" w:cs="Times New Roman" w:eastAsia="Times New Roman" w:hAnsi="Times New Roman"/>
          <w:sz w:val="18"/>
          <w:szCs w:val="18"/>
          <w:b w:val="1"/>
          <w:bCs w:val="1"/>
          <w:color w:val="00489A"/>
        </w:rPr>
        <w:t>ELEVEN</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EB002A"/>
        </w:rPr>
        <w:t xml:space="preserve"> </w:t>
      </w:r>
      <w:r>
        <w:rPr>
          <w:rFonts w:ascii="Times New Roman" w:cs="Times New Roman" w:eastAsia="Times New Roman" w:hAnsi="Times New Roman"/>
          <w:sz w:val="18"/>
          <w:szCs w:val="18"/>
          <w:color w:val="000000"/>
        </w:rPr>
        <w:t>The Existing Certificate is hereby amended and restated to read as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I.</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name of this corporation shall be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rands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II.</w:t>
      </w:r>
    </w:p>
    <w:p>
      <w:pPr>
        <w:spacing w:after="0" w:line="104"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to be 251 Little Falls Drive, Wilmington, DE 19808, County of New Castle and the name of the registered agent of the Company in the State of Delaware at such address is Corporation Service Company.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III.</w:t>
      </w:r>
    </w:p>
    <w:p>
      <w:pPr>
        <w:spacing w:after="0" w:line="104" w:lineRule="exact"/>
        <w:rPr>
          <w:sz w:val="20"/>
          <w:szCs w:val="20"/>
          <w:color w:val="auto"/>
        </w:rPr>
      </w:pPr>
    </w:p>
    <w:p>
      <w:pPr>
        <w:ind w:left="300" w:right="101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DGCL.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IV.</w:t>
      </w:r>
    </w:p>
    <w:p>
      <w:pPr>
        <w:spacing w:after="0" w:line="104" w:lineRule="exact"/>
        <w:rPr>
          <w:sz w:val="20"/>
          <w:szCs w:val="20"/>
          <w:color w:val="auto"/>
        </w:rPr>
      </w:pPr>
    </w:p>
    <w:p>
      <w:pPr>
        <w:ind w:left="1000" w:right="419" w:hanging="348"/>
        <w:spacing w:after="0" w:line="255" w:lineRule="auto"/>
        <w:tabs>
          <w:tab w:leader="none" w:pos="10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 is authorized to issue two classes of stock to be designated, respectively, “Common Stock” and “Preferred Stock.” The total number of shares that the Company is authorized to issue is </w:t>
      </w:r>
      <w:r>
        <w:rPr>
          <w:rFonts w:ascii="Times New Roman" w:cs="Times New Roman" w:eastAsia="Times New Roman" w:hAnsi="Times New Roman"/>
          <w:sz w:val="18"/>
          <w:szCs w:val="18"/>
          <w:u w:val="single" w:color="auto"/>
          <w:color w:val="EB002A"/>
          <w:strike w:val="1"/>
        </w:rPr>
        <w:t>One Billion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EB002A"/>
          <w:strike w:val="1"/>
        </w:rPr>
        <w:t>Two Hundred Eight Million_(1,208,000,000)</w:t>
      </w:r>
      <w:r>
        <w:rPr>
          <w:rFonts w:ascii="Times New Roman" w:cs="Times New Roman" w:eastAsia="Times New Roman" w:hAnsi="Times New Roman"/>
          <w:sz w:val="18"/>
          <w:szCs w:val="18"/>
          <w:color w:val="EB002A"/>
        </w:rPr>
        <w:t xml:space="preserve"> </w:t>
      </w:r>
      <w:r>
        <w:rPr>
          <w:rFonts w:ascii="Times New Roman" w:cs="Times New Roman" w:eastAsia="Times New Roman" w:hAnsi="Times New Roman"/>
          <w:sz w:val="18"/>
          <w:szCs w:val="18"/>
          <w:color w:val="00489A"/>
        </w:rPr>
        <w:t>One Billion Four Hundred Twenty-Six Million</w:t>
      </w:r>
      <w:r>
        <w:rPr>
          <w:rFonts w:ascii="Times New Roman" w:cs="Times New Roman" w:eastAsia="Times New Roman" w:hAnsi="Times New Roman"/>
          <w:sz w:val="18"/>
          <w:szCs w:val="18"/>
          <w:color w:val="EB002A"/>
        </w:rPr>
        <w:t xml:space="preserve"> </w:t>
      </w:r>
      <w:r>
        <w:rPr>
          <w:rFonts w:ascii="Times New Roman" w:cs="Times New Roman" w:eastAsia="Times New Roman" w:hAnsi="Times New Roman"/>
          <w:sz w:val="18"/>
          <w:szCs w:val="18"/>
          <w:color w:val="00489A"/>
        </w:rPr>
        <w:t xml:space="preserve">(1,426,000,000) </w:t>
      </w:r>
      <w:r>
        <w:rPr>
          <w:rFonts w:ascii="Times New Roman" w:cs="Times New Roman" w:eastAsia="Times New Roman" w:hAnsi="Times New Roman"/>
          <w:sz w:val="18"/>
          <w:szCs w:val="18"/>
          <w:color w:val="000000"/>
        </w:rPr>
        <w:t>shares of which</w:t>
      </w:r>
    </w:p>
    <w:p>
      <w:pPr>
        <w:spacing w:after="0" w:line="2" w:lineRule="exact"/>
        <w:rPr>
          <w:rFonts w:ascii="Times New Roman" w:cs="Times New Roman" w:eastAsia="Times New Roman" w:hAnsi="Times New Roman"/>
          <w:sz w:val="18"/>
          <w:szCs w:val="18"/>
          <w:b w:val="1"/>
          <w:bCs w:val="1"/>
          <w:color w:val="auto"/>
        </w:rPr>
      </w:pPr>
    </w:p>
    <w:p>
      <w:pPr>
        <w:ind w:left="1000" w:right="3379"/>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EB002A"/>
        </w:rPr>
        <w:t xml:space="preserve">One Billion One Hundred Ninety-Eight Million (1,198,000,000) </w:t>
      </w:r>
      <w:r>
        <w:rPr>
          <w:rFonts w:ascii="Times New Roman" w:cs="Times New Roman" w:eastAsia="Times New Roman" w:hAnsi="Times New Roman"/>
          <w:sz w:val="18"/>
          <w:szCs w:val="18"/>
          <w:color w:val="00489A"/>
        </w:rPr>
        <w:t>One Billion Four Hundred Sixteen Million (1,416,000,000)</w:t>
      </w:r>
    </w:p>
    <w:p>
      <w:pPr>
        <w:ind w:left="1000" w:right="31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shares shall be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xml:space="preserve">), and Ten Million (10,000,000) shares of which shall be Preferred Stock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pacing w:after="0" w:line="77" w:lineRule="exact"/>
        <w:rPr>
          <w:rFonts w:ascii="Times New Roman" w:cs="Times New Roman" w:eastAsia="Times New Roman" w:hAnsi="Times New Roman"/>
          <w:sz w:val="18"/>
          <w:szCs w:val="18"/>
          <w:b w:val="1"/>
          <w:bCs w:val="1"/>
          <w:color w:val="auto"/>
        </w:rPr>
      </w:pPr>
    </w:p>
    <w:p>
      <w:pPr>
        <w:ind w:left="1020" w:right="20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EB002A"/>
          <w:strike w:val="1"/>
        </w:rPr>
        <w:t xml:space="preserve">Immediately upon the Effective Time, and without any further action on the part of </w:t>
      </w:r>
      <w:r>
        <w:rPr>
          <w:rFonts w:ascii="Times New Roman" w:cs="Times New Roman" w:eastAsia="Times New Roman" w:hAnsi="Times New Roman"/>
          <w:sz w:val="18"/>
          <w:szCs w:val="18"/>
          <w:color w:val="00489A"/>
          <w:strike w:val="1"/>
        </w:rPr>
        <w:t xml:space="preserve">The </w:t>
      </w:r>
      <w:r>
        <w:rPr>
          <w:rFonts w:ascii="Times New Roman" w:cs="Times New Roman" w:eastAsia="Times New Roman" w:hAnsi="Times New Roman"/>
          <w:sz w:val="18"/>
          <w:szCs w:val="18"/>
          <w:color w:val="000000"/>
          <w:strike w:val="1"/>
        </w:rPr>
        <w:t>Company</w:t>
      </w:r>
    </w:p>
    <w:p>
      <w:pPr>
        <w:ind w:left="1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00489A"/>
        </w:rPr>
        <w:t>previously reclassified</w:t>
      </w:r>
    </w:p>
    <w:p>
      <w:pPr>
        <w:spacing w:after="0" w:line="9" w:lineRule="exact"/>
        <w:rPr>
          <w:rFonts w:ascii="Times New Roman" w:cs="Times New Roman" w:eastAsia="Times New Roman" w:hAnsi="Times New Roman"/>
          <w:sz w:val="18"/>
          <w:szCs w:val="18"/>
          <w:b w:val="1"/>
          <w:bCs w:val="1"/>
          <w:color w:val="auto"/>
        </w:rPr>
      </w:pPr>
    </w:p>
    <w:p>
      <w:pPr>
        <w:jc w:val="both"/>
        <w:ind w:left="1020" w:right="3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each share of Class 2 common stock, par value $0.0001 per share, of the Company </w:t>
      </w:r>
      <w:r>
        <w:rPr>
          <w:rFonts w:ascii="Times New Roman" w:cs="Times New Roman" w:eastAsia="Times New Roman" w:hAnsi="Times New Roman"/>
          <w:sz w:val="18"/>
          <w:szCs w:val="18"/>
          <w:u w:val="single" w:color="auto"/>
          <w:color w:val="EB002A"/>
          <w:strike w:val="1"/>
        </w:rPr>
        <w:t>issued and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EB002A"/>
          <w:strike w:val="1"/>
        </w:rPr>
        <w:t>prior to the Effective Time, shall automatically be reclassified</w:t>
      </w:r>
      <w:r>
        <w:rPr>
          <w:rFonts w:ascii="Times New Roman" w:cs="Times New Roman" w:eastAsia="Times New Roman" w:hAnsi="Times New Roman"/>
          <w:sz w:val="18"/>
          <w:szCs w:val="18"/>
          <w:color w:val="EB002A"/>
        </w:rPr>
        <w:t xml:space="preserve"> </w:t>
      </w:r>
      <w:r>
        <w:rPr>
          <w:rFonts w:ascii="Times New Roman" w:cs="Times New Roman" w:eastAsia="Times New Roman" w:hAnsi="Times New Roman"/>
          <w:sz w:val="18"/>
          <w:szCs w:val="18"/>
          <w:color w:val="000000"/>
        </w:rPr>
        <w:t>as one fully paid and nonassessable share of</w:t>
      </w:r>
      <w:r>
        <w:rPr>
          <w:rFonts w:ascii="Times New Roman" w:cs="Times New Roman" w:eastAsia="Times New Roman" w:hAnsi="Times New Roman"/>
          <w:sz w:val="18"/>
          <w:szCs w:val="18"/>
          <w:color w:val="EB002A"/>
        </w:rPr>
        <w:t xml:space="preserve"> </w:t>
      </w:r>
      <w:r>
        <w:rPr>
          <w:rFonts w:ascii="Times New Roman" w:cs="Times New Roman" w:eastAsia="Times New Roman" w:hAnsi="Times New Roman"/>
          <w:sz w:val="18"/>
          <w:szCs w:val="18"/>
          <w:color w:val="000000"/>
        </w:rPr>
        <w:t>Common Stock.</w:t>
      </w:r>
    </w:p>
    <w:p>
      <w:pPr>
        <w:spacing w:after="0" w:line="77" w:lineRule="exact"/>
        <w:rPr>
          <w:rFonts w:ascii="Times New Roman" w:cs="Times New Roman" w:eastAsia="Times New Roman" w:hAnsi="Times New Roman"/>
          <w:sz w:val="18"/>
          <w:szCs w:val="18"/>
          <w:b w:val="1"/>
          <w:bCs w:val="1"/>
          <w:color w:val="auto"/>
        </w:rPr>
      </w:pPr>
    </w:p>
    <w:p>
      <w:pPr>
        <w:ind w:left="1000" w:right="339" w:hanging="348"/>
        <w:spacing w:after="0" w:line="255" w:lineRule="auto"/>
        <w:tabs>
          <w:tab w:leader="none" w:pos="10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Designation”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b w:val="1"/>
          <w:bCs w:val="1"/>
          <w:color w:val="auto"/>
        </w:rPr>
      </w:pPr>
    </w:p>
    <w:p>
      <w:pPr>
        <w:ind w:left="1000" w:right="319" w:hanging="348"/>
        <w:spacing w:after="0" w:line="253" w:lineRule="auto"/>
        <w:tabs>
          <w:tab w:leader="none" w:pos="10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Preferred Stock authorized by this Amended and Restated Certificate of Incorporation may be issued from time to time in one or more series. The board of directors of the Company (the </w:t>
      </w:r>
      <w:r>
        <w:rPr>
          <w:rFonts w:ascii="Times New Roman" w:cs="Times New Roman" w:eastAsia="Times New Roman" w:hAnsi="Times New Roman"/>
          <w:sz w:val="18"/>
          <w:szCs w:val="18"/>
          <w:b w:val="1"/>
          <w:bCs w:val="1"/>
          <w:i w:val="1"/>
          <w:iCs w:val="1"/>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is hereby expressly authorized to provide for the issue of all or any of the shares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9" w:name="page70"/>
    <w:bookmarkEnd w:id="69"/>
    <w:p>
      <w:pPr>
        <w:ind w:left="1000" w:right="459" w:hanging="348"/>
        <w:spacing w:after="0" w:line="282" w:lineRule="auto"/>
        <w:tabs>
          <w:tab w:leader="none" w:pos="100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above, the rights, preferences, privileges, restrictions and other matters relating to the Common Stock are as follows:</w:t>
      </w:r>
    </w:p>
    <w:p>
      <w:pPr>
        <w:spacing w:after="0" w:line="120"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58"/>
        </w:numPr>
        <w:rPr>
          <w:rFonts w:ascii="Arial" w:cs="Arial" w:eastAsia="Arial" w:hAnsi="Arial"/>
          <w:sz w:val="18"/>
          <w:szCs w:val="18"/>
          <w:b w:val="1"/>
          <w:bCs w:val="1"/>
          <w:color w:val="00489A"/>
        </w:rPr>
      </w:pPr>
      <w:r>
        <w:rPr>
          <w:rFonts w:ascii="Arial" w:cs="Arial" w:eastAsia="Arial" w:hAnsi="Arial"/>
          <w:sz w:val="18"/>
          <w:szCs w:val="18"/>
          <w:b w:val="1"/>
          <w:bCs w:val="1"/>
          <w:color w:val="00489A"/>
        </w:rPr>
        <w:t>Definitions</w:t>
      </w:r>
      <w:r>
        <w:rPr>
          <w:rFonts w:ascii="Arial" w:cs="Arial" w:eastAsia="Arial" w:hAnsi="Arial"/>
          <w:sz w:val="18"/>
          <w:szCs w:val="18"/>
          <w:color w:val="00489A"/>
        </w:rPr>
        <w:t>. For purposes of this Article IV(D), the following definitions shall apply:</w:t>
      </w:r>
    </w:p>
    <w:p>
      <w:pPr>
        <w:spacing w:after="0" w:line="100" w:lineRule="exact"/>
        <w:rPr>
          <w:sz w:val="20"/>
          <w:szCs w:val="20"/>
          <w:color w:val="auto"/>
        </w:rPr>
      </w:pPr>
    </w:p>
    <w:p>
      <w:pPr>
        <w:ind w:left="1720" w:right="299" w:hanging="35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b w:val="1"/>
          <w:bCs w:val="1"/>
          <w:i w:val="1"/>
          <w:iCs w:val="1"/>
          <w:color w:val="auto"/>
        </w:rPr>
        <w:t>“Change of Control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 the sale, lease, exchange, or other disposition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w:t>
      </w:r>
    </w:p>
    <w:p>
      <w:pPr>
        <w:spacing w:after="0" w:line="92" w:lineRule="exact"/>
        <w:rPr>
          <w:sz w:val="20"/>
          <w:szCs w:val="20"/>
          <w:color w:val="auto"/>
        </w:rPr>
      </w:pPr>
    </w:p>
    <w:p>
      <w:pPr>
        <w:ind w:left="1720" w:right="839" w:hanging="348"/>
        <w:spacing w:after="0" w:line="291" w:lineRule="auto"/>
        <w:tabs>
          <w:tab w:leader="none" w:pos="1720" w:val="left"/>
        </w:tabs>
        <w:numPr>
          <w:ilvl w:val="1"/>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 xml:space="preserve">“Distribution” </w:t>
      </w:r>
      <w:r>
        <w:rPr>
          <w:rFonts w:ascii="Times New Roman" w:cs="Times New Roman" w:eastAsia="Times New Roman" w:hAnsi="Times New Roman"/>
          <w:sz w:val="17"/>
          <w:szCs w:val="17"/>
          <w:color w:val="auto"/>
        </w:rPr>
        <w:t>means (i) any dividend or distribution of cash, property or shares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capital stock; and (ii) any distribution following or in connection with any liquidation, dissolution, or winding up of the Company, whether voluntary or involuntary.</w:t>
      </w:r>
    </w:p>
    <w:p>
      <w:pPr>
        <w:spacing w:after="0" w:line="44" w:lineRule="exact"/>
        <w:rPr>
          <w:rFonts w:ascii="Times New Roman" w:cs="Times New Roman" w:eastAsia="Times New Roman" w:hAnsi="Times New Roman"/>
          <w:sz w:val="17"/>
          <w:szCs w:val="17"/>
          <w:b w:val="1"/>
          <w:bCs w:val="1"/>
          <w:color w:val="auto"/>
        </w:rPr>
      </w:pPr>
    </w:p>
    <w:p>
      <w:pPr>
        <w:ind w:left="1720" w:right="419" w:hanging="348"/>
        <w:spacing w:after="0" w:line="268" w:lineRule="auto"/>
        <w:tabs>
          <w:tab w:leader="none" w:pos="1720"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“IPO” </w:t>
      </w:r>
      <w:r>
        <w:rPr>
          <w:rFonts w:ascii="Times New Roman" w:cs="Times New Roman" w:eastAsia="Times New Roman" w:hAnsi="Times New Roman"/>
          <w:sz w:val="18"/>
          <w:szCs w:val="18"/>
          <w:color w:val="auto"/>
        </w:rPr>
        <w:t>means the Company’s first firmly underwritten public offering pursuant to an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statement under the Securities Act of 1933, as amended, covering the offer and sale of Common Stock for the account of the Company.</w:t>
      </w:r>
    </w:p>
    <w:p>
      <w:pPr>
        <w:spacing w:after="0" w:line="147"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60"/>
        </w:numPr>
        <w:rPr>
          <w:rFonts w:ascii="Arial" w:cs="Arial" w:eastAsia="Arial" w:hAnsi="Arial"/>
          <w:sz w:val="18"/>
          <w:szCs w:val="18"/>
          <w:b w:val="1"/>
          <w:bCs w:val="1"/>
          <w:color w:val="00489A"/>
        </w:rPr>
      </w:pPr>
      <w:r>
        <w:rPr>
          <w:rFonts w:ascii="Arial" w:cs="Arial" w:eastAsia="Arial" w:hAnsi="Arial"/>
          <w:sz w:val="18"/>
          <w:szCs w:val="18"/>
          <w:b w:val="1"/>
          <w:bCs w:val="1"/>
          <w:color w:val="00489A"/>
        </w:rPr>
        <w:t>Rights relating to Distributions, Subdivisions, Combinations and Change of Control.</w:t>
      </w:r>
    </w:p>
    <w:p>
      <w:pPr>
        <w:spacing w:after="0" w:line="104" w:lineRule="exact"/>
        <w:rPr>
          <w:rFonts w:ascii="Arial" w:cs="Arial" w:eastAsia="Arial" w:hAnsi="Arial"/>
          <w:sz w:val="18"/>
          <w:szCs w:val="18"/>
          <w:b w:val="1"/>
          <w:bCs w:val="1"/>
          <w:color w:val="00489A"/>
        </w:rPr>
      </w:pPr>
    </w:p>
    <w:p>
      <w:pPr>
        <w:jc w:val="both"/>
        <w:ind w:left="1720" w:right="479" w:hanging="348"/>
        <w:spacing w:after="0" w:line="266" w:lineRule="auto"/>
        <w:tabs>
          <w:tab w:leader="none" w:pos="1720"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a Distribution is paid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0" w:name="page71"/>
    <w:bookmarkEnd w:id="70"/>
    <w:p>
      <w:pPr>
        <w:ind w:left="1740" w:right="439"/>
        <w:spacing w:after="0" w:line="261" w:lineRule="auto"/>
        <w:rPr>
          <w:sz w:val="20"/>
          <w:szCs w:val="20"/>
          <w:color w:val="auto"/>
        </w:rPr>
      </w:pPr>
      <w:r>
        <w:rPr>
          <w:rFonts w:ascii="Times New Roman" w:cs="Times New Roman" w:eastAsia="Times New Roman" w:hAnsi="Times New Roman"/>
          <w:sz w:val="18"/>
          <w:szCs w:val="18"/>
          <w:color w:val="auto"/>
        </w:rPr>
        <w:t>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w:t>
      </w:r>
    </w:p>
    <w:p>
      <w:pPr>
        <w:spacing w:after="0" w:line="72" w:lineRule="exact"/>
        <w:rPr>
          <w:sz w:val="20"/>
          <w:szCs w:val="20"/>
          <w:color w:val="auto"/>
        </w:rPr>
      </w:pPr>
    </w:p>
    <w:p>
      <w:pPr>
        <w:ind w:left="1720" w:right="299" w:hanging="348"/>
        <w:spacing w:after="0" w:line="261" w:lineRule="auto"/>
        <w:tabs>
          <w:tab w:leader="none" w:pos="1720" w:val="left"/>
        </w:tabs>
        <w:numPr>
          <w:ilvl w:val="1"/>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w:t>
      </w:r>
    </w:p>
    <w:p>
      <w:pPr>
        <w:spacing w:after="0" w:line="138"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62"/>
        </w:numPr>
        <w:rPr>
          <w:rFonts w:ascii="Arial" w:cs="Arial" w:eastAsia="Arial" w:hAnsi="Arial"/>
          <w:sz w:val="18"/>
          <w:szCs w:val="18"/>
          <w:b w:val="1"/>
          <w:bCs w:val="1"/>
          <w:color w:val="00489A"/>
        </w:rPr>
      </w:pPr>
      <w:r>
        <w:rPr>
          <w:rFonts w:ascii="Arial" w:cs="Arial" w:eastAsia="Arial" w:hAnsi="Arial"/>
          <w:sz w:val="18"/>
          <w:szCs w:val="18"/>
          <w:b w:val="1"/>
          <w:bCs w:val="1"/>
          <w:color w:val="00489A"/>
        </w:rPr>
        <w:t>Voting Rights.</w:t>
      </w:r>
    </w:p>
    <w:p>
      <w:pPr>
        <w:spacing w:after="0" w:line="104" w:lineRule="exact"/>
        <w:rPr>
          <w:rFonts w:ascii="Arial" w:cs="Arial" w:eastAsia="Arial" w:hAnsi="Arial"/>
          <w:sz w:val="18"/>
          <w:szCs w:val="18"/>
          <w:b w:val="1"/>
          <w:bCs w:val="1"/>
          <w:color w:val="00489A"/>
        </w:rPr>
      </w:pPr>
    </w:p>
    <w:p>
      <w:pPr>
        <w:ind w:left="1720" w:right="619" w:hanging="348"/>
        <w:spacing w:after="0" w:line="282" w:lineRule="auto"/>
        <w:tabs>
          <w:tab w:leader="none" w:pos="172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Common Stock. Each holder of shares of Common Stock shall be entitled to one (1) vote for each share thereof held.</w:t>
      </w:r>
    </w:p>
    <w:p>
      <w:pPr>
        <w:spacing w:after="0" w:line="53" w:lineRule="exact"/>
        <w:rPr>
          <w:rFonts w:ascii="Times New Roman" w:cs="Times New Roman" w:eastAsia="Times New Roman" w:hAnsi="Times New Roman"/>
          <w:sz w:val="18"/>
          <w:szCs w:val="18"/>
          <w:b w:val="1"/>
          <w:bCs w:val="1"/>
          <w:color w:val="auto"/>
        </w:rPr>
      </w:pPr>
    </w:p>
    <w:p>
      <w:pPr>
        <w:jc w:val="both"/>
        <w:ind w:left="1720" w:right="659" w:hanging="348"/>
        <w:spacing w:after="0" w:line="312" w:lineRule="auto"/>
        <w:tabs>
          <w:tab w:leader="none" w:pos="1720"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General. Except as otherwise expressly provided herein or as required by law, the holders of Preferred Stock and Common Stock shall vote together and not as separate series or classes.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V.</w:t>
      </w:r>
    </w:p>
    <w:p>
      <w:pPr>
        <w:spacing w:after="0" w:line="104" w:lineRule="exact"/>
        <w:rPr>
          <w:sz w:val="20"/>
          <w:szCs w:val="20"/>
          <w:color w:val="auto"/>
        </w:rPr>
      </w:pPr>
    </w:p>
    <w:p>
      <w:pPr>
        <w:ind w:left="1000" w:right="799" w:hanging="348"/>
        <w:spacing w:after="0" w:line="282" w:lineRule="auto"/>
        <w:tabs>
          <w:tab w:leader="none" w:pos="10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w:t>
      </w:r>
    </w:p>
    <w:p>
      <w:pPr>
        <w:spacing w:after="0" w:line="53" w:lineRule="exact"/>
        <w:rPr>
          <w:rFonts w:ascii="Times New Roman" w:cs="Times New Roman" w:eastAsia="Times New Roman" w:hAnsi="Times New Roman"/>
          <w:sz w:val="18"/>
          <w:szCs w:val="18"/>
          <w:b w:val="1"/>
          <w:bCs w:val="1"/>
          <w:color w:val="auto"/>
        </w:rPr>
      </w:pPr>
    </w:p>
    <w:p>
      <w:pPr>
        <w:ind w:left="1000" w:right="319" w:hanging="348"/>
        <w:spacing w:after="0" w:line="254" w:lineRule="auto"/>
        <w:tabs>
          <w:tab w:leader="none" w:pos="10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w:t>
      </w:r>
    </w:p>
    <w:p>
      <w:pPr>
        <w:spacing w:after="0" w:line="80" w:lineRule="exact"/>
        <w:rPr>
          <w:rFonts w:ascii="Times New Roman" w:cs="Times New Roman" w:eastAsia="Times New Roman" w:hAnsi="Times New Roman"/>
          <w:sz w:val="18"/>
          <w:szCs w:val="18"/>
          <w:b w:val="1"/>
          <w:bCs w:val="1"/>
          <w:color w:val="auto"/>
        </w:rPr>
      </w:pPr>
    </w:p>
    <w:p>
      <w:pPr>
        <w:ind w:left="1000" w:right="479" w:hanging="348"/>
        <w:spacing w:after="0" w:line="266" w:lineRule="auto"/>
        <w:tabs>
          <w:tab w:leader="none" w:pos="10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w:t>
      </w:r>
    </w:p>
    <w:p>
      <w:pPr>
        <w:spacing w:after="0" w:line="67" w:lineRule="exact"/>
        <w:rPr>
          <w:rFonts w:ascii="Times New Roman" w:cs="Times New Roman" w:eastAsia="Times New Roman" w:hAnsi="Times New Roman"/>
          <w:sz w:val="18"/>
          <w:szCs w:val="18"/>
          <w:b w:val="1"/>
          <w:bCs w:val="1"/>
          <w:color w:val="auto"/>
        </w:rPr>
      </w:pPr>
    </w:p>
    <w:p>
      <w:pPr>
        <w:ind w:left="1000" w:right="359" w:hanging="348"/>
        <w:spacing w:after="0" w:line="253" w:lineRule="auto"/>
        <w:tabs>
          <w:tab w:leader="none" w:pos="10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VI.</w:t>
      </w:r>
    </w:p>
    <w:p>
      <w:pPr>
        <w:spacing w:after="0" w:line="10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1" w:name="page72"/>
    <w:bookmarkEnd w:id="71"/>
    <w:p>
      <w:pPr>
        <w:ind w:left="1360" w:right="419" w:hanging="348"/>
        <w:spacing w:after="0" w:line="261" w:lineRule="auto"/>
        <w:tabs>
          <w:tab w:leader="none" w:pos="1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w:t>
      </w:r>
    </w:p>
    <w:p>
      <w:pPr>
        <w:spacing w:after="0" w:line="67" w:lineRule="exact"/>
        <w:rPr>
          <w:rFonts w:ascii="Times New Roman" w:cs="Times New Roman" w:eastAsia="Times New Roman" w:hAnsi="Times New Roman"/>
          <w:sz w:val="18"/>
          <w:szCs w:val="18"/>
          <w:b w:val="1"/>
          <w:bCs w:val="1"/>
          <w:color w:val="auto"/>
        </w:rPr>
      </w:pPr>
    </w:p>
    <w:p>
      <w:pPr>
        <w:ind w:left="1360" w:hanging="348"/>
        <w:spacing w:after="0"/>
        <w:tabs>
          <w:tab w:leader="none" w:pos="1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p>
    <w:p>
      <w:pPr>
        <w:spacing w:after="0" w:line="121" w:lineRule="exact"/>
        <w:rPr>
          <w:rFonts w:ascii="Times New Roman" w:cs="Times New Roman" w:eastAsia="Times New Roman" w:hAnsi="Times New Roman"/>
          <w:sz w:val="18"/>
          <w:szCs w:val="18"/>
          <w:b w:val="1"/>
          <w:bCs w:val="1"/>
          <w:color w:val="auto"/>
        </w:rPr>
      </w:pPr>
    </w:p>
    <w:p>
      <w:pPr>
        <w:ind w:left="1720" w:right="319" w:hanging="348"/>
        <w:spacing w:after="0" w:line="253" w:lineRule="auto"/>
        <w:tabs>
          <w:tab w:leader="none" w:pos="172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EB002A"/>
          <w:strike w:val="1"/>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79" w:lineRule="exact"/>
        <w:rPr>
          <w:rFonts w:ascii="Times New Roman" w:cs="Times New Roman" w:eastAsia="Times New Roman" w:hAnsi="Times New Roman"/>
          <w:sz w:val="18"/>
          <w:szCs w:val="18"/>
          <w:b w:val="1"/>
          <w:bCs w:val="1"/>
          <w:color w:val="auto"/>
        </w:rPr>
      </w:pPr>
    </w:p>
    <w:p>
      <w:pPr>
        <w:ind w:left="1740" w:right="53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EB002A"/>
          <w:strike w:val="1"/>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p>
    <w:p>
      <w:pPr>
        <w:spacing w:after="0" w:line="71" w:lineRule="exact"/>
        <w:rPr>
          <w:rFonts w:ascii="Times New Roman" w:cs="Times New Roman" w:eastAsia="Times New Roman" w:hAnsi="Times New Roman"/>
          <w:sz w:val="18"/>
          <w:szCs w:val="18"/>
          <w:b w:val="1"/>
          <w:bCs w:val="1"/>
          <w:color w:val="auto"/>
        </w:rPr>
      </w:pPr>
    </w:p>
    <w:p>
      <w:pPr>
        <w:ind w:left="1740" w:right="37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00489A"/>
        </w:rPr>
        <w:t>From and after the effective time of this Amended and Restated Certificate of Incorporation, the directors shall no longer be divided into three classes and, commencing with the 2024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w:t>
      </w:r>
    </w:p>
    <w:p>
      <w:pPr>
        <w:spacing w:after="0" w:line="80" w:lineRule="exact"/>
        <w:rPr>
          <w:rFonts w:ascii="Times New Roman" w:cs="Times New Roman" w:eastAsia="Times New Roman" w:hAnsi="Times New Roman"/>
          <w:sz w:val="18"/>
          <w:szCs w:val="18"/>
          <w:b w:val="1"/>
          <w:bCs w:val="1"/>
          <w:color w:val="auto"/>
        </w:rPr>
      </w:pPr>
    </w:p>
    <w:p>
      <w:pPr>
        <w:ind w:left="1720" w:right="299" w:hanging="348"/>
        <w:spacing w:after="0" w:line="252" w:lineRule="auto"/>
        <w:tabs>
          <w:tab w:leader="none" w:pos="172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89" w:lineRule="exact"/>
        <w:rPr>
          <w:rFonts w:ascii="Times New Roman" w:cs="Times New Roman" w:eastAsia="Times New Roman" w:hAnsi="Times New Roman"/>
          <w:sz w:val="18"/>
          <w:szCs w:val="18"/>
          <w:b w:val="1"/>
          <w:bCs w:val="1"/>
          <w:color w:val="auto"/>
        </w:rPr>
      </w:pPr>
    </w:p>
    <w:p>
      <w:pPr>
        <w:ind w:left="1720" w:right="299" w:hanging="348"/>
        <w:spacing w:after="0" w:line="261" w:lineRule="auto"/>
        <w:tabs>
          <w:tab w:leader="none" w:pos="172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w:t>
      </w:r>
    </w:p>
    <w:p>
      <w:pPr>
        <w:spacing w:after="0" w:line="67" w:lineRule="exact"/>
        <w:rPr>
          <w:rFonts w:ascii="Times New Roman" w:cs="Times New Roman" w:eastAsia="Times New Roman" w:hAnsi="Times New Roman"/>
          <w:sz w:val="18"/>
          <w:szCs w:val="18"/>
          <w:b w:val="1"/>
          <w:bCs w:val="1"/>
          <w:color w:val="auto"/>
        </w:rPr>
      </w:pPr>
    </w:p>
    <w:p>
      <w:pPr>
        <w:ind w:left="1360" w:right="359" w:hanging="348"/>
        <w:spacing w:after="0" w:line="286" w:lineRule="auto"/>
        <w:tabs>
          <w:tab w:leader="none" w:pos="1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Removal of Directors. </w:t>
      </w:r>
      <w:r>
        <w:rPr>
          <w:rFonts w:ascii="Times New Roman" w:cs="Times New Roman" w:eastAsia="Times New Roman" w:hAnsi="Times New Roman"/>
          <w:sz w:val="18"/>
          <w:szCs w:val="18"/>
          <w:color w:val="auto"/>
        </w:rPr>
        <w:t>Subject to any limitations imposed by applicable law and subject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holders of any series of Preferred Stock, any individual director or directors may be</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2" w:name="page73"/>
    <w:bookmarkEnd w:id="72"/>
    <w:p>
      <w:pPr>
        <w:ind w:left="1380" w:right="339"/>
        <w:spacing w:after="0" w:line="258" w:lineRule="auto"/>
        <w:rPr>
          <w:sz w:val="20"/>
          <w:szCs w:val="20"/>
          <w:color w:val="auto"/>
        </w:rPr>
      </w:pPr>
      <w:r>
        <w:rPr>
          <w:rFonts w:ascii="Times New Roman" w:cs="Times New Roman" w:eastAsia="Times New Roman" w:hAnsi="Times New Roman"/>
          <w:sz w:val="18"/>
          <w:szCs w:val="18"/>
          <w:color w:val="auto"/>
        </w:rPr>
        <w:t xml:space="preserve">removed </w:t>
      </w:r>
      <w:r>
        <w:rPr>
          <w:rFonts w:ascii="Times New Roman" w:cs="Times New Roman" w:eastAsia="Times New Roman" w:hAnsi="Times New Roman"/>
          <w:sz w:val="18"/>
          <w:szCs w:val="18"/>
          <w:u w:val="single" w:color="auto"/>
          <w:color w:val="EB002A"/>
          <w:strike w:val="1"/>
        </w:rPr>
        <w:t>(a)</w:t>
      </w:r>
      <w:r>
        <w:rPr>
          <w:rFonts w:ascii="Times New Roman" w:cs="Times New Roman" w:eastAsia="Times New Roman" w:hAnsi="Times New Roman"/>
          <w:sz w:val="18"/>
          <w:szCs w:val="18"/>
          <w:color w:val="auto"/>
        </w:rPr>
        <w:t xml:space="preserve"> with or without cause, by the affirmative vote of the holders of a majority of the voting power of all then-outstanding shares of capital stock of the Company entitled to vote generally at an election of directors</w:t>
      </w:r>
      <w:r>
        <w:rPr>
          <w:rFonts w:ascii="Times New Roman" w:cs="Times New Roman" w:eastAsia="Times New Roman" w:hAnsi="Times New Roman"/>
          <w:sz w:val="18"/>
          <w:szCs w:val="18"/>
          <w:u w:val="single" w:color="auto"/>
          <w:color w:val="EB002A"/>
          <w:strike w:val="1"/>
        </w:rPr>
        <w:t>, or (b) with cause by the affirmative vote of the holders of at least 66 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EB002A"/>
          <w:strike w:val="1"/>
        </w:rPr>
        <w:t>voting power of all then-outstanding shares of capital stock of the Company entitled to vote generally at an election of directors</w:t>
      </w:r>
      <w:r>
        <w:rPr>
          <w:rFonts w:ascii="Times New Roman" w:cs="Times New Roman" w:eastAsia="Times New Roman" w:hAnsi="Times New Roman"/>
          <w:sz w:val="18"/>
          <w:szCs w:val="18"/>
          <w:color w:val="000000"/>
          <w:strike w:val="1"/>
        </w:rPr>
        <w:t>.</w:t>
      </w:r>
    </w:p>
    <w:p>
      <w:pPr>
        <w:spacing w:after="0" w:line="75" w:lineRule="exact"/>
        <w:rPr>
          <w:sz w:val="20"/>
          <w:szCs w:val="20"/>
          <w:color w:val="auto"/>
        </w:rPr>
      </w:pPr>
    </w:p>
    <w:p>
      <w:pPr>
        <w:ind w:left="1360" w:right="319" w:hanging="348"/>
        <w:spacing w:after="0" w:line="253" w:lineRule="auto"/>
        <w:tabs>
          <w:tab w:leader="none" w:pos="1360"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Vacancies.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w:t>
      </w:r>
      <w:r>
        <w:rPr>
          <w:rFonts w:ascii="Times New Roman" w:cs="Times New Roman" w:eastAsia="Times New Roman" w:hAnsi="Times New Roman"/>
          <w:sz w:val="18"/>
          <w:szCs w:val="18"/>
          <w:color w:val="00489A"/>
        </w:rPr>
        <w:t>or until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489A"/>
        </w:rPr>
        <w:t>his earlier death, resignation or removal</w:t>
      </w:r>
      <w:r>
        <w:rPr>
          <w:rFonts w:ascii="Times New Roman" w:cs="Times New Roman" w:eastAsia="Times New Roman" w:hAnsi="Times New Roman"/>
          <w:sz w:val="18"/>
          <w:szCs w:val="18"/>
          <w:color w:val="000000"/>
        </w:rPr>
        <w:t>.</w:t>
      </w:r>
    </w:p>
    <w:p>
      <w:pPr>
        <w:spacing w:after="0" w:line="79" w:lineRule="exact"/>
        <w:rPr>
          <w:rFonts w:ascii="Times New Roman" w:cs="Times New Roman" w:eastAsia="Times New Roman" w:hAnsi="Times New Roman"/>
          <w:sz w:val="18"/>
          <w:szCs w:val="18"/>
          <w:b w:val="1"/>
          <w:bCs w:val="1"/>
          <w:color w:val="auto"/>
        </w:rPr>
      </w:pPr>
    </w:p>
    <w:p>
      <w:pPr>
        <w:ind w:left="1000" w:right="339" w:hanging="348"/>
        <w:spacing w:after="0" w:line="257" w:lineRule="auto"/>
        <w:tabs>
          <w:tab w:leader="none" w:pos="100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Actions. </w:t>
      </w:r>
      <w:r>
        <w:rPr>
          <w:rFonts w:ascii="Times New Roman" w:cs="Times New Roman" w:eastAsia="Times New Roman" w:hAnsi="Times New Roman"/>
          <w:sz w:val="18"/>
          <w:szCs w:val="18"/>
          <w:color w:val="auto"/>
        </w:rPr>
        <w:t>No action shall be taken by the stockholders of the Company except at an annual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special meeting of stockholders called in 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w:t>
      </w:r>
      <w:r>
        <w:rPr>
          <w:rFonts w:ascii="Times New Roman" w:cs="Times New Roman" w:eastAsia="Times New Roman" w:hAnsi="Times New Roman"/>
          <w:sz w:val="18"/>
          <w:szCs w:val="18"/>
          <w:color w:val="00489A"/>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489A"/>
        </w:rPr>
        <w:t>subject to applicable law</w:t>
      </w:r>
      <w:r>
        <w:rPr>
          <w:rFonts w:ascii="Times New Roman" w:cs="Times New Roman" w:eastAsia="Times New Roman" w:hAnsi="Times New Roman"/>
          <w:sz w:val="18"/>
          <w:szCs w:val="18"/>
          <w:color w:val="000000"/>
        </w:rPr>
        <w:t>.</w:t>
      </w:r>
    </w:p>
    <w:p>
      <w:pPr>
        <w:spacing w:after="0" w:line="74" w:lineRule="exact"/>
        <w:rPr>
          <w:rFonts w:ascii="Times New Roman" w:cs="Times New Roman" w:eastAsia="Times New Roman" w:hAnsi="Times New Roman"/>
          <w:sz w:val="18"/>
          <w:szCs w:val="18"/>
          <w:b w:val="1"/>
          <w:bCs w:val="1"/>
          <w:color w:val="auto"/>
        </w:rPr>
      </w:pPr>
    </w:p>
    <w:p>
      <w:pPr>
        <w:ind w:left="1000" w:right="339" w:hanging="348"/>
        <w:spacing w:after="0" w:line="272" w:lineRule="auto"/>
        <w:tabs>
          <w:tab w:leader="none" w:pos="100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Bylaws. </w:t>
      </w:r>
      <w:r>
        <w:rPr>
          <w:rFonts w:ascii="Times New Roman" w:cs="Times New Roman" w:eastAsia="Times New Roman" w:hAnsi="Times New Roman"/>
          <w:sz w:val="17"/>
          <w:szCs w:val="17"/>
          <w:color w:val="auto"/>
        </w:rPr>
        <w:t>The Board of Directors is expressly empowered to adopt, amend or repeal the Bylaws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-2233930</wp:posOffset>
            </wp:positionV>
            <wp:extent cx="3619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950" cy="8255"/>
                    </a:xfrm>
                    <a:prstGeom prst="rect">
                      <a:avLst/>
                    </a:prstGeom>
                    <a:noFill/>
                  </pic:spPr>
                </pic:pic>
              </a:graphicData>
            </a:graphic>
          </wp:anchor>
        </w:drawing>
        <w:drawing>
          <wp:anchor simplePos="0" relativeHeight="251657728" behindDoc="1" locked="0" layoutInCell="0" allowOverlap="1">
            <wp:simplePos x="0" y="0"/>
            <wp:positionH relativeFrom="column">
              <wp:posOffset>5155565</wp:posOffset>
            </wp:positionH>
            <wp:positionV relativeFrom="paragraph">
              <wp:posOffset>-1342390</wp:posOffset>
            </wp:positionV>
            <wp:extent cx="19367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VII.</w:t>
      </w:r>
    </w:p>
    <w:p>
      <w:pPr>
        <w:spacing w:after="0" w:line="104" w:lineRule="exact"/>
        <w:rPr>
          <w:sz w:val="20"/>
          <w:szCs w:val="20"/>
          <w:color w:val="auto"/>
        </w:rPr>
      </w:pPr>
    </w:p>
    <w:p>
      <w:pPr>
        <w:ind w:left="1000" w:right="339" w:hanging="348"/>
        <w:spacing w:after="0" w:line="252" w:lineRule="auto"/>
        <w:tabs>
          <w:tab w:leader="none" w:pos="10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w:t>
      </w:r>
    </w:p>
    <w:p>
      <w:pPr>
        <w:spacing w:after="0" w:line="89" w:lineRule="exact"/>
        <w:rPr>
          <w:rFonts w:ascii="Times New Roman" w:cs="Times New Roman" w:eastAsia="Times New Roman" w:hAnsi="Times New Roman"/>
          <w:sz w:val="18"/>
          <w:szCs w:val="18"/>
          <w:b w:val="1"/>
          <w:bCs w:val="1"/>
          <w:color w:val="auto"/>
        </w:rPr>
      </w:pPr>
    </w:p>
    <w:p>
      <w:pPr>
        <w:jc w:val="both"/>
        <w:ind w:left="1000" w:right="559" w:hanging="348"/>
        <w:spacing w:after="0" w:line="266" w:lineRule="auto"/>
        <w:tabs>
          <w:tab w:leader="none" w:pos="10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ind w:left="1020" w:right="399"/>
        <w:spacing w:after="0" w:line="261" w:lineRule="auto"/>
        <w:rPr>
          <w:sz w:val="20"/>
          <w:szCs w:val="20"/>
          <w:color w:val="auto"/>
        </w:rPr>
      </w:pPr>
      <w:r>
        <w:rPr>
          <w:rFonts w:ascii="Times New Roman" w:cs="Times New Roman" w:eastAsia="Times New Roman" w:hAnsi="Times New Roman"/>
          <w:sz w:val="18"/>
          <w:szCs w:val="18"/>
          <w:color w:val="auto"/>
        </w:rPr>
        <w:t>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w:t>
      </w:r>
    </w:p>
    <w:p>
      <w:pPr>
        <w:spacing w:after="0" w:line="72" w:lineRule="exact"/>
        <w:rPr>
          <w:sz w:val="20"/>
          <w:szCs w:val="20"/>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Article VII:</w:t>
      </w:r>
    </w:p>
    <w:p>
      <w:pPr>
        <w:spacing w:after="0" w:line="113" w:lineRule="exact"/>
        <w:rPr>
          <w:sz w:val="20"/>
          <w:szCs w:val="20"/>
          <w:color w:val="auto"/>
        </w:rPr>
      </w:pPr>
    </w:p>
    <w:p>
      <w:pPr>
        <w:ind w:left="300" w:right="3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w:t>
      </w:r>
      <w:r>
        <w:rPr>
          <w:rFonts w:ascii="Times New Roman" w:cs="Times New Roman" w:eastAsia="Times New Roman" w:hAnsi="Times New Roman"/>
          <w:sz w:val="18"/>
          <w:szCs w:val="18"/>
          <w:color w:val="auto"/>
        </w:rPr>
        <w:t>means with respect to any Person, any other Person directly or indirectly controlling, controlled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“Affiliated Company” </w:t>
      </w:r>
      <w:r>
        <w:rPr>
          <w:rFonts w:ascii="Times New Roman" w:cs="Times New Roman" w:eastAsia="Times New Roman" w:hAnsi="Times New Roman"/>
          <w:sz w:val="18"/>
          <w:szCs w:val="18"/>
          <w:color w:val="auto"/>
        </w:rPr>
        <w:t>means (i) with respect to the Company, any Person controlled by the Company and</w:t>
      </w:r>
    </w:p>
    <w:p>
      <w:pPr>
        <w:spacing w:after="0" w:line="31" w:lineRule="exact"/>
        <w:rPr>
          <w:sz w:val="20"/>
          <w:szCs w:val="20"/>
          <w:color w:val="auto"/>
        </w:rPr>
      </w:pPr>
    </w:p>
    <w:p>
      <w:pPr>
        <w:ind w:left="300" w:right="399" w:hanging="8"/>
        <w:spacing w:after="0" w:line="253" w:lineRule="auto"/>
        <w:tabs>
          <w:tab w:leader="none" w:pos="5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w:t>
      </w:r>
    </w:p>
    <w:p>
      <w:pPr>
        <w:spacing w:after="0" w:line="77"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“Dual Opportunity” </w:t>
      </w:r>
      <w:r>
        <w:rPr>
          <w:rFonts w:ascii="Times New Roman" w:cs="Times New Roman" w:eastAsia="Times New Roman" w:hAnsi="Times New Roman"/>
          <w:sz w:val="18"/>
          <w:szCs w:val="18"/>
          <w:color w:val="auto"/>
        </w:rPr>
        <w:t>means any potential transaction or matter which may be a corporate opportunity for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Investment Fund or its Affiliated Companies, on the one hand, and the Company or any of its Affiliated Companies, on the other hand.</w:t>
      </w:r>
    </w:p>
    <w:p>
      <w:pPr>
        <w:spacing w:after="0" w:line="63"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“Dual Role Person” </w:t>
      </w:r>
      <w:r>
        <w:rPr>
          <w:rFonts w:ascii="Times New Roman" w:cs="Times New Roman" w:eastAsia="Times New Roman" w:hAnsi="Times New Roman"/>
          <w:sz w:val="18"/>
          <w:szCs w:val="18"/>
          <w:color w:val="auto"/>
        </w:rPr>
        <w:t>means any individual who is an officer or director of the Company and an officer, director,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general partner of the Investment Fund.</w:t>
      </w:r>
    </w:p>
    <w:p>
      <w:pPr>
        <w:spacing w:after="0" w:line="47" w:lineRule="exact"/>
        <w:rPr>
          <w:sz w:val="20"/>
          <w:szCs w:val="20"/>
          <w:color w:val="auto"/>
        </w:rPr>
      </w:pPr>
    </w:p>
    <w:p>
      <w:pPr>
        <w:jc w:val="both"/>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Fund” </w:t>
      </w:r>
      <w:r>
        <w:rPr>
          <w:rFonts w:ascii="Times New Roman" w:cs="Times New Roman" w:eastAsia="Times New Roman" w:hAnsi="Times New Roman"/>
          <w:sz w:val="18"/>
          <w:szCs w:val="18"/>
          <w:color w:val="auto"/>
        </w:rPr>
        <w:t>means one or more Persons (other than the Company and any Affiliated Company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which a Dual Role Person has established or may in the future establish (together with other Dual Role Persons or other Persons) for purpose of pursuing investment opportunities in areas broadly similar to the areas of the Company’s current and anticipated business focus.</w:t>
      </w:r>
    </w:p>
    <w:p>
      <w:pPr>
        <w:spacing w:after="0" w:line="68" w:lineRule="exact"/>
        <w:rPr>
          <w:sz w:val="20"/>
          <w:szCs w:val="20"/>
          <w:color w:val="auto"/>
        </w:rPr>
      </w:pPr>
    </w:p>
    <w:p>
      <w:pPr>
        <w:jc w:val="both"/>
        <w:ind w:left="300" w:right="339" w:firstLine="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“Person” </w:t>
      </w:r>
      <w:r>
        <w:rPr>
          <w:rFonts w:ascii="Times New Roman" w:cs="Times New Roman" w:eastAsia="Times New Roman" w:hAnsi="Times New Roman"/>
          <w:sz w:val="18"/>
          <w:szCs w:val="18"/>
          <w:color w:val="auto"/>
        </w:rPr>
        <w:t>means an individual, a partnership, a corporation, a limited liability company, an association, a joint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company, a trust, a joint venture, an unincorporated organization and a governmental entity or any department, agency or political subdivision thereof.</w:t>
      </w:r>
    </w:p>
    <w:p>
      <w:pPr>
        <w:spacing w:after="0" w:line="67" w:lineRule="exact"/>
        <w:rPr>
          <w:sz w:val="20"/>
          <w:szCs w:val="20"/>
          <w:color w:val="auto"/>
        </w:rPr>
      </w:pPr>
    </w:p>
    <w:p>
      <w:pPr>
        <w:ind w:left="1000" w:right="359" w:hanging="348"/>
        <w:spacing w:after="0" w:line="254" w:lineRule="auto"/>
        <w:tabs>
          <w:tab w:leader="none" w:pos="10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w:t>
      </w:r>
    </w:p>
    <w:p>
      <w:pPr>
        <w:spacing w:after="0" w:line="80" w:lineRule="exact"/>
        <w:rPr>
          <w:rFonts w:ascii="Times New Roman" w:cs="Times New Roman" w:eastAsia="Times New Roman" w:hAnsi="Times New Roman"/>
          <w:sz w:val="18"/>
          <w:szCs w:val="18"/>
          <w:b w:val="1"/>
          <w:bCs w:val="1"/>
          <w:color w:val="auto"/>
        </w:rPr>
      </w:pPr>
    </w:p>
    <w:p>
      <w:pPr>
        <w:ind w:left="1000" w:right="339" w:hanging="348"/>
        <w:spacing w:after="0" w:line="282" w:lineRule="auto"/>
        <w:tabs>
          <w:tab w:leader="none" w:pos="10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person or entity purchasing or otherwise acquiring or obtaining any interest in any capital stock of the Company shall be deemed to have notice and to have consented to the provisions of this Article VII.</w:t>
      </w:r>
    </w:p>
    <w:p>
      <w:pPr>
        <w:spacing w:after="0" w:line="53" w:lineRule="exact"/>
        <w:rPr>
          <w:rFonts w:ascii="Times New Roman" w:cs="Times New Roman" w:eastAsia="Times New Roman" w:hAnsi="Times New Roman"/>
          <w:sz w:val="18"/>
          <w:szCs w:val="18"/>
          <w:b w:val="1"/>
          <w:bCs w:val="1"/>
          <w:color w:val="auto"/>
        </w:rPr>
      </w:pPr>
    </w:p>
    <w:p>
      <w:pPr>
        <w:ind w:left="1000" w:right="319" w:hanging="348"/>
        <w:spacing w:after="0" w:line="266" w:lineRule="auto"/>
        <w:tabs>
          <w:tab w:leader="none" w:pos="10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00489A"/>
        </w:rPr>
        <w:t>VIII.</w:t>
      </w:r>
    </w:p>
    <w:p>
      <w:pPr>
        <w:spacing w:after="0" w:line="103" w:lineRule="exact"/>
        <w:rPr>
          <w:sz w:val="20"/>
          <w:szCs w:val="20"/>
          <w:color w:val="auto"/>
        </w:rPr>
      </w:pPr>
    </w:p>
    <w:p>
      <w:pPr>
        <w:ind w:left="1000" w:right="379" w:hanging="348"/>
        <w:spacing w:after="0" w:line="266" w:lineRule="auto"/>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w:t>
      </w:r>
    </w:p>
    <w:p>
      <w:pPr>
        <w:spacing w:after="0" w:line="67" w:lineRule="exact"/>
        <w:rPr>
          <w:rFonts w:ascii="Times New Roman" w:cs="Times New Roman" w:eastAsia="Times New Roman" w:hAnsi="Times New Roman"/>
          <w:sz w:val="18"/>
          <w:szCs w:val="18"/>
          <w:b w:val="1"/>
          <w:bCs w:val="1"/>
          <w:color w:val="auto"/>
        </w:rPr>
      </w:pPr>
    </w:p>
    <w:p>
      <w:pPr>
        <w:ind w:left="1000" w:right="319" w:hanging="348"/>
        <w:spacing w:after="0" w:line="254" w:lineRule="auto"/>
        <w:tabs>
          <w:tab w:leader="none" w:pos="10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89A"/>
        </w:rPr>
        <w:t>* * * *</w:t>
      </w:r>
    </w:p>
    <w:p>
      <w:pPr>
        <w:spacing w:after="0" w:line="100" w:lineRule="exact"/>
        <w:rPr>
          <w:sz w:val="20"/>
          <w:szCs w:val="20"/>
          <w:color w:val="auto"/>
        </w:rPr>
      </w:pPr>
    </w:p>
    <w:p>
      <w:pPr>
        <w:ind w:left="30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ELEVEN: </w:t>
      </w:r>
      <w:r>
        <w:rPr>
          <w:rFonts w:ascii="Times New Roman" w:cs="Times New Roman" w:eastAsia="Times New Roman" w:hAnsi="Times New Roman"/>
          <w:sz w:val="18"/>
          <w:szCs w:val="18"/>
          <w:color w:val="auto"/>
        </w:rPr>
        <w:t>This Amended and Restated Certificate of Incorporation has been duly approved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this Corporation.</w:t>
      </w:r>
    </w:p>
    <w:p>
      <w:pPr>
        <w:spacing w:after="0" w:line="47" w:lineRule="exact"/>
        <w:rPr>
          <w:sz w:val="20"/>
          <w:szCs w:val="20"/>
          <w:color w:val="auto"/>
        </w:rPr>
      </w:pPr>
    </w:p>
    <w:p>
      <w:pPr>
        <w:ind w:left="300" w:right="4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TWELVE: </w:t>
      </w:r>
      <w:r>
        <w:rPr>
          <w:rFonts w:ascii="Times New Roman" w:cs="Times New Roman" w:eastAsia="Times New Roman" w:hAnsi="Times New Roman"/>
          <w:sz w:val="18"/>
          <w:szCs w:val="18"/>
          <w:color w:val="auto"/>
        </w:rPr>
        <w:t>This Amended and Restated Certificate of Incorporation was approved by the 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requisite number of shares of this Corporation in accordance with Section 228 of the DGCL. This Amended and Restated Certificate of Incorporation has been duly adopted in accordance with the provisions of Sections 242 and 245 of the DGCL by the stockholders of this Corporation.</w:t>
      </w:r>
    </w:p>
    <w:p>
      <w:pPr>
        <w:spacing w:after="0" w:line="72"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Tilray Brands, Inc. has caused this Amended and Restated Certificate of Incorporation to be duly executed and acknowledged in its name and on its behalf by the undersigned officer, thereunto duly authorized, as of the date first set forth above.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163195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143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88900</wp:posOffset>
            </wp:positionV>
            <wp:extent cx="6292215" cy="8143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lvl w:ilvl="1">
      <w:lvlJc w:val="left"/>
      <w:lvlText w:val="☐"/>
      <w:numFmt w:val="bullet"/>
      <w:start w:val="1"/>
    </w:lvl>
  </w:abstractNum>
  <w:abstractNum w:abstractNumId="1">
    <w:nsid w:val="3804823E"/>
    <w:multiLevelType w:val="hybridMultilevel"/>
    <w:lvl w:ilvl="0">
      <w:lvlJc w:val="left"/>
      <w:lvlText w:val="☒"/>
      <w:numFmt w:val="bullet"/>
      <w:start w:val="1"/>
    </w:lvl>
    <w:lvl w:ilvl="1">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3"/>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1"/>
      <w:numFmt w:val="decimal"/>
      <w:start w:val="1"/>
    </w:lvl>
    <w:lvl w:ilvl="1">
      <w:lvlJc w:val="left"/>
      <w:lvlText w:val="✘"/>
      <w:numFmt w:val="bullet"/>
      <w:start w:val="1"/>
    </w:lvl>
  </w:abstractNum>
  <w:abstractNum w:abstractNumId="24">
    <w:nsid w:val="7644A45C"/>
    <w:multiLevelType w:val="hybridMultilevel"/>
    <w:lvl w:ilvl="0">
      <w:lvlJc w:val="left"/>
      <w:lvlText w:val="%1."/>
      <w:numFmt w:val="decimal"/>
      <w:start w:val="1"/>
    </w:lvl>
    <w:lvl w:ilvl="1">
      <w:lvlJc w:val="left"/>
      <w:lvlText w:val="•"/>
      <w:numFmt w:val="bullet"/>
      <w:start w:val="1"/>
    </w:lvl>
  </w:abstractNum>
  <w:abstractNum w:abstractNumId="25">
    <w:nsid w:val="32FFF902"/>
    <w:multiLevelType w:val="hybridMultilevel"/>
    <w:lvl w:ilvl="0">
      <w:lvlJc w:val="left"/>
      <w:lvlText w:val="•"/>
      <w:numFmt w:val="bullet"/>
      <w:start w:val="1"/>
    </w:lvl>
    <w:lvl w:ilvl="1">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1)"/>
      <w:numFmt w:val="decimal"/>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2"/>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1)"/>
      <w:numFmt w:val="decimal"/>
      <w:start w:val="3"/>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decimal"/>
      <w:start w:val="1"/>
    </w:lvl>
  </w:abstractNum>
  <w:abstractNum w:abstractNumId="34">
    <w:nsid w:val="70C6A529"/>
    <w:multiLevelType w:val="hybridMultilevel"/>
    <w:lvl w:ilvl="0">
      <w:lvlJc w:val="left"/>
      <w:lvlText w:val="(%1)"/>
      <w:numFmt w:val="decimal"/>
      <w:start w:val="7"/>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1)"/>
      <w:numFmt w:val="decimal"/>
      <w:start w:val="1"/>
    </w:lvl>
  </w:abstractNum>
  <w:abstractNum w:abstractNumId="37">
    <w:nsid w:val="4F4EF005"/>
    <w:multiLevelType w:val="hybridMultilevel"/>
    <w:lvl w:ilvl="0">
      <w:lvlJc w:val="left"/>
      <w:lvlText w:val="(%1)"/>
      <w:numFmt w:val="lowerRoman"/>
      <w:start w:val="5"/>
    </w:lvl>
  </w:abstractNum>
  <w:abstractNum w:abstractNumId="38">
    <w:nsid w:val="23F9C13C"/>
    <w:multiLevelType w:val="hybridMultilevel"/>
    <w:lvl w:ilvl="0">
      <w:lvlJc w:val="left"/>
      <w:lvlText w:val="(%1)"/>
      <w:numFmt w:val="decimal"/>
      <w:start w:val="2"/>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1)"/>
      <w:numFmt w:val="decimal"/>
      <w:start w:val="1"/>
    </w:lvl>
  </w:abstractNum>
  <w:abstractNum w:abstractNumId="41">
    <w:nsid w:val="39386575"/>
    <w:multiLevelType w:val="hybridMultilevel"/>
    <w:lvl w:ilvl="0">
      <w:lvlJc w:val="left"/>
      <w:lvlText w:val="(%1)"/>
      <w:numFmt w:val="decimal"/>
      <w:start w:val="1"/>
    </w:lvl>
  </w:abstractNum>
  <w:abstractNum w:abstractNumId="42">
    <w:nsid w:val="1CF10FD8"/>
    <w:multiLevelType w:val="hybridMultilevel"/>
    <w:lvl w:ilvl="0">
      <w:lvlJc w:val="left"/>
      <w:lvlText w:val="(%1)"/>
      <w:numFmt w:val="decimal"/>
      <w:start w:val="5"/>
    </w:lvl>
  </w:abstractNum>
  <w:abstractNum w:abstractNumId="43">
    <w:nsid w:val="180115BE"/>
    <w:multiLevelType w:val="hybridMultilevel"/>
    <w:lvl w:ilvl="0">
      <w:lvlJc w:val="left"/>
      <w:lvlText w:val="(%1)"/>
      <w:numFmt w:val="decimal"/>
      <w:start w:val="6"/>
    </w:lvl>
  </w:abstractNum>
  <w:abstractNum w:abstractNumId="44">
    <w:nsid w:val="235BA861"/>
    <w:multiLevelType w:val="hybridMultilevel"/>
    <w:lvl w:ilvl="0">
      <w:lvlJc w:val="left"/>
      <w:lvlText w:val="(%1)"/>
      <w:numFmt w:val="decimal"/>
      <w:start w:val="7"/>
    </w:lvl>
  </w:abstractNum>
  <w:abstractNum w:abstractNumId="45">
    <w:nsid w:val="47398C89"/>
    <w:multiLevelType w:val="hybridMultilevel"/>
    <w:lvl w:ilvl="0">
      <w:lvlJc w:val="left"/>
      <w:lvlText w:val="(%1)"/>
      <w:numFmt w:val="decimal"/>
      <w:start w:val="8"/>
    </w:lvl>
  </w:abstractNum>
  <w:abstractNum w:abstractNumId="46">
    <w:nsid w:val="354FE9F9"/>
    <w:multiLevelType w:val="hybridMultilevel"/>
    <w:lvl w:ilvl="0">
      <w:lvlJc w:val="left"/>
      <w:lvlText w:val="(%1)"/>
      <w:numFmt w:val="decimal"/>
      <w:start w:val="12"/>
    </w:lvl>
  </w:abstractNum>
  <w:abstractNum w:abstractNumId="47">
    <w:nsid w:val="15B5AF5C"/>
    <w:multiLevelType w:val="hybridMultilevel"/>
    <w:lvl w:ilvl="0">
      <w:lvlJc w:val="left"/>
      <w:lvlText w:val="(%1)"/>
      <w:numFmt w:val="lowerLetter"/>
      <w:start w:val="2"/>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lowerLetter"/>
      <w:start w:val="3"/>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1)"/>
      <w:numFmt w:val="lowerLetter"/>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upperLetter"/>
      <w:start w:val="1"/>
    </w:lvl>
  </w:abstractNum>
  <w:abstractNum w:abstractNumId="56">
    <w:nsid w:val="310C50B3"/>
    <w:multiLevelType w:val="hybridMultilevel"/>
    <w:lvl w:ilvl="0">
      <w:lvlJc w:val="left"/>
      <w:lvlText w:val="%1"/>
      <w:numFmt w:val="decimal"/>
      <w:start w:val="1"/>
    </w:lvl>
    <w:lvl w:ilvl="1">
      <w:lvlJc w:val="left"/>
      <w:lvlText w:val="%2."/>
      <w:numFmt w:val="upperLetter"/>
      <w:start w:val="4"/>
    </w:lvl>
  </w:abstractNum>
  <w:abstractNum w:abstractNumId="57">
    <w:nsid w:val="5FF87E05"/>
    <w:multiLevelType w:val="hybridMultilevel"/>
    <w:lvl w:ilvl="0">
      <w:lvlJc w:val="left"/>
      <w:lvlText w:val="%1."/>
      <w:numFmt w:val="decimal"/>
      <w:start w:val="1"/>
    </w:lvl>
    <w:lvl w:ilvl="1">
      <w:lvlJc w:val="left"/>
      <w:lvlText w:val="%2"/>
      <w:numFmt w:val="upperLetter"/>
      <w:start w:val="1"/>
    </w:lvl>
  </w:abstractNum>
  <w:abstractNum w:abstractNumId="58">
    <w:nsid w:val="2F305DEF"/>
    <w:multiLevelType w:val="hybridMultilevel"/>
    <w:lvl w:ilvl="0">
      <w:lvlJc w:val="left"/>
      <w:lvlText w:val="%1"/>
      <w:numFmt w:val="decimal"/>
      <w:start w:val="1"/>
    </w:lvl>
    <w:lvl w:ilvl="1">
      <w:lvlJc w:val="left"/>
      <w:lvlText w:val="(%2)"/>
      <w:numFmt w:val="lowerLetter"/>
      <w:start w:val="2"/>
    </w:lvl>
  </w:abstractNum>
  <w:abstractNum w:abstractNumId="59">
    <w:nsid w:val="25A70BF7"/>
    <w:multiLevelType w:val="hybridMultilevel"/>
    <w:lvl w:ilvl="0">
      <w:lvlJc w:val="left"/>
      <w:lvlText w:val="%1."/>
      <w:numFmt w:val="decimal"/>
      <w:start w:val="2"/>
    </w:lvl>
    <w:lvl w:ilvl="1">
      <w:lvlJc w:val="left"/>
      <w:lvlText w:val="(%2)"/>
      <w:numFmt w:val="lowerLetter"/>
      <w:start w:val="1"/>
    </w:lvl>
  </w:abstractNum>
  <w:abstractNum w:abstractNumId="60">
    <w:nsid w:val="1DBABF00"/>
    <w:multiLevelType w:val="hybridMultilevel"/>
    <w:lvl w:ilvl="0">
      <w:lvlJc w:val="left"/>
      <w:lvlText w:val="%1"/>
      <w:numFmt w:val="decimal"/>
      <w:start w:val="1"/>
    </w:lvl>
    <w:lvl w:ilvl="1">
      <w:lvlJc w:val="left"/>
      <w:lvlText w:val="(%2)"/>
      <w:numFmt w:val="lowerLetter"/>
      <w:start w:val="2"/>
    </w:lvl>
  </w:abstractNum>
  <w:abstractNum w:abstractNumId="61">
    <w:nsid w:val="4AD084E9"/>
    <w:multiLevelType w:val="hybridMultilevel"/>
    <w:lvl w:ilvl="0">
      <w:lvlJc w:val="left"/>
      <w:lvlText w:val="%1."/>
      <w:numFmt w:val="decimal"/>
      <w:start w:val="3"/>
    </w:lvl>
    <w:lvl w:ilvl="1">
      <w:lvlJc w:val="left"/>
      <w:lvlText w:val="(%2)"/>
      <w:numFmt w:val="lowerLetter"/>
      <w:start w:val="1"/>
    </w:lvl>
  </w:abstractNum>
  <w:abstractNum w:abstractNumId="62">
    <w:nsid w:val="1F48EAA1"/>
    <w:multiLevelType w:val="hybridMultilevel"/>
    <w:lvl w:ilvl="0">
      <w:lvlJc w:val="left"/>
      <w:lvlText w:val="%1."/>
      <w:numFmt w:val="upperLetter"/>
      <w:start w:val="1"/>
    </w:lvl>
  </w:abstractNum>
  <w:abstractNum w:abstractNumId="63">
    <w:nsid w:val="1381823A"/>
    <w:multiLevelType w:val="hybridMultilevel"/>
    <w:lvl w:ilvl="0">
      <w:lvlJc w:val="left"/>
      <w:lvlText w:val="%1."/>
      <w:numFmt w:val="decimal"/>
      <w:start w:val="1"/>
    </w:lvl>
    <w:lvl w:ilvl="1">
      <w:lvlJc w:val="left"/>
      <w:lvlText w:val="(%2)"/>
      <w:numFmt w:val="lowerLetter"/>
      <w:start w:val="1"/>
    </w:lvl>
  </w:abstractNum>
  <w:abstractNum w:abstractNumId="64">
    <w:nsid w:val="5DB70AE5"/>
    <w:multiLevelType w:val="hybridMultilevel"/>
    <w:lvl w:ilvl="0">
      <w:lvlJc w:val="left"/>
      <w:lvlText w:val="%1"/>
      <w:numFmt w:val="upperLetter"/>
      <w:start w:val="1"/>
    </w:lvl>
    <w:lvl w:ilvl="1">
      <w:lvlJc w:val="left"/>
      <w:lvlText w:val="%2."/>
      <w:numFmt w:val="decimal"/>
      <w:start w:val="4"/>
    </w:lvl>
  </w:abstractNum>
  <w:abstractNum w:abstractNumId="65">
    <w:nsid w:val="100F8FCA"/>
    <w:multiLevelType w:val="hybridMultilevel"/>
    <w:lvl w:ilvl="0">
      <w:lvlJc w:val="left"/>
      <w:lvlText w:val="%1."/>
      <w:numFmt w:val="upperLetter"/>
      <w:start w:val="2"/>
    </w:lvl>
    <w:lvl w:ilvl="1">
      <w:lvlJc w:val="left"/>
      <w:lvlText w:val="%2"/>
      <w:numFmt w:val="decimal"/>
      <w:start w:val="1"/>
    </w:lvl>
  </w:abstractNum>
  <w:abstractNum w:abstractNumId="66">
    <w:nsid w:val="6590700B"/>
    <w:multiLevelType w:val="hybridMultilevel"/>
    <w:lvl w:ilvl="0">
      <w:lvlJc w:val="left"/>
      <w:lvlText w:val="%1."/>
      <w:numFmt w:val="upperLetter"/>
      <w:start w:val="1"/>
    </w:lvl>
  </w:abstractNum>
  <w:abstractNum w:abstractNumId="67">
    <w:nsid w:val="15014ACB"/>
    <w:multiLevelType w:val="hybridMultilevel"/>
    <w:lvl w:ilvl="0">
      <w:lvlJc w:val="left"/>
      <w:lvlText w:val="%1."/>
      <w:numFmt w:val="upperLetter"/>
      <w:start w:val="3"/>
    </w:lvl>
  </w:abstractNum>
  <w:abstractNum w:abstractNumId="68">
    <w:nsid w:val="5F5E7FD0"/>
    <w:multiLevelType w:val="hybridMultilevel"/>
    <w:lvl w:ilvl="0">
      <w:lvlJc w:val="left"/>
      <w:lvlText w:val="(%1)"/>
      <w:numFmt w:val="lowerRoman"/>
      <w:start w:val="2"/>
    </w:lvl>
  </w:abstractNum>
  <w:abstractNum w:abstractNumId="69">
    <w:nsid w:val="98A3148"/>
    <w:multiLevelType w:val="hybridMultilevel"/>
    <w:lvl w:ilvl="0">
      <w:lvlJc w:val="left"/>
      <w:lvlText w:val="%1."/>
      <w:numFmt w:val="upperLetter"/>
      <w:start w:val="4"/>
    </w:lvl>
  </w:abstractNum>
  <w:abstractNum w:abstractNumId="70">
    <w:nsid w:val="799D024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2024-09-17T15:17:06Z</dcterms:created>
  <dcterms:modified xsi:type="dcterms:W3CDTF">2024-09-17T15:17:06Z</dcterms:modified>
</cp:coreProperties>
</file>