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center"/>
        <w:rPr>
          <w:rFonts w:ascii="Times New Roman" w:hAnsi="Times New Roman"/>
          <w:b/>
          <w:caps w:val="false"/>
          <w:smallCaps w:val="false"/>
          <w:sz w:val="24"/>
        </w:rPr>
      </w:pPr>
      <w:bookmarkStart w:id="0" w:name="tlry20231120_8k.htm"/>
      <w:bookmarkStart w:id="1" w:name="kstlry20231120_8k"/>
      <w:bookmarkEnd w:id="0"/>
      <w:bookmarkEnd w:id="1"/>
      <w:r>
        <w:rPr>
          <w:rFonts w:ascii="Times New Roman" w:hAnsi="Times New Roman"/>
          <w:b/>
          <w:caps w:val="false"/>
          <w:smallCaps w:val="false"/>
          <w:sz w:val="24"/>
        </w:rPr>
        <w:t>UNITED STATES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November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Tilray Brands,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3365"/>
        <w:gridCol w:w="1505"/>
        <w:gridCol w:w="1550"/>
      </w:tblGrid>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001-38594</w:t>
            </w:r>
          </w:p>
        </w:tc>
        <w:tc>
          <w:tcPr>
            <w:tcW w:w="155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82-4310622</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365" w:type="dxa"/>
            <w:tcBorders/>
            <w:vAlign w:val="center"/>
          </w:tcPr>
          <w:p>
            <w:pPr>
              <w:pStyle w:val="TableContents"/>
              <w:bidi w:val="0"/>
              <w:spacing w:before="0" w:after="0"/>
              <w:ind w:left="240" w:right="0" w:hanging="0"/>
              <w:jc w:val="left"/>
              <w:rPr>
                <w:rFonts w:ascii="Times New Roman" w:hAnsi="Times New Roman"/>
                <w:b/>
                <w:caps w:val="false"/>
                <w:smallCaps w:val="false"/>
                <w:sz w:val="20"/>
              </w:rPr>
            </w:pPr>
            <w:r>
              <w:rPr>
                <w:rFonts w:ascii="Times New Roman" w:hAnsi="Times New Roman"/>
                <w:b/>
                <w:caps w:val="false"/>
                <w:smallCaps w:val="false"/>
                <w:sz w:val="20"/>
              </w:rPr>
              <w:t>265 Talbot Street West,</w:t>
            </w:r>
          </w:p>
        </w:tc>
        <w:tc>
          <w:tcPr>
            <w:tcW w:w="150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Leamington, ON</w:t>
            </w:r>
          </w:p>
        </w:tc>
        <w:tc>
          <w:tcPr>
            <w:tcW w:w="150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N8H 5L4</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0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(844) 845-7291</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230"/>
        <w:gridCol w:w="72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230"/>
        <w:gridCol w:w="73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230"/>
        <w:gridCol w:w="89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2420"/>
        <w:gridCol w:w="860"/>
        <w:gridCol w:w="3695"/>
      </w:tblGrid>
      <w:tr>
        <w:trPr/>
        <w:tc>
          <w:tcPr>
            <w:tcW w:w="24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8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tc>
        <w:tc>
          <w:tcPr>
            <w:tcW w:w="3695" w:type="dxa"/>
            <w:tcBorders/>
            <w:vAlign w:val="center"/>
          </w:tcPr>
          <w:p>
            <w:pPr>
              <w:pStyle w:val="TableContents"/>
              <w:bidi w:val="0"/>
              <w:spacing w:before="0" w:after="0"/>
              <w:ind w:left="1200" w:right="0" w:hanging="0"/>
              <w:jc w:val="left"/>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4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369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w:t>
            </w:r>
          </w:p>
        </w:tc>
        <w:tc>
          <w:tcPr>
            <w:tcW w:w="8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TLRY</w:t>
            </w:r>
          </w:p>
        </w:tc>
        <w:tc>
          <w:tcPr>
            <w:tcW w:w="369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 per share</w:t>
            </w:r>
          </w:p>
        </w:tc>
        <w:tc>
          <w:tcPr>
            <w:tcW w:w="8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ind w:left="1200" w:right="0" w:hanging="0"/>
              <w:jc w:val="left"/>
              <w:rPr>
                <w:rFonts w:ascii="Times New Roman" w:hAnsi="Times New Roman"/>
                <w:b/>
                <w:caps w:val="false"/>
                <w:smallCaps w:val="false"/>
                <w:sz w:val="20"/>
              </w:rPr>
            </w:pPr>
            <w:r>
              <w:rPr>
                <w:rFonts w:ascii="Times New Roman" w:hAnsi="Times New Roman"/>
                <w:b/>
                <w:caps w:val="false"/>
                <w:smallCaps w:val="false"/>
                <w:sz w:val="20"/>
              </w:rPr>
              <w:t>The Nasdaq Global Select Market</w:t>
            </w:r>
          </w:p>
        </w:tc>
      </w:tr>
      <w:tr>
        <w:trPr/>
        <w:tc>
          <w:tcPr>
            <w:tcW w:w="24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w:t>
      </w:r>
      <w:r>
        <w:rPr>
          <w:rFonts w:ascii="Times New Roman" w:hAnsi="Times New Roman"/>
          <w:b/>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On November 21, 2023, Tilray Brands, Inc. (the “</w:t>
      </w:r>
      <w:r>
        <w:rPr>
          <w:rFonts w:ascii="Times New Roman" w:hAnsi="Times New Roman"/>
          <w:b/>
          <w:caps w:val="false"/>
          <w:smallCaps w:val="false"/>
          <w:sz w:val="20"/>
        </w:rPr>
        <w:t>Company</w:t>
      </w:r>
      <w:r>
        <w:rPr>
          <w:rFonts w:ascii="Times New Roman" w:hAnsi="Times New Roman"/>
          <w:caps w:val="false"/>
          <w:smallCaps w:val="false"/>
          <w:sz w:val="20"/>
        </w:rPr>
        <w:t>”) held its 2023 annual meeting of stockholders (the “</w:t>
      </w:r>
      <w:r>
        <w:rPr>
          <w:rFonts w:ascii="Times New Roman" w:hAnsi="Times New Roman"/>
          <w:b/>
          <w:caps w:val="false"/>
          <w:smallCaps w:val="false"/>
          <w:sz w:val="20"/>
        </w:rPr>
        <w:t>Annual Meeting</w:t>
      </w:r>
      <w:r>
        <w:rPr>
          <w:rFonts w:ascii="Times New Roman" w:hAnsi="Times New Roman"/>
          <w:caps w:val="false"/>
          <w:smallCaps w:val="false"/>
          <w:sz w:val="20"/>
        </w:rPr>
        <w:t>”</w:t>
      </w:r>
      <w:r>
        <w:rPr>
          <w:rFonts w:ascii="Times New Roman" w:hAnsi="Times New Roman"/>
          <w:b/>
          <w:caps w:val="false"/>
          <w:smallCaps w:val="false"/>
          <w:sz w:val="20"/>
        </w:rPr>
        <w:t xml:space="preserve">), </w:t>
      </w:r>
      <w:r>
        <w:rPr>
          <w:rFonts w:ascii="Times New Roman" w:hAnsi="Times New Roman"/>
          <w:caps w:val="false"/>
          <w:smallCaps w:val="false"/>
          <w:sz w:val="20"/>
        </w:rPr>
        <w:t>at which a quorum was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At the Annual Meeting, stockholders considered and voted to approve the following proposals, each of which is described in more detail in the Company’s proxy statement dated September 26, 2023 (the "</w:t>
      </w:r>
      <w:r>
        <w:rPr>
          <w:rFonts w:ascii="Times New Roman" w:hAnsi="Times New Roman"/>
          <w:b/>
          <w:caps w:val="false"/>
          <w:smallCaps w:val="false"/>
          <w:sz w:val="20"/>
        </w:rPr>
        <w:t>Proxy Statement</w:t>
      </w:r>
      <w:r>
        <w:rPr>
          <w:rFonts w:ascii="Times New Roman" w:hAnsi="Times New Roman"/>
          <w:caps w:val="false"/>
          <w:smallCaps w:val="false"/>
          <w:sz w:val="20"/>
        </w:rPr>
        <w:t>"): (1) the re-election of each of Irwin D. Simon, Renah Persofsky and David Clanachan as Class II directors to serve until his or her respective term expires or until his or her successor is duly elected and qualified; (2) the ratification of the appointment of PricewaterhouseCoopers LLP as the Company's independent registered accounting firm for the current fiscal year; (3) approval of the non-binding advisory resolution on the named executive officer compensation; (4) approval to increase the number of shares of common stock the Company is authorized to issue from 990,000,000 shares of capital stock to 1,208,000,000 shares of capital stock; and (5) approval of the governance changes to the Company’s Third Amended and Restated Certificate of Incorporation to declassify the Company's board of directors and eliminate the provision of the Charter that allows stockholders to remove directors only for cause (the "</w:t>
      </w:r>
      <w:r>
        <w:rPr>
          <w:rFonts w:ascii="Times New Roman" w:hAnsi="Times New Roman"/>
          <w:b/>
          <w:caps w:val="false"/>
          <w:smallCaps w:val="false"/>
          <w:sz w:val="20"/>
        </w:rPr>
        <w:t>Governance Changes Proposal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Each of first, second, third and fourth proposals were formally approved by the vote of the Company’s stockholders at the Annual Meeting, as detailed in the voting results outlined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fifth proposal did not receive sufficient votes to approve the Governance Changes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Proposal No. 1 </w:t>
      </w:r>
      <w:r>
        <w:rPr>
          <w:rFonts w:ascii="Times New Roman" w:hAnsi="Times New Roman"/>
          <w:caps w:val="false"/>
          <w:smallCaps w:val="false"/>
          <w:sz w:val="20"/>
        </w:rPr>
        <w:t xml:space="preserve">– </w:t>
      </w:r>
      <w:r>
        <w:rPr>
          <w:rFonts w:ascii="Times New Roman" w:hAnsi="Times New Roman"/>
          <w:b/>
          <w:i/>
          <w:caps w:val="false"/>
          <w:smallCaps w:val="false"/>
          <w:sz w:val="20"/>
        </w:rPr>
        <w:t>Re-election of Class II Directors:</w:t>
      </w:r>
    </w:p>
    <w:p>
      <w:pPr>
        <w:pStyle w:val="TextBody"/>
        <w:bidi w:val="0"/>
        <w:spacing w:before="0" w:after="0"/>
        <w:ind w:left="0" w:right="0" w:hanging="0"/>
        <w:jc w:val="left"/>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1670"/>
        <w:gridCol w:w="60"/>
        <w:gridCol w:w="1100"/>
        <w:gridCol w:w="60"/>
        <w:gridCol w:w="1100"/>
        <w:gridCol w:w="60"/>
        <w:gridCol w:w="1220"/>
      </w:tblGrid>
      <w:tr>
        <w:trPr/>
        <w:tc>
          <w:tcPr>
            <w:tcW w:w="16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Nominee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Withheld</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Broker</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Non-Votes</w:t>
            </w:r>
          </w:p>
        </w:tc>
      </w:tr>
      <w:tr>
        <w:trPr/>
        <w:tc>
          <w:tcPr>
            <w:tcW w:w="1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Irwin D. Simon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82,691,191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14,248,227</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205,953,943</w:t>
            </w:r>
          </w:p>
        </w:tc>
      </w:tr>
      <w:tr>
        <w:trPr/>
        <w:tc>
          <w:tcPr>
            <w:tcW w:w="1670" w:type="dxa"/>
            <w:tcBorders/>
            <w:vAlign w:val="center"/>
          </w:tcPr>
          <w:p>
            <w:pPr>
              <w:pStyle w:val="TableContents"/>
              <w:bidi w:val="0"/>
              <w:spacing w:before="0" w:after="283"/>
              <w:jc w:val="left"/>
              <w:rPr/>
            </w:pPr>
            <w:r>
              <w:rPr/>
              <w:t>Renah Persofsky</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70,209,740</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26,729,678</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205,953,943</w:t>
            </w:r>
          </w:p>
        </w:tc>
      </w:tr>
      <w:tr>
        <w:trPr/>
        <w:tc>
          <w:tcPr>
            <w:tcW w:w="1670" w:type="dxa"/>
            <w:tcBorders/>
            <w:vAlign w:val="center"/>
          </w:tcPr>
          <w:p>
            <w:pPr>
              <w:pStyle w:val="TableContents"/>
              <w:bidi w:val="0"/>
              <w:spacing w:before="0" w:after="283"/>
              <w:jc w:val="left"/>
              <w:rPr/>
            </w:pPr>
            <w:r>
              <w:rPr/>
              <w:t>David Clanachan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83,825,518</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13,113,900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205,953,943</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Proposal No. 2 </w:t>
      </w:r>
      <w:r>
        <w:rPr>
          <w:rFonts w:ascii="Times New Roman" w:hAnsi="Times New Roman"/>
          <w:caps w:val="false"/>
          <w:smallCaps w:val="false"/>
          <w:sz w:val="20"/>
        </w:rPr>
        <w:t xml:space="preserve">– </w:t>
      </w:r>
      <w:r>
        <w:rPr>
          <w:rFonts w:ascii="Times New Roman" w:hAnsi="Times New Roman"/>
          <w:b/>
          <w:i/>
          <w:caps w:val="false"/>
          <w:smallCaps w:val="false"/>
          <w:sz w:val="20"/>
        </w:rPr>
        <w:t>Ratification of Selection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65"/>
        <w:gridCol w:w="1220"/>
      </w:tblGrid>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t>
            </w:r>
          </w:p>
        </w:tc>
        <w:tc>
          <w:tcPr>
            <w:tcW w:w="1220" w:type="dxa"/>
            <w:tcBorders/>
            <w:vAlign w:val="center"/>
          </w:tcPr>
          <w:p>
            <w:pPr>
              <w:pStyle w:val="TableContents"/>
              <w:bidi w:val="0"/>
              <w:spacing w:before="0" w:after="283"/>
              <w:jc w:val="left"/>
              <w:rPr/>
            </w:pPr>
            <w:r>
              <w:rPr/>
              <w:t>283,028,586</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Against</w:t>
            </w:r>
          </w:p>
        </w:tc>
        <w:tc>
          <w:tcPr>
            <w:tcW w:w="1220" w:type="dxa"/>
            <w:tcBorders/>
            <w:vAlign w:val="center"/>
          </w:tcPr>
          <w:p>
            <w:pPr>
              <w:pStyle w:val="TableContents"/>
              <w:bidi w:val="0"/>
              <w:spacing w:before="0" w:after="283"/>
              <w:jc w:val="left"/>
              <w:rPr/>
            </w:pPr>
            <w:r>
              <w:rPr/>
              <w:t>13,283,492</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Abstain</w:t>
            </w:r>
          </w:p>
        </w:tc>
        <w:tc>
          <w:tcPr>
            <w:tcW w:w="1220" w:type="dxa"/>
            <w:tcBorders/>
            <w:vAlign w:val="center"/>
          </w:tcPr>
          <w:p>
            <w:pPr>
              <w:pStyle w:val="TableContents"/>
              <w:bidi w:val="0"/>
              <w:spacing w:before="0" w:after="283"/>
              <w:jc w:val="left"/>
              <w:rPr/>
            </w:pPr>
            <w:r>
              <w:rPr/>
              <w:t>6,581,283</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Proposal No. 3 </w:t>
      </w:r>
      <w:r>
        <w:rPr>
          <w:rFonts w:ascii="Times New Roman" w:hAnsi="Times New Roman"/>
          <w:caps w:val="false"/>
          <w:smallCaps w:val="false"/>
          <w:sz w:val="20"/>
        </w:rPr>
        <w:t>– </w:t>
      </w:r>
      <w:r>
        <w:rPr>
          <w:rFonts w:ascii="Times New Roman" w:hAnsi="Times New Roman"/>
          <w:b/>
          <w:i/>
          <w:caps w:val="false"/>
          <w:smallCaps w:val="false"/>
          <w:sz w:val="20"/>
        </w:rPr>
        <w:t>Approval of the Non-Binding Advisory Resolution on the Named Executive Officer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665"/>
        <w:gridCol w:w="1100"/>
      </w:tblGrid>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t>
            </w:r>
          </w:p>
        </w:tc>
        <w:tc>
          <w:tcPr>
            <w:tcW w:w="1100" w:type="dxa"/>
            <w:tcBorders/>
            <w:vAlign w:val="center"/>
          </w:tcPr>
          <w:p>
            <w:pPr>
              <w:pStyle w:val="TableContents"/>
              <w:bidi w:val="0"/>
              <w:spacing w:before="0" w:after="283"/>
              <w:jc w:val="left"/>
              <w:rPr/>
            </w:pPr>
            <w:r>
              <w:rPr/>
              <w:t>68,136,045</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Against</w:t>
            </w:r>
          </w:p>
        </w:tc>
        <w:tc>
          <w:tcPr>
            <w:tcW w:w="1100" w:type="dxa"/>
            <w:tcBorders/>
            <w:vAlign w:val="center"/>
          </w:tcPr>
          <w:p>
            <w:pPr>
              <w:pStyle w:val="TableContents"/>
              <w:bidi w:val="0"/>
              <w:spacing w:before="0" w:after="283"/>
              <w:jc w:val="left"/>
              <w:rPr/>
            </w:pPr>
            <w:r>
              <w:rPr/>
              <w:t>24,322,596</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Abstain</w:t>
            </w:r>
          </w:p>
        </w:tc>
        <w:tc>
          <w:tcPr>
            <w:tcW w:w="1100" w:type="dxa"/>
            <w:tcBorders/>
            <w:vAlign w:val="center"/>
          </w:tcPr>
          <w:p>
            <w:pPr>
              <w:pStyle w:val="TableContents"/>
              <w:bidi w:val="0"/>
              <w:spacing w:before="0" w:after="283"/>
              <w:jc w:val="left"/>
              <w:rPr/>
            </w:pPr>
            <w:r>
              <w:rPr/>
              <w:t>4,480,777</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Proposal No. 4 </w:t>
      </w:r>
      <w:r>
        <w:rPr>
          <w:rFonts w:ascii="Times New Roman" w:hAnsi="Times New Roman"/>
          <w:caps w:val="false"/>
          <w:smallCaps w:val="false"/>
          <w:sz w:val="20"/>
        </w:rPr>
        <w:t>– </w:t>
      </w:r>
      <w:r>
        <w:rPr>
          <w:rFonts w:ascii="Times New Roman" w:hAnsi="Times New Roman"/>
          <w:b/>
          <w:i/>
          <w:caps w:val="false"/>
          <w:smallCaps w:val="false"/>
          <w:sz w:val="20"/>
        </w:rPr>
        <w:t>Approval to Increase the Number of Shares of Common Stock that the Company is Authorized to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65"/>
        <w:gridCol w:w="1220"/>
      </w:tblGrid>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t>
            </w:r>
          </w:p>
        </w:tc>
        <w:tc>
          <w:tcPr>
            <w:tcW w:w="1220" w:type="dxa"/>
            <w:tcBorders/>
            <w:vAlign w:val="center"/>
          </w:tcPr>
          <w:p>
            <w:pPr>
              <w:pStyle w:val="TableContents"/>
              <w:bidi w:val="0"/>
              <w:spacing w:before="0" w:after="283"/>
              <w:jc w:val="left"/>
              <w:rPr/>
            </w:pPr>
            <w:r>
              <w:rPr/>
              <w:t>208,635,941</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Against</w:t>
            </w:r>
          </w:p>
        </w:tc>
        <w:tc>
          <w:tcPr>
            <w:tcW w:w="1220" w:type="dxa"/>
            <w:tcBorders/>
            <w:vAlign w:val="center"/>
          </w:tcPr>
          <w:p>
            <w:pPr>
              <w:pStyle w:val="TableContents"/>
              <w:bidi w:val="0"/>
              <w:spacing w:before="0" w:after="283"/>
              <w:jc w:val="left"/>
              <w:rPr/>
            </w:pPr>
            <w:r>
              <w:rPr/>
              <w:t>85,221,063</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Abstain</w:t>
            </w:r>
          </w:p>
        </w:tc>
        <w:tc>
          <w:tcPr>
            <w:tcW w:w="1220" w:type="dxa"/>
            <w:tcBorders/>
            <w:vAlign w:val="center"/>
          </w:tcPr>
          <w:p>
            <w:pPr>
              <w:pStyle w:val="TableContents"/>
              <w:bidi w:val="0"/>
              <w:spacing w:before="0" w:after="283"/>
              <w:jc w:val="left"/>
              <w:rPr/>
            </w:pPr>
            <w:r>
              <w:rPr/>
              <w:t>9,036,357</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Proposal No. 5 </w:t>
      </w:r>
      <w:r>
        <w:rPr>
          <w:rFonts w:ascii="Times New Roman" w:hAnsi="Times New Roman"/>
          <w:caps w:val="false"/>
          <w:smallCaps w:val="false"/>
          <w:sz w:val="20"/>
        </w:rPr>
        <w:t>– </w:t>
      </w:r>
      <w:r>
        <w:rPr>
          <w:rFonts w:ascii="Times New Roman" w:hAnsi="Times New Roman"/>
          <w:b/>
          <w:i/>
          <w:caps w:val="false"/>
          <w:smallCaps w:val="false"/>
          <w:sz w:val="20"/>
        </w:rPr>
        <w:t>Approval of the Amendments to the Company</w:t>
      </w:r>
      <w:r>
        <w:rPr>
          <w:rFonts w:ascii="Times New Roman" w:hAnsi="Times New Roman"/>
          <w:caps w:val="false"/>
          <w:smallCaps w:val="false"/>
          <w:sz w:val="20"/>
        </w:rPr>
        <w:t>’</w:t>
      </w:r>
      <w:r>
        <w:rPr>
          <w:rFonts w:ascii="Times New Roman" w:hAnsi="Times New Roman"/>
          <w:b/>
          <w:i/>
          <w:caps w:val="false"/>
          <w:smallCaps w:val="false"/>
          <w:sz w:val="20"/>
        </w:rPr>
        <w:t>s Third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665"/>
        <w:gridCol w:w="1100"/>
      </w:tblGrid>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t>
            </w:r>
          </w:p>
        </w:tc>
        <w:tc>
          <w:tcPr>
            <w:tcW w:w="1100" w:type="dxa"/>
            <w:tcBorders/>
            <w:vAlign w:val="center"/>
          </w:tcPr>
          <w:p>
            <w:pPr>
              <w:pStyle w:val="TableContents"/>
              <w:bidi w:val="0"/>
              <w:spacing w:before="0" w:after="283"/>
              <w:jc w:val="left"/>
              <w:rPr/>
            </w:pPr>
            <w:r>
              <w:rPr/>
              <w:t>78,062,437</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Against</w:t>
            </w:r>
          </w:p>
        </w:tc>
        <w:tc>
          <w:tcPr>
            <w:tcW w:w="1100" w:type="dxa"/>
            <w:tcBorders/>
            <w:vAlign w:val="center"/>
          </w:tcPr>
          <w:p>
            <w:pPr>
              <w:pStyle w:val="TableContents"/>
              <w:bidi w:val="0"/>
              <w:spacing w:before="0" w:after="283"/>
              <w:jc w:val="left"/>
              <w:rPr/>
            </w:pPr>
            <w:r>
              <w:rPr/>
              <w:t>16,197,783</w:t>
            </w:r>
          </w:p>
        </w:tc>
      </w:tr>
      <w:tr>
        <w:trPr/>
        <w:tc>
          <w:tcPr>
            <w:tcW w:w="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Abstain</w:t>
            </w:r>
          </w:p>
        </w:tc>
        <w:tc>
          <w:tcPr>
            <w:tcW w:w="1100" w:type="dxa"/>
            <w:tcBorders/>
            <w:vAlign w:val="center"/>
          </w:tcPr>
          <w:p>
            <w:pPr>
              <w:pStyle w:val="TableContents"/>
              <w:bidi w:val="0"/>
              <w:spacing w:before="0" w:after="283"/>
              <w:jc w:val="left"/>
              <w:rPr/>
            </w:pPr>
            <w:r>
              <w:rPr/>
              <w:t>2,679,198</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900" w:right="0" w:hanging="0"/>
        <w:jc w:val="left"/>
        <w:rPr>
          <w:rFonts w:ascii="Times New Roman" w:hAnsi="Times New Roman"/>
          <w:b/>
          <w:caps w:val="false"/>
          <w:smallCaps w:val="false"/>
          <w:sz w:val="20"/>
        </w:rPr>
      </w:pPr>
      <w:r>
        <w:rPr>
          <w:rFonts w:ascii="Times New Roman" w:hAnsi="Times New Roman"/>
          <w:b/>
          <w:caps w:val="false"/>
          <w:smallCaps w:val="false"/>
          <w:sz w:val="20"/>
        </w:rPr>
        <w:t>Tilray Brands, Inc.</w:t>
      </w:r>
    </w:p>
    <w:p>
      <w:pPr>
        <w:pStyle w:val="TextBody"/>
        <w:bidi w:val="0"/>
        <w:spacing w:before="0" w:after="0"/>
        <w:ind w:left="5900" w:right="0" w:hanging="5760"/>
        <w:jc w:val="left"/>
        <w:rPr>
          <w:rFonts w:ascii="Times New Roman" w:hAnsi="Times New Roman"/>
          <w:caps w:val="false"/>
          <w:smallCaps w:val="false"/>
          <w:sz w:val="20"/>
        </w:rPr>
      </w:pPr>
      <w:r>
        <w:rPr>
          <w:rFonts w:ascii="Times New Roman" w:hAnsi="Times New Roman"/>
          <w:caps w:val="false"/>
          <w:smallCaps w:val="false"/>
          <w:sz w:val="20"/>
        </w:rPr>
        <w:t>Date: November 22, 2023                                                                                     </w:t>
      </w:r>
    </w:p>
    <w:p>
      <w:pPr>
        <w:pStyle w:val="TextBody"/>
        <w:bidi w:val="0"/>
        <w:spacing w:before="0" w:after="0"/>
        <w:ind w:left="590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xml:space="preserve"> /s/ Mitchell Gendel</w:t>
      </w:r>
    </w:p>
    <w:p>
      <w:pPr>
        <w:pStyle w:val="TextBody"/>
        <w:bidi w:val="0"/>
        <w:spacing w:before="0" w:after="0"/>
        <w:ind w:left="5900" w:right="0" w:hanging="0"/>
        <w:jc w:val="left"/>
        <w:rPr>
          <w:rFonts w:ascii="Times New Roman" w:hAnsi="Times New Roman"/>
          <w:caps w:val="false"/>
          <w:smallCaps w:val="false"/>
          <w:sz w:val="20"/>
        </w:rPr>
      </w:pPr>
      <w:r>
        <w:rPr>
          <w:rFonts w:ascii="Times New Roman" w:hAnsi="Times New Roman"/>
          <w:caps w:val="false"/>
          <w:smallCaps w:val="false"/>
          <w:sz w:val="20"/>
        </w:rPr>
        <w:t>Name: Mitchell Gendel</w:t>
      </w:r>
    </w:p>
    <w:p>
      <w:pPr>
        <w:pStyle w:val="TextBody"/>
        <w:bidi w:val="0"/>
        <w:spacing w:before="0" w:after="0"/>
        <w:ind w:left="5900" w:right="0" w:hanging="0"/>
        <w:jc w:val="left"/>
        <w:rPr>
          <w:rFonts w:ascii="Times New Roman" w:hAnsi="Times New Roman"/>
          <w:caps w:val="false"/>
          <w:smallCaps w:val="false"/>
          <w:sz w:val="20"/>
        </w:rPr>
      </w:pPr>
      <w:r>
        <w:rPr>
          <w:rFonts w:ascii="Times New Roman" w:hAnsi="Times New Roman"/>
          <w:caps w:val="false"/>
          <w:smallCaps w:val="false"/>
          <w:sz w:val="20"/>
        </w:rPr>
        <w:t>Title: Global General Counsel</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4128</Characters>
  <CharactersWithSpaces>4935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