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9, 2025</w:t>
      </w:r>
    </w:p>
    <w:p>
      <w:pPr>
        <w:spacing w:after="0" w:line="36" w:lineRule="exact"/>
        <w:rPr>
          <w:sz w:val="24"/>
          <w:szCs w:val="24"/>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1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6"/>
          <w:szCs w:val="36"/>
          <w:b w:val="1"/>
          <w:bCs w:val="1"/>
          <w:color w:val="auto"/>
        </w:rPr>
        <w:t>TILRAY BRANDS,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9" w:lineRule="exact"/>
        <w:rPr>
          <w:sz w:val="24"/>
          <w:szCs w:val="24"/>
          <w:color w:val="auto"/>
        </w:rPr>
      </w:pPr>
    </w:p>
    <w:tbl>
      <w:tblPr>
        <w:tblLayout w:type="fixed"/>
        <w:tblInd w:w="1200" w:type="dxa"/>
        <w:tblCellMar>
          <w:top w:w="0" w:type="dxa"/>
          <w:left w:w="0" w:type="dxa"/>
          <w:bottom w:w="0" w:type="dxa"/>
          <w:right w:w="0" w:type="dxa"/>
        </w:tblCellMar>
      </w:tblPr>
      <w:tr>
        <w:trPr>
          <w:trHeight w:val="216"/>
        </w:trPr>
        <w:tc>
          <w:tcPr>
            <w:tcW w:w="38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82-4310622</w:t>
            </w:r>
          </w:p>
        </w:tc>
      </w:tr>
      <w:tr>
        <w:trPr>
          <w:trHeight w:val="216"/>
        </w:trPr>
        <w:tc>
          <w:tcPr>
            <w:tcW w:w="38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24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24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 Talbot Street West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Leamington, Ontario, Canada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(844) 845-7291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 Talbot Street West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Leamington, Ontario, Canada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(844) 845-7291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68" w:lineRule="exact"/>
        <w:rPr>
          <w:sz w:val="24"/>
          <w:szCs w:val="24"/>
          <w:color w:val="auto"/>
        </w:rPr>
      </w:pPr>
    </w:p>
    <w:tbl>
      <w:tblPr>
        <w:tblLayout w:type="fixed"/>
        <w:tblInd w:w="120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45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248"/>
        </w:trPr>
        <w:tc>
          <w:tcPr>
            <w:tcW w:w="28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Mitchell Gendel</w:t>
            </w:r>
          </w:p>
        </w:tc>
        <w:tc>
          <w:tcPr>
            <w:tcW w:w="450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Christopher P. Giordano, Esq.</w:t>
            </w:r>
          </w:p>
        </w:tc>
      </w:tr>
      <w:tr>
        <w:trPr>
          <w:trHeight w:val="216"/>
        </w:trPr>
        <w:tc>
          <w:tcPr>
            <w:tcW w:w="28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Global General Counsel</w:t>
            </w:r>
          </w:p>
        </w:tc>
        <w:tc>
          <w:tcPr>
            <w:tcW w:w="450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Penny Minna, Esq.</w:t>
            </w:r>
          </w:p>
        </w:tc>
      </w:tr>
      <w:tr>
        <w:trPr>
          <w:trHeight w:val="216"/>
        </w:trPr>
        <w:tc>
          <w:tcPr>
            <w:tcW w:w="28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Tilray Brands, Inc.</w:t>
            </w:r>
          </w:p>
        </w:tc>
        <w:tc>
          <w:tcPr>
            <w:tcW w:w="450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DLA Piper LLP (US)</w:t>
            </w:r>
          </w:p>
        </w:tc>
      </w:tr>
      <w:tr>
        <w:trPr>
          <w:trHeight w:val="216"/>
        </w:trPr>
        <w:tc>
          <w:tcPr>
            <w:tcW w:w="28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7"/>
              </w:rPr>
              <w:t>265 Talbot Street West</w:t>
            </w:r>
          </w:p>
        </w:tc>
        <w:tc>
          <w:tcPr>
            <w:tcW w:w="450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1251 Avenue of the Americas</w:t>
            </w:r>
          </w:p>
        </w:tc>
      </w:tr>
      <w:tr>
        <w:trPr>
          <w:trHeight w:val="216"/>
        </w:trPr>
        <w:tc>
          <w:tcPr>
            <w:tcW w:w="28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Leamington, Ontario, Canada</w:t>
            </w:r>
          </w:p>
        </w:tc>
        <w:tc>
          <w:tcPr>
            <w:tcW w:w="450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New York, NY 10020</w:t>
            </w:r>
          </w:p>
        </w:tc>
      </w:tr>
      <w:tr>
        <w:trPr>
          <w:trHeight w:val="238"/>
        </w:trPr>
        <w:tc>
          <w:tcPr>
            <w:tcW w:w="28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(844) 845-7291</w:t>
            </w:r>
          </w:p>
        </w:tc>
        <w:tc>
          <w:tcPr>
            <w:tcW w:w="4500" w:type="dxa"/>
            <w:vAlign w:val="bottom"/>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rPr>
              <w:t>(212) 335-4500</w:t>
            </w:r>
          </w:p>
        </w:tc>
      </w:tr>
    </w:tbl>
    <w:p>
      <w:pPr>
        <w:spacing w:after="0" w:line="32" w:lineRule="exact"/>
        <w:rPr>
          <w:sz w:val="24"/>
          <w:szCs w:val="24"/>
          <w:color w:val="auto"/>
        </w:rPr>
      </w:pPr>
    </w:p>
    <w:p>
      <w:pPr>
        <w:ind w:right="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w:t>
      </w:r>
    </w:p>
    <w:p>
      <w:pPr>
        <w:spacing w:after="0" w:line="1"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49" w:lineRule="exact"/>
        <w:rPr>
          <w:sz w:val="24"/>
          <w:szCs w:val="24"/>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2" w:lineRule="exact"/>
        <w:rPr>
          <w:sz w:val="24"/>
          <w:szCs w:val="24"/>
          <w:color w:val="auto"/>
        </w:rPr>
      </w:pPr>
    </w:p>
    <w:p>
      <w:pPr>
        <w:ind w:right="120"/>
        <w:spacing w:after="0" w:line="216"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6"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9" w:lineRule="exact"/>
        <w:rPr>
          <w:sz w:val="24"/>
          <w:szCs w:val="24"/>
          <w:color w:val="auto"/>
        </w:rPr>
      </w:pPr>
    </w:p>
    <w:p>
      <w:pPr>
        <w:ind w:right="240"/>
        <w:spacing w:after="0" w:line="226"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 w:lineRule="exact"/>
        <w:rPr>
          <w:sz w:val="24"/>
          <w:szCs w:val="24"/>
          <w:color w:val="auto"/>
        </w:rPr>
      </w:pPr>
    </w:p>
    <w:p>
      <w:pPr>
        <w:ind w:right="18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36" w:lineRule="exact"/>
        <w:rPr>
          <w:sz w:val="24"/>
          <w:szCs w:val="24"/>
          <w:color w:val="auto"/>
        </w:rPr>
      </w:pPr>
    </w:p>
    <w:p>
      <w:pPr>
        <w:ind w:right="420"/>
        <w:spacing w:after="0" w:line="24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Accelerated filer</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4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3" w:lineRule="exact"/>
        <w:rPr>
          <w:sz w:val="24"/>
          <w:szCs w:val="24"/>
          <w:color w:val="auto"/>
        </w:rPr>
      </w:pPr>
    </w:p>
    <w:p>
      <w:pPr>
        <w:ind w:right="22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213995</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342900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80"/>
          </w:cols>
          <w:pgMar w:left="1080" w:top="223" w:right="1139"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Registration Statement contains the following documents:</w:t>
      </w:r>
    </w:p>
    <w:p>
      <w:pPr>
        <w:spacing w:after="0" w:line="117" w:lineRule="exact"/>
        <w:rPr>
          <w:sz w:val="20"/>
          <w:szCs w:val="20"/>
          <w:color w:val="auto"/>
        </w:rPr>
      </w:pPr>
    </w:p>
    <w:p>
      <w:pPr>
        <w:ind w:left="1000" w:right="4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which covers the offering, issuance and sale by the registrant of the securities identified below from time to time in one or more offerings;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prospectus supplement (the “ATM Prospectus Supplement”) that covers the offering, issuance and sale by us, from time to time, of shares of our common stock, par value $0.0001 per share (“Common Stock”), having an aggregate offering price of up to $51,597,980, pursuant to the Equity Distribution Agreement, dated May 17, 2024 (the “Equity Distribution Agreement”), by and between us, on the one hand, and TD Securities (USA) LLC and Jefferies LLC, on the other hand;</w:t>
      </w:r>
    </w:p>
    <w:p>
      <w:pPr>
        <w:spacing w:after="0" w:line="75"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prospectus supplement (the “Warrant Shares Prospectus Supplement”) that covers the issuance of up to 3,133 shares of our Common Stock upon exercise of certain outstanding warrants; and</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prospectus supplement (the “Resale Prospectus Supplement”) that covers the offering and sale, from time to time, by a selling stockholder of up to 8,617,068 shares of our Common Stock.</w:t>
      </w:r>
    </w:p>
    <w:p>
      <w:pPr>
        <w:spacing w:after="0" w:line="54" w:lineRule="exact"/>
        <w:rPr>
          <w:sz w:val="20"/>
          <w:szCs w:val="20"/>
          <w:color w:val="auto"/>
        </w:rPr>
      </w:pPr>
    </w:p>
    <w:p>
      <w:pPr>
        <w:ind w:left="300" w:right="759" w:firstLine="360"/>
        <w:spacing w:after="0" w:line="266"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specific terms of any other securities offered pursuant to the base prospectus will be specified in one or more prospectus supplements to the base prospectus.</w:t>
      </w:r>
    </w:p>
    <w:p>
      <w:pPr>
        <w:spacing w:after="0" w:line="68"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The specific terms of the securities to be issued and sold pursuant to the Equity Distribution Agreement are described in the ATM Prospectus Supplement; the specific terms of the securities issuable upon exercise of the outstanding warrants are described in the Warrant Shares Prospectus Supplement; and the specific terms of the securities to be sold by the selling stockholder are described in the Resale Prospectus Supplement. The ATM Prospectus Supplement, the Warrant Shares Prospectus Supplement and the Resale Prospectus Supplement follow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113665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Tilray Brands, Inc.</w:t>
      </w:r>
    </w:p>
    <w:p>
      <w:pPr>
        <w:spacing w:after="0" w:line="35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9" w:lineRule="exact"/>
        <w:rPr>
          <w:sz w:val="20"/>
          <w:szCs w:val="20"/>
          <w:color w:val="auto"/>
        </w:rPr>
      </w:pPr>
    </w:p>
    <w:p>
      <w:pPr>
        <w:ind w:left="400" w:right="579" w:firstLine="360"/>
        <w:spacing w:after="0" w:line="258" w:lineRule="auto"/>
        <w:rPr>
          <w:sz w:val="20"/>
          <w:szCs w:val="20"/>
          <w:color w:val="auto"/>
        </w:rPr>
      </w:pPr>
      <w:r>
        <w:rPr>
          <w:rFonts w:ascii="Times New Roman" w:cs="Times New Roman" w:eastAsia="Times New Roman" w:hAnsi="Times New Roman"/>
          <w:sz w:val="18"/>
          <w:szCs w:val="18"/>
          <w:color w:val="auto"/>
        </w:rPr>
        <w:t>From time to time, we or selling securityholders may offer and sell any combination of the securities described in this prospectus, either individually or in combination with other securities. We or selling securityholders may also offer common stock or preferred stock upon conversion of debt securities, common stock upon conversion of preferred stock, or common stock, preferred stock or debt securities upon the exercise of warrants.</w:t>
      </w:r>
    </w:p>
    <w:p>
      <w:pPr>
        <w:spacing w:after="0" w:line="75" w:lineRule="exact"/>
        <w:rPr>
          <w:sz w:val="20"/>
          <w:szCs w:val="20"/>
          <w:color w:val="auto"/>
        </w:rPr>
      </w:pPr>
    </w:p>
    <w:p>
      <w:pPr>
        <w:ind w:left="400" w:right="459" w:firstLine="360"/>
        <w:spacing w:after="0" w:line="255" w:lineRule="auto"/>
        <w:rPr>
          <w:sz w:val="20"/>
          <w:szCs w:val="20"/>
          <w:color w:val="auto"/>
        </w:rPr>
      </w:pPr>
      <w:r>
        <w:rPr>
          <w:rFonts w:ascii="Times New Roman" w:cs="Times New Roman" w:eastAsia="Times New Roman" w:hAnsi="Times New Roman"/>
          <w:sz w:val="18"/>
          <w:szCs w:val="18"/>
          <w:color w:val="auto"/>
        </w:rPr>
        <w:t>Each time we sell securities pursuant to this prospectus, we will provide the specific terms of these offerings and securities in one or more prospectus supplements and attach it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w:t>
      </w:r>
    </w:p>
    <w:p>
      <w:pPr>
        <w:spacing w:after="0" w:line="81" w:lineRule="exact"/>
        <w:rPr>
          <w:sz w:val="20"/>
          <w:szCs w:val="20"/>
          <w:color w:val="auto"/>
        </w:rPr>
      </w:pPr>
    </w:p>
    <w:p>
      <w:pPr>
        <w:ind w:left="400" w:right="439" w:firstLine="360"/>
        <w:spacing w:after="0" w:line="277" w:lineRule="auto"/>
        <w:rPr>
          <w:sz w:val="20"/>
          <w:szCs w:val="20"/>
          <w:color w:val="auto"/>
        </w:rPr>
      </w:pPr>
      <w:r>
        <w:rPr>
          <w:rFonts w:ascii="Times New Roman" w:cs="Times New Roman" w:eastAsia="Times New Roman" w:hAnsi="Times New Roman"/>
          <w:sz w:val="17"/>
          <w:szCs w:val="17"/>
          <w:color w:val="auto"/>
        </w:rPr>
        <w:t>Our common stock is listed on The Nasdaq Global Select Market and the Toronto Stock Exchange under the trading symbol “TLRY.” On October 8, 2025, the last sale price of our common stock was $1.72 per share on The Nasdaq Global Select Market and C$2.36 per share on the Toronto Stock Exchange. The applicable prospectus supplement will contain information, where applicable, as to other listings, if any, on The Nasdaq Global Select Market or other securities exchange of the securities covered by the applicable prospectus supplement.</w:t>
      </w:r>
    </w:p>
    <w:p>
      <w:pPr>
        <w:spacing w:after="0" w:line="56" w:lineRule="exact"/>
        <w:rPr>
          <w:sz w:val="20"/>
          <w:szCs w:val="20"/>
          <w:color w:val="auto"/>
        </w:rPr>
      </w:pPr>
    </w:p>
    <w:p>
      <w:pPr>
        <w:ind w:left="400" w:right="559" w:firstLine="3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Investing in our securities involves a high degree of risk. You should review carefully the risks and uncertainties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53" w:lineRule="exact"/>
        <w:rPr>
          <w:sz w:val="20"/>
          <w:szCs w:val="20"/>
          <w:color w:val="auto"/>
        </w:rPr>
      </w:pPr>
    </w:p>
    <w:p>
      <w:pPr>
        <w:jc w:val="both"/>
        <w:ind w:left="4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prospectus is dated October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tbl>
      <w:tblPr>
        <w:tblLayout w:type="fixed"/>
        <w:tblInd w:w="300" w:type="dxa"/>
        <w:tblCellMar>
          <w:top w:w="0" w:type="dxa"/>
          <w:left w:w="0" w:type="dxa"/>
          <w:bottom w:w="0" w:type="dxa"/>
          <w:right w:w="0" w:type="dxa"/>
        </w:tblCellMar>
      </w:tblPr>
      <w:tr>
        <w:trPr>
          <w:trHeight w:val="161"/>
        </w:trPr>
        <w:tc>
          <w:tcPr>
            <w:tcW w:w="776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318"/>
        </w:trPr>
        <w:tc>
          <w:tcPr>
            <w:tcW w:w="77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60" w:type="dxa"/>
            <w:vAlign w:val="bottom"/>
            <w:shd w:val="clear" w:color="auto" w:fill="CCEEFF"/>
          </w:tcPr>
          <w:p>
            <w:pPr>
              <w:spacing w:after="0"/>
              <w:rPr>
                <w:sz w:val="24"/>
                <w:szCs w:val="24"/>
                <w:color w:val="auto"/>
              </w:rPr>
            </w:pPr>
          </w:p>
        </w:tc>
        <w:tc>
          <w:tcPr>
            <w:tcW w:w="2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ii</w:t>
            </w:r>
          </w:p>
        </w:tc>
      </w:tr>
      <w:tr>
        <w:trPr>
          <w:trHeight w:val="189"/>
        </w:trPr>
        <w:tc>
          <w:tcPr>
            <w:tcW w:w="2220" w:type="dxa"/>
            <w:vAlign w:val="bottom"/>
            <w:tcBorders>
              <w:top w:val="single" w:sz="8" w:color="0000EE"/>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PROSPECTUS SUMMARY</w:t>
            </w:r>
          </w:p>
        </w:tc>
        <w:tc>
          <w:tcPr>
            <w:tcW w:w="5540" w:type="dxa"/>
            <w:vAlign w:val="bottom"/>
            <w:tcBorders>
              <w:top w:val="single" w:sz="8" w:color="CCEEFF"/>
            </w:tcBorders>
            <w:gridSpan w:val="8"/>
          </w:tcPr>
          <w:p>
            <w:pPr>
              <w:spacing w:after="0"/>
              <w:rPr>
                <w:sz w:val="16"/>
                <w:szCs w:val="16"/>
                <w:color w:val="auto"/>
              </w:rPr>
            </w:pPr>
          </w:p>
        </w:tc>
        <w:tc>
          <w:tcPr>
            <w:tcW w:w="54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0000EE"/>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Borders>
              <w:top w:val="single" w:sz="8" w:color="CCEEFF"/>
            </w:tcBorders>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gridSpan w:val="3"/>
            <w:shd w:val="clear" w:color="auto" w:fill="CCEEFF"/>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gridSpan w:val="3"/>
          </w:tcPr>
          <w:p>
            <w:pPr>
              <w:jc w:val="center"/>
              <w:ind w:left="45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1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860" w:type="dxa"/>
            <w:vAlign w:val="bottom"/>
            <w:tcBorders>
              <w:bottom w:val="single" w:sz="8" w:color="0000EE"/>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CAPITAL STOCK</w:t>
            </w:r>
          </w:p>
        </w:tc>
        <w:tc>
          <w:tcPr>
            <w:tcW w:w="4900" w:type="dxa"/>
            <w:vAlign w:val="bottom"/>
            <w:tcBorders>
              <w:bottom w:val="single" w:sz="8" w:color="CCEEFF"/>
            </w:tcBorders>
            <w:gridSpan w:val="5"/>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660" w:type="dxa"/>
            <w:vAlign w:val="bottom"/>
            <w:gridSpan w:val="4"/>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EE"/>
                <w:w w:val="99"/>
              </w:rPr>
              <w:t>13</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48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280" w:type="dxa"/>
            <w:vAlign w:val="bottom"/>
            <w:gridSpan w:val="7"/>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19</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LEGAL OWNERSHIP OF SECURITIES</w:t>
            </w:r>
          </w:p>
        </w:tc>
        <w:tc>
          <w:tcPr>
            <w:tcW w:w="660" w:type="dxa"/>
            <w:vAlign w:val="bottom"/>
            <w:gridSpan w:val="4"/>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EE"/>
                <w:w w:val="99"/>
              </w:rPr>
              <w:t>21</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50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5260" w:type="dxa"/>
            <w:vAlign w:val="bottom"/>
            <w:gridSpan w:val="6"/>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24</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50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5260" w:type="dxa"/>
            <w:vAlign w:val="bottom"/>
            <w:gridSpan w:val="6"/>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25</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60" w:type="dxa"/>
            <w:vAlign w:val="bottom"/>
            <w:gridSpan w:val="4"/>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EE"/>
                <w:w w:val="99"/>
              </w:rPr>
              <w:t>26</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4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5720" w:type="dxa"/>
            <w:vAlign w:val="bottom"/>
            <w:gridSpan w:val="10"/>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28</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0" w:type="dxa"/>
            <w:vAlign w:val="bottom"/>
            <w:gridSpan w:val="4"/>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EE"/>
                <w:w w:val="99"/>
              </w:rPr>
              <w:t>28</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0" w:type="dxa"/>
            <w:vAlign w:val="bottom"/>
            <w:gridSpan w:val="4"/>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EE"/>
                <w:w w:val="99"/>
              </w:rPr>
              <w:t>28</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60" w:type="dxa"/>
            <w:vAlign w:val="bottom"/>
            <w:gridSpan w:val="4"/>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color w:val="0000EE"/>
                <w:w w:val="99"/>
              </w:rPr>
              <w:t>29</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4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SEC, utilizing a “shelf” registration process. Under this shelf registration process, we or selling securityholders may offer and sell shares of our common stock and preferred stock, various series of debt securities and/or warrants to purchase any of such securities, either individually or in combination with other securities, in one or more offerings. There is no limit on the aggregate amount of the securities that we or selling securityholders may offer pursuant to the registration statement of which this prospectus is a part. This prospectus provides you with a general description of the securities we or selling securityholders may offer.</w:t>
      </w:r>
    </w:p>
    <w:p>
      <w:pPr>
        <w:spacing w:after="0" w:line="8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76" w:lineRule="exact"/>
        <w:rPr>
          <w:sz w:val="20"/>
          <w:szCs w:val="20"/>
          <w:color w:val="auto"/>
        </w:rPr>
      </w:pPr>
    </w:p>
    <w:p>
      <w:pPr>
        <w:ind w:left="300" w:right="9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5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and the applicable prospectus supplement, along with the information contained in any free writing prospectuses we have authorized for use in connection with a specific offering. We have not authorized anyone to provide you with different or additional information. This prospectus is an offer to sell only the securities offered hereby, but only under circumstances and in jurisdictions where it is lawful to do so.</w:t>
      </w:r>
    </w:p>
    <w:p>
      <w:pPr>
        <w:spacing w:after="0" w:line="7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applicable prospectus supplement or any related free writing prospectus, or any sale of a security. Our business, financial condition, results of operations and prospects may have changed since those dates.</w:t>
      </w:r>
    </w:p>
    <w:p>
      <w:pPr>
        <w:spacing w:after="0" w:line="79"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spacing w:after="0" w:line="7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to “Tilray,” the “company,” “we,” “us” and “our” refer to Tilray Brands, Inc. and its wholly owned subsidiaries. Tilray, our logo and our other registered or common law trademarks, trade names or service marks appearing in this prospectus are owned by us. Solely for convenience, trademarks and trade names referred to in this prospectus, including logos, artwork and other visual displays, may appear without the ® or ™ symbols, but such references are not intended to indicate in any way that we will not assert, to the fullest extent under applicable law, our rights of the applicable licensor to these trademarks and trade names. Unless otherwise stated in this prospectus, we do not intend our use or display of other companies’ trade names or trademarks to imply a relationship with, or endorsement or sponsorship of us by, any other companies.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93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3405" cy="79933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ind w:left="32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20" w:right="339" w:firstLine="360"/>
        <w:spacing w:after="0" w:line="256" w:lineRule="auto"/>
        <w:rPr>
          <w:sz w:val="20"/>
          <w:szCs w:val="20"/>
          <w:color w:val="auto"/>
        </w:rPr>
      </w:pPr>
      <w:r>
        <w:rPr>
          <w:rFonts w:ascii="Times New Roman" w:cs="Times New Roman" w:eastAsia="Times New Roman" w:hAnsi="Times New Roman"/>
          <w:sz w:val="18"/>
          <w:szCs w:val="18"/>
          <w:color w:val="auto"/>
        </w:rPr>
        <w:t>Tilray is a leading global lifestyle consumer products company, which was incorporated on January 24, 2018 and is headquartered in Leamington and New York, with operations in Canada, the United States, Europe, Australia, New Zealand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w:t>
      </w: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20" w:right="319" w:firstLine="360"/>
        <w:spacing w:after="0" w:line="256" w:lineRule="auto"/>
        <w:rPr>
          <w:sz w:val="20"/>
          <w:szCs w:val="20"/>
          <w:color w:val="auto"/>
        </w:rPr>
      </w:pPr>
      <w:r>
        <w:rPr>
          <w:rFonts w:ascii="Times New Roman" w:cs="Times New Roman" w:eastAsia="Times New Roman" w:hAnsi="Times New Roman"/>
          <w:sz w:val="18"/>
          <w:szCs w:val="18"/>
          <w:color w:val="auto"/>
        </w:rPr>
        <w:t>Tilray Brands, Inc. was incorporated in Delaware in January 2018. Prior to January 2018, Tilray Brands, Inc. operated its business under Decatur Holdings, BV, a Dutch private limited liability company (“Decatur”), which was formed in March 2016. Decatur was incorporated under the laws of the Netherlands on March 8, 2016 as a wholly-owned subsidiary of Privateer Holdings, Inc. (“Privateer Holdings”) to hold a 100% ownership interest in Tilray Brands, Inc.’s direct and indirect subsidiaries through which Tilray Brands, Inc. operated its business. Decatur was dissolved on December 27, 2018.</w:t>
      </w:r>
    </w:p>
    <w:p>
      <w:pPr>
        <w:spacing w:after="0" w:line="79" w:lineRule="exact"/>
        <w:rPr>
          <w:sz w:val="20"/>
          <w:szCs w:val="20"/>
          <w:color w:val="auto"/>
        </w:rPr>
      </w:pPr>
    </w:p>
    <w:p>
      <w:pPr>
        <w:ind w:left="320" w:right="339" w:firstLine="360"/>
        <w:spacing w:after="0" w:line="282" w:lineRule="auto"/>
        <w:rPr>
          <w:sz w:val="20"/>
          <w:szCs w:val="20"/>
          <w:color w:val="auto"/>
        </w:rPr>
      </w:pPr>
      <w:r>
        <w:rPr>
          <w:rFonts w:ascii="Times New Roman" w:cs="Times New Roman" w:eastAsia="Times New Roman" w:hAnsi="Times New Roman"/>
          <w:sz w:val="18"/>
          <w:szCs w:val="18"/>
          <w:color w:val="auto"/>
        </w:rPr>
        <w:t>On December 12, 2019, Privateer Holdings merged with and into a wholly owned subsidiary of Tilray pursuant to the agreement and plan of merger and reorganization.</w:t>
      </w:r>
    </w:p>
    <w:p>
      <w:pPr>
        <w:spacing w:after="0" w:line="54" w:lineRule="exact"/>
        <w:rPr>
          <w:sz w:val="20"/>
          <w:szCs w:val="20"/>
          <w:color w:val="auto"/>
        </w:rPr>
      </w:pPr>
    </w:p>
    <w:p>
      <w:pPr>
        <w:ind w:left="320" w:right="319" w:firstLine="360"/>
        <w:spacing w:after="0" w:line="261" w:lineRule="auto"/>
        <w:rPr>
          <w:sz w:val="20"/>
          <w:szCs w:val="20"/>
          <w:color w:val="auto"/>
        </w:rPr>
      </w:pPr>
      <w:r>
        <w:rPr>
          <w:rFonts w:ascii="Times New Roman" w:cs="Times New Roman" w:eastAsia="Times New Roman" w:hAnsi="Times New Roman"/>
          <w:sz w:val="18"/>
          <w:szCs w:val="18"/>
          <w:color w:val="auto"/>
        </w:rPr>
        <w:t>Pursuant to an arrangement agreement, dated as of December 15, 2020, as amended on February 19, 2021, between Tilray and Aphria Inc., Tilray implemented an arrangement (the “Arrangement”) under the Business Corporations Act (Ontario) in accordance with a plan of arrangement. The Arrangement was completed on April 30, 2021.</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10, 2022, Tilray, Inc. changed its corporate name to Tilray Brands, Inc., pursuant to a</w:t>
      </w:r>
    </w:p>
    <w:p>
      <w:pPr>
        <w:spacing w:after="0" w:line="27" w:lineRule="exact"/>
        <w:rPr>
          <w:sz w:val="20"/>
          <w:szCs w:val="20"/>
          <w:color w:val="auto"/>
        </w:rPr>
      </w:pPr>
    </w:p>
    <w:p>
      <w:pPr>
        <w:ind w:left="320" w:right="339"/>
        <w:spacing w:after="0" w:line="255" w:lineRule="auto"/>
        <w:rPr>
          <w:sz w:val="20"/>
          <w:szCs w:val="20"/>
          <w:color w:val="auto"/>
        </w:rPr>
      </w:pPr>
      <w:r>
        <w:rPr>
          <w:rFonts w:ascii="Times New Roman" w:cs="Times New Roman" w:eastAsia="Times New Roman" w:hAnsi="Times New Roman"/>
          <w:sz w:val="18"/>
          <w:szCs w:val="18"/>
          <w:color w:val="auto"/>
        </w:rPr>
        <w:t>second certificate of amendment of the amended and restated certificate of incorporation filed with the Delaware Secretary of State (the “Name Change”), and amended and restated its Bylaws on that same date to reflect the Name Change.</w:t>
      </w:r>
    </w:p>
    <w:p>
      <w:pPr>
        <w:spacing w:after="0" w:line="78"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On March 16, 2023, Tilray’s stockholders formally approved a proposal to amend its certificate of incorporation (the “Charter Amendment”), which modified Tilray’s existing certificate of incorporation by canceling its Class 1 common stock and re-allocating such authorized shares to Class 2 common stock. In addition, the Charter Amendment reclassified each issued and outstanding share of Class 2 common stock as one share of common stock of Tilray.</w:t>
      </w:r>
    </w:p>
    <w:p>
      <w:pPr>
        <w:spacing w:after="0" w:line="75" w:lineRule="exact"/>
        <w:rPr>
          <w:sz w:val="20"/>
          <w:szCs w:val="20"/>
          <w:color w:val="auto"/>
        </w:rPr>
      </w:pPr>
    </w:p>
    <w:p>
      <w:pPr>
        <w:ind w:left="320" w:right="379" w:firstLine="360"/>
        <w:spacing w:after="0" w:line="256" w:lineRule="auto"/>
        <w:rPr>
          <w:sz w:val="20"/>
          <w:szCs w:val="20"/>
          <w:color w:val="auto"/>
        </w:rPr>
      </w:pPr>
      <w:r>
        <w:rPr>
          <w:rFonts w:ascii="Times New Roman" w:cs="Times New Roman" w:eastAsia="Times New Roman" w:hAnsi="Times New Roman"/>
          <w:sz w:val="18"/>
          <w:szCs w:val="18"/>
          <w:color w:val="auto"/>
        </w:rPr>
        <w:t>On April 10, 2023, Tilray entered into an arrangement agreement, as amended on June 1, 2023, with HEXO Corp. (“HEXO”), pursuant to which Tilray agreed to acquire all of the issued and outstanding common shares of HEXO pursuant to a plan of arrangement under the Business Corporations Act (Ontario). This transaction builds on the successful strategic alliance between the two companies and positions Tilray for continued strong growth and market leadership in Canada, the largest federally legal cannabis market in the world. The acquisition of HEXO closed on June 22, 2023.</w:t>
      </w:r>
    </w:p>
    <w:p>
      <w:pPr>
        <w:spacing w:after="0" w:line="79" w:lineRule="exact"/>
        <w:rPr>
          <w:sz w:val="20"/>
          <w:szCs w:val="20"/>
          <w:color w:val="auto"/>
        </w:rPr>
      </w:pPr>
    </w:p>
    <w:p>
      <w:pPr>
        <w:ind w:left="320" w:right="439" w:firstLine="360"/>
        <w:spacing w:after="0" w:line="261" w:lineRule="auto"/>
        <w:rPr>
          <w:sz w:val="20"/>
          <w:szCs w:val="20"/>
          <w:color w:val="auto"/>
        </w:rPr>
      </w:pPr>
      <w:r>
        <w:rPr>
          <w:rFonts w:ascii="Times New Roman" w:cs="Times New Roman" w:eastAsia="Times New Roman" w:hAnsi="Times New Roman"/>
          <w:sz w:val="18"/>
          <w:szCs w:val="18"/>
          <w:color w:val="auto"/>
        </w:rPr>
        <w:t>Tilray’s principal executive office is located at 265 Talbot Street West, Leamington, Ontario, Canada and its telephone number is (844) 845-7291. Its corporate website address is www.tilray.com. Information contained on or accessible through such website is not a part of this prospectus, and the inclusion of the website address in this prospectus is an inactive textual reference only.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61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3405" cy="806196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ind w:left="320" w:right="359" w:firstLine="360"/>
        <w:spacing w:after="0" w:line="254" w:lineRule="auto"/>
        <w:rPr>
          <w:sz w:val="20"/>
          <w:szCs w:val="20"/>
          <w:color w:val="auto"/>
        </w:rPr>
      </w:pPr>
      <w:r>
        <w:rPr>
          <w:rFonts w:ascii="Times New Roman" w:cs="Times New Roman" w:eastAsia="Times New Roman" w:hAnsi="Times New Roman"/>
          <w:sz w:val="18"/>
          <w:szCs w:val="18"/>
          <w:color w:val="auto"/>
        </w:rPr>
        <w:t>We or selling securityholders may offer shares of our common stock and preferred stock, various series of debt securities and/or warrants to purchase any of such securities, either individually or in combination with other securities, from time to time under this prospectus, together with the applicable prospectus supplement and any related free writing prospectus, at prices and on terms to be determined by market conditions at the time of any offering.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spacing w:after="0" w:line="84" w:lineRule="exact"/>
        <w:rPr>
          <w:sz w:val="20"/>
          <w:szCs w:val="20"/>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w:t>
      </w:r>
    </w:p>
    <w:p>
      <w:pPr>
        <w:spacing w:after="0" w:line="117" w:lineRule="exact"/>
        <w:rPr>
          <w:rFonts w:ascii="Times New Roman" w:cs="Times New Roman" w:eastAsia="Times New Roman" w:hAnsi="Times New Roman"/>
          <w:sz w:val="18"/>
          <w:szCs w:val="18"/>
          <w:color w:val="auto"/>
        </w:rPr>
      </w:pPr>
    </w:p>
    <w:p>
      <w:pPr>
        <w:ind w:left="1020" w:right="359" w:hanging="350"/>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117" w:lineRule="exact"/>
        <w:rPr>
          <w:sz w:val="20"/>
          <w:szCs w:val="20"/>
          <w:color w:val="auto"/>
        </w:rPr>
      </w:pPr>
    </w:p>
    <w:p>
      <w:pPr>
        <w:ind w:left="320" w:right="719" w:firstLine="36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68" w:lineRule="exact"/>
        <w:rPr>
          <w:sz w:val="20"/>
          <w:szCs w:val="20"/>
          <w:color w:val="auto"/>
        </w:rPr>
      </w:pPr>
    </w:p>
    <w:p>
      <w:pPr>
        <w:ind w:left="320" w:right="319" w:firstLine="360"/>
        <w:spacing w:after="0" w:line="266" w:lineRule="auto"/>
        <w:rPr>
          <w:sz w:val="20"/>
          <w:szCs w:val="20"/>
          <w:color w:val="auto"/>
        </w:rPr>
      </w:pPr>
      <w:r>
        <w:rPr>
          <w:rFonts w:ascii="Times New Roman" w:cs="Times New Roman" w:eastAsia="Times New Roman" w:hAnsi="Times New Roman"/>
          <w:sz w:val="18"/>
          <w:szCs w:val="18"/>
          <w:color w:val="auto"/>
        </w:rPr>
        <w:t>We or selling securityholders may sell the securities directly to investors or to or through agents, underwriters or dealers. If we or selling securityholders do offer securities to or through agents or underwriters, we will include in the applicable prospectus supplement:</w:t>
      </w:r>
    </w:p>
    <w:p>
      <w:pPr>
        <w:spacing w:after="0" w:line="68" w:lineRule="exact"/>
        <w:rPr>
          <w:sz w:val="20"/>
          <w:szCs w:val="20"/>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or other options, if any; and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 if any.</w:t>
      </w:r>
    </w:p>
    <w:p>
      <w:pPr>
        <w:spacing w:after="0" w:line="115" w:lineRule="exact"/>
        <w:rPr>
          <w:sz w:val="20"/>
          <w:szCs w:val="20"/>
          <w:color w:val="auto"/>
        </w:rPr>
      </w:pPr>
    </w:p>
    <w:p>
      <w:pPr>
        <w:ind w:left="32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We may issue shares of our common stock from time to time. Holders of our common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one vote for each share of common stock held by such holder. Subject to the preferences of any outstanding shares of preferred stock, the holders of common stock are entitled to receive ratably any dividends our board of directors declares out of funds legally available for the payment of dividends. If we are liquidated, dissolved or wound up, the holders of common stock are entitled to share pro rata all assets remaining after payment of liabilities and liquidation preferences of any outstanding shares of preferred stock. Holders of common stock have no preemptive rights or rights to convert their common stock into any other securities. There are no redemption or sinking fund provisions applicable to the common stock. In this prospectus, we have summarized certain general features of the common stock under the heading “Description of Capital Stock—Common Stock.” We urge you, however, to read the applicable prospectus supplement (and any related free writing prospectus that we may authorize to be provided to you) related to any common stock being offered.</w:t>
      </w:r>
    </w:p>
    <w:p>
      <w:pPr>
        <w:spacing w:after="0" w:line="84" w:lineRule="exact"/>
        <w:rPr>
          <w:sz w:val="20"/>
          <w:szCs w:val="20"/>
          <w:color w:val="auto"/>
        </w:rPr>
      </w:pPr>
    </w:p>
    <w:p>
      <w:pPr>
        <w:ind w:left="32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Preferred Stock. </w:t>
      </w:r>
      <w:r>
        <w:rPr>
          <w:rFonts w:ascii="Times New Roman" w:cs="Times New Roman" w:eastAsia="Times New Roman" w:hAnsi="Times New Roman"/>
          <w:sz w:val="18"/>
          <w:szCs w:val="18"/>
          <w:color w:val="auto"/>
        </w:rPr>
        <w:t>We may issue shares of our preferred stock from time to time, in one or more series. Under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restated certificate of incorporation, our board of directors has the authority to designate up to 10,000,000 shares of preferred stock in one or more series and determine or alter the designation, rights,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676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76765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19"/>
        <w:spacing w:after="0" w:line="252" w:lineRule="auto"/>
        <w:rPr>
          <w:sz w:val="20"/>
          <w:szCs w:val="20"/>
          <w:color w:val="auto"/>
        </w:rPr>
      </w:pPr>
      <w:r>
        <w:rPr>
          <w:rFonts w:ascii="Times New Roman" w:cs="Times New Roman" w:eastAsia="Times New Roman" w:hAnsi="Times New Roman"/>
          <w:sz w:val="18"/>
          <w:szCs w:val="18"/>
          <w:color w:val="auto"/>
        </w:rPr>
        <w:t>preferences, privileges and restrictions granted to or imposed upon any series of preferred stock, any or all of which may be greater than the rights of the common stock. If we sell any new series of preferred stock under this prospectus and any applicable prospectus supplement, our board of directors will determine the rights, preferences and privileges of the preferred stock being offered, as well as the qualifications, limitations or restrictions thereof, including dividend rights, conversion rights, voting rights, preemptive rights, terms of redemption or repurchase, liquidation preferences, sinking fund terms and the number of shares constituting any series or the designation of any series. Preferred stock may be convertible into our common stock or other securities of ours, or may be exchangeable for debt securities. Conversion may be mandatory or at the holder’s option and would be at prescribed conversion rates. We will file as an exhibit to the registration statement of which this prospectus is a part, or will incorporate by reference from reports that we file with the SEC, the form of the certificate of designation that describes the terms of the series of preferred stock being offered before the issuance of the related series of preferred stock. In this prospectus, we have summarized certain general features of the preferred stock under the heading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85" w:lineRule="exact"/>
        <w:rPr>
          <w:sz w:val="20"/>
          <w:szCs w:val="20"/>
          <w:color w:val="auto"/>
        </w:rPr>
      </w:pPr>
    </w:p>
    <w:p>
      <w:pPr>
        <w:ind w:left="320" w:right="3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Debt Securities. </w:t>
      </w:r>
      <w:r>
        <w:rPr>
          <w:rFonts w:ascii="Times New Roman" w:cs="Times New Roman" w:eastAsia="Times New Roman" w:hAnsi="Times New Roman"/>
          <w:sz w:val="18"/>
          <w:szCs w:val="18"/>
          <w:color w:val="auto"/>
        </w:rPr>
        <w:t>We may issue debt securities from time to time, in one or more series, as either senior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subordinated debt or as senior or subordinated convertible debt. Convertible or exchangeable debt securities will be convertible into or exchangeable for our common stock or our other securities. Conversion or exchange may be mandatory or optional (at our option or the holders’ option) and would be at prescribed conversion or exchange prices.</w:t>
      </w:r>
    </w:p>
    <w:p>
      <w:pPr>
        <w:spacing w:after="0" w:line="77" w:lineRule="exact"/>
        <w:rPr>
          <w:sz w:val="20"/>
          <w:szCs w:val="20"/>
          <w:color w:val="auto"/>
        </w:rPr>
      </w:pPr>
    </w:p>
    <w:p>
      <w:pPr>
        <w:ind w:left="320" w:right="339" w:firstLine="360"/>
        <w:spacing w:after="0" w:line="254" w:lineRule="auto"/>
        <w:rPr>
          <w:sz w:val="20"/>
          <w:szCs w:val="20"/>
          <w:color w:val="auto"/>
        </w:rPr>
      </w:pPr>
      <w:r>
        <w:rPr>
          <w:rFonts w:ascii="Times New Roman" w:cs="Times New Roman" w:eastAsia="Times New Roman" w:hAnsi="Times New Roman"/>
          <w:sz w:val="18"/>
          <w:szCs w:val="18"/>
          <w:color w:val="auto"/>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78" w:lineRule="exact"/>
        <w:rPr>
          <w:sz w:val="20"/>
          <w:szCs w:val="20"/>
          <w:color w:val="auto"/>
        </w:rPr>
      </w:pPr>
    </w:p>
    <w:p>
      <w:pPr>
        <w:ind w:left="320" w:right="319" w:firstLine="36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Warrants. </w:t>
      </w:r>
      <w:r>
        <w:rPr>
          <w:rFonts w:ascii="Times New Roman" w:cs="Times New Roman" w:eastAsia="Times New Roman" w:hAnsi="Times New Roman"/>
          <w:sz w:val="17"/>
          <w:szCs w:val="17"/>
          <w:color w:val="auto"/>
        </w:rPr>
        <w:t>We may issue warrants for the purchase of common stock, preferred stock and/or debt securities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one or more series. We may issue warrants independently or in combination with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73" w:lineRule="exact"/>
        <w:rPr>
          <w:sz w:val="20"/>
          <w:szCs w:val="20"/>
          <w:color w:val="auto"/>
        </w:rPr>
      </w:pPr>
    </w:p>
    <w:p>
      <w:pPr>
        <w:jc w:val="both"/>
        <w:ind w:left="320" w:right="319" w:firstLine="360"/>
        <w:spacing w:after="0" w:line="266" w:lineRule="auto"/>
        <w:rPr>
          <w:sz w:val="20"/>
          <w:szCs w:val="20"/>
          <w:color w:val="auto"/>
        </w:rPr>
      </w:pPr>
      <w:r>
        <w:rPr>
          <w:rFonts w:ascii="Times New Roman" w:cs="Times New Roman" w:eastAsia="Times New Roman" w:hAnsi="Times New Roman"/>
          <w:sz w:val="18"/>
          <w:szCs w:val="18"/>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3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ind w:left="320" w:right="6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Selling securityholders are persons or entities that, directly or indirectly, have acquired or will from time to time acquire from us, our securities. Information about selling securityholders, if any, will be set forth in a prospectus supplement. See “Selling Securityholders” on page </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 xml:space="preserve"> of this prospectus.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21386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3405" cy="21386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20" w:right="4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Except as described in any applicable prospectus supplement or in any free writing prospectuses we have authorized for use in connection with a specific offering, we intend to use the net proceeds from the sale of the securities under this prospectus for general corporate purposes, which may include funding research and development and sales and marketing activities, increasing our working capital, acquisitions or investments in businesses, products or technologies that are complementary to our own, and capital expenditures. See “Use of Proceeds” on page </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 xml:space="preserve"> of this prospectus. Unless the applicable prospectus supplement provides otherwise, we will not receive any of the proceeds from the sale of our securities by selling securityholders.</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“TLRY.”</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described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left="300" w:right="359" w:firstLine="360"/>
        <w:spacing w:after="0" w:line="251" w:lineRule="auto"/>
        <w:rPr>
          <w:sz w:val="20"/>
          <w:szCs w:val="20"/>
          <w:color w:val="auto"/>
        </w:rPr>
      </w:pPr>
      <w:r>
        <w:rPr>
          <w:rFonts w:ascii="Times New Roman" w:cs="Times New Roman" w:eastAsia="Times New Roman" w:hAnsi="Times New Roman"/>
          <w:sz w:val="18"/>
          <w:szCs w:val="18"/>
          <w:color w:val="auto"/>
        </w:rPr>
        <w:t>Certain statements in this prospectus and any accompanying prospectus supplement, including the documents incorporated by reference herein and therein, constitute forward-looking information or forward-looking statements within the meaning of Section 27A of the Securities Act of 1933, as amended (the “Securities Act”), and Section 21E of the Securities Exchange Act of 1934, as amended (the “Exchange Act”),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These statements may include, without limitation, statements regarding our operations, business, financial condition, expected financial results, performance, prospects, opportunities, priorities, targets, goals, ongoing objectives, strategies and outlook. Forward-looking statements are typically identified by words such as “expect”, “intend”, “anticipate”, “believe”, “contemplate”, “foresee”, “forecast”, “future”, “could”, “enable”, “potential”, “estimate”, “project”, “goal”, “plan”, “seek”, “strive”, “will”, “would”, “may” and “should” and similar expressions, although not all forward-looking statements contain these identifying words. Forward-looking statements reflect current beliefs of management with respect to future events and are based on information currently available to management including based on reasonable assumptions, estimates, internal and external analysis and opinions of management concerning its experience, perception of trends, current conditions and expected developments as well as other factors that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Our estimates, beliefs and assumptions are inherently subject to significant business, economic, competitive and other uncertainties and contingencies regarding future events and as such, are subject to change. We can give no assurance that such estimates, beliefs and assumptions will prove to be correct.</w:t>
      </w:r>
    </w:p>
    <w:p>
      <w:pPr>
        <w:spacing w:after="0" w:line="97" w:lineRule="exact"/>
        <w:rPr>
          <w:sz w:val="20"/>
          <w:szCs w:val="20"/>
          <w:color w:val="auto"/>
        </w:rPr>
      </w:pPr>
    </w:p>
    <w:p>
      <w:pPr>
        <w:ind w:left="300" w:right="819" w:firstLine="360"/>
        <w:spacing w:after="0" w:line="261" w:lineRule="auto"/>
        <w:rPr>
          <w:sz w:val="20"/>
          <w:szCs w:val="20"/>
          <w:color w:val="auto"/>
        </w:rPr>
      </w:pPr>
      <w:r>
        <w:rPr>
          <w:rFonts w:ascii="Times New Roman" w:cs="Times New Roman" w:eastAsia="Times New Roman" w:hAnsi="Times New Roman"/>
          <w:sz w:val="18"/>
          <w:szCs w:val="18"/>
          <w:color w:val="auto"/>
        </w:rPr>
        <w:t>Any information or statements that are contained in this prospectus and any accompanying prospectus supplement, including the documents incorporated by reference herein and therein, that are not statements of historical fact may be deemed to be forward-looking statements, including, but not limited to, statements with regards to:</w:t>
      </w:r>
    </w:p>
    <w:p>
      <w:pPr>
        <w:spacing w:after="0" w:line="72" w:lineRule="exact"/>
        <w:rPr>
          <w:sz w:val="20"/>
          <w:szCs w:val="20"/>
          <w:color w:val="auto"/>
        </w:rPr>
      </w:pPr>
    </w:p>
    <w:p>
      <w:pPr>
        <w:ind w:left="1000" w:right="73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financial information, including in respect of expected revenues, margins, cash flow, profitability, and production of cannabis;</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future costs applicable to sales, future capital expenditures, future cost reductions, and projected synergies including pre-tax synergies, cost savings and efficiencies;</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have scalable medical and adult-use cannabis platforms to strengthen the leadership position in Canada, internationally, and eventually in the United States;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position in the European cannabis markets, and our ability to leverage our current European platforms;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financial benefits in connection with the Arrangement;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legalization of cannabis in the United States and our position to compete in the United States;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growth in our market share and the European market; and</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offer a diversified and branded product offering and distribution footprint, world-class cultivation, processing and manufacturing facilities.</w:t>
      </w:r>
    </w:p>
    <w:p>
      <w:pPr>
        <w:spacing w:after="0" w:line="54"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and any accompanying prospectus supplement, including the documents incorporated by reference herein and therein, are subject to inherent risks and uncertainties and other factors which could cause actual results to differ materially from those anticipated by the forward-looking statements. The factors which could cause results to differ from current expectations include, but are not limited to:</w:t>
      </w:r>
    </w:p>
    <w:p>
      <w:pPr>
        <w:spacing w:after="0" w:line="56" w:lineRule="exact"/>
        <w:rPr>
          <w:sz w:val="20"/>
          <w:szCs w:val="20"/>
          <w:color w:val="auto"/>
        </w:rPr>
      </w:pPr>
    </w:p>
    <w:p>
      <w:pPr>
        <w:ind w:left="1000" w:right="4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expected revenue or other benefits from the craft beer operations we acquired in fiscal years 2024 and 2025;</w:t>
      </w:r>
    </w:p>
    <w:p>
      <w:pPr>
        <w:spacing w:after="0" w:line="53"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integrating operations and realizing the expected benefits of recent acquisitions, including the Craft brands acquisitions;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77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cannabis business is dependent upon regulatory approvals and licenses, ongoing compliance and reporting obligations, and timely renewals;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54"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is evolving, including potential regulatory developments in the United States to reschedule cannabis from Schedule I to Schedule III under the Controlled Substances Act or revise the current federal framework under the 2018 Farm Bill for hemp-derived cannabis, including Delta-9. In addition, we are subject to potential modifications to existing regulatory frameworks outside of North America, as well as uncertainties and potential delays in receiving required export/import permits in Europe and Australia. Any unfavorable changes to or lack of commercial legalization, or extended delays in receipt of required permits, could negatively impact our businesses and the potential planned expansion of our business;</w:t>
      </w:r>
    </w:p>
    <w:p>
      <w:pPr>
        <w:spacing w:after="0" w:line="8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including from the illicit cannabis market, and anticipate competition will increase, which could hurt our business;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and processing facilities are integral to our business and adverse changes or developments affecting our facilities may have an adverse impact on our business;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constrain our ability to market and distribute our products in Canada;</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regulations relating to hemp-derived CBD products, Delta-9 products, and medical cannabis products are new and rapidly evolving, and changes may not develop in the timeframe or manner most favorable to our business objectives;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or public attitudes about alcohol could decrease demand for our beverage products;</w:t>
      </w:r>
    </w:p>
    <w:p>
      <w:pPr>
        <w:spacing w:after="0" w:line="53" w:lineRule="exact"/>
        <w:rPr>
          <w:rFonts w:ascii="Times New Roman" w:cs="Times New Roman" w:eastAsia="Times New Roman" w:hAnsi="Times New Roman"/>
          <w:sz w:val="18"/>
          <w:szCs w:val="18"/>
          <w:color w:val="auto"/>
        </w:rPr>
      </w:pPr>
    </w:p>
    <w:p>
      <w:pPr>
        <w:jc w:val="both"/>
        <w:ind w:left="1000" w:right="67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SweetWater, Breckenridge, Montauk and our recently-acquired craft beer brands each face substantial competition in the beer industry or the broader market for beverage products, which could impact our business and financial results;</w:t>
      </w:r>
    </w:p>
    <w:p>
      <w:pPr>
        <w:spacing w:after="0" w:line="6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and demands, which could result in significant liability and costs, and impact our resources and reputation;</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materially adversely affected by the imposition of duties and tariffs and other trade barriers and retaliatory countermeasures implemented by the U.S. and other governments;</w:t>
      </w:r>
    </w:p>
    <w:p>
      <w:pPr>
        <w:spacing w:after="0" w:line="53" w:lineRule="exact"/>
        <w:rPr>
          <w:rFonts w:ascii="Times New Roman" w:cs="Times New Roman" w:eastAsia="Times New Roman" w:hAnsi="Times New Roman"/>
          <w:sz w:val="18"/>
          <w:szCs w:val="18"/>
          <w:color w:val="auto"/>
        </w:rPr>
      </w:pPr>
    </w:p>
    <w:p>
      <w:pPr>
        <w:ind w:left="1000" w:right="63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6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a history of net losses, and we may not achieve or maintain profitability in the future;</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alliances and other third-party business relationships may not achieve the intended beneficial impact and expose us to risks;</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execute future acquisitions, dispositions or other equity transactions or to successfully manage the impacts of such transactions on our operations;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inherent in an agricultural business, including the risk of crop failure;</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recurring customers for a substantial portion of our revenue. If we fail to retain or expand our customer relationships or these customers reduce their purchases, our revenue could decline significantly;</w:t>
      </w:r>
    </w:p>
    <w:p>
      <w:pPr>
        <w:spacing w:after="0" w:line="67" w:lineRule="exact"/>
        <w:rPr>
          <w:rFonts w:ascii="Times New Roman" w:cs="Times New Roman" w:eastAsia="Times New Roman" w:hAnsi="Times New Roman"/>
          <w:sz w:val="18"/>
          <w:szCs w:val="18"/>
          <w:color w:val="auto"/>
        </w:rPr>
      </w:pPr>
    </w:p>
    <w:p>
      <w:pPr>
        <w:ind w:left="1000" w:right="10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recalls for a variety of reasons, which could require us to expend significant management and capital resources;</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interruptions in our access to certain supply chains for key inputs such as raw materials, supplies, electricity, water and other utilities may impair our operations;</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may not be able to successfully establish and maintain effective internal controls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continued listing requirements of Nasdaq could result in a delisting of our publicly traded securities;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uncertainty regarding the impact of our implementation of a reverse stock split;</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in public markets has experienced and may continue to experience severe volatility and fluctuations;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and the stockholder base may hinder or prevent us from engaging in beneficial corporate initiatives;</w:t>
      </w:r>
    </w:p>
    <w:p>
      <w:pPr>
        <w:spacing w:after="0" w:line="53" w:lineRule="exact"/>
        <w:rPr>
          <w:rFonts w:ascii="Times New Roman" w:cs="Times New Roman" w:eastAsia="Times New Roman" w:hAnsi="Times New Roman"/>
          <w:sz w:val="18"/>
          <w:szCs w:val="18"/>
          <w:color w:val="auto"/>
        </w:rPr>
      </w:pPr>
    </w:p>
    <w:p>
      <w:pPr>
        <w:ind w:left="1000" w:right="7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6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raise the funds necessary to settle conversions of the convertible securities in cash or to repurchase the convertible securities upon a fundamental change;</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cryptocurrency strategy faces high risk and uncertainty in light of market volatility and an evolving regulatory landscape;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other risks generally applicable to our industry and the conduct of our business.</w:t>
      </w:r>
    </w:p>
    <w:p>
      <w:pPr>
        <w:spacing w:after="0" w:line="117"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Readers are cautioned that the foregoing list of factors is not exhaustive. Other risks and uncertainties not presently known to us or that we presently believe are not material could also cause actual results or events to differ materially from those expressed in the forward-looking statements contained herein.</w:t>
      </w:r>
    </w:p>
    <w:p>
      <w:pPr>
        <w:spacing w:after="0" w:line="68"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Additional information on these and other factors that could affect our operations or financial results are included in reports filed by us with applicable securities regulatory authorities and may be accessed through EDGAR (www.sec.gov). These risks and other factors are also discussed in more detail in the section entitled “Risk Factors” contained in our most recent Annual Report on Form 10-K, as well as any amendments thereto reflected in subsequent filings with the SEC and in our other filings that are incorporated by reference into this prospectus and any accompanying prospectus supplement.</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and any accompanying prospectus supplement, including the documents incorporated by reference herein and therein, are expressly qualified in their entirety by this cautionary statement. We cannot guarantee that the results or events expressed or implied in any forward-looking statement and information will materialize and accordingly, readers are cautioned not to place undue reliance on these forward-looking statements, which reflect our expectations only as of the date of the document containing the applicable statement. We disclaim any obligation to update or revise any forward-looking statements, whether as a result of new information, future events or otherwise, except as required by law. Thus, you should not assume that our silence over time means that actual events are bearing out as expressed or implied in such forward-looking statements. You should read this prospectus and any accompany prospectus supplement,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The following is a summary of some of the terms of our capital stock and certain provisions of our amended and restated certificate of incorporation and amended and restated bylaws, and is qualified by reference to these documents. Copies of these documents have been filed with the SEC as exhibits to our periodic reports, which are incorporated by reference in this prospectus.</w:t>
      </w:r>
    </w:p>
    <w:p>
      <w:pPr>
        <w:spacing w:after="0" w:line="72"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Except as otherwise specified below, references to voting by our stockholders contained in this “Description of Capital Stock” are references to voting by holders of capital stock entitled to attend and vote generally at general meetings of our stockholders.</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authorized capital stock is divided into:</w:t>
      </w:r>
    </w:p>
    <w:p>
      <w:pPr>
        <w:spacing w:after="0" w:line="117"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1,416,000,000 shares of common stock with a par value of $0.0001 per share;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undesignated shares of preferred stock with a par value of $0.0001 per share.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October 9, 2025, 1,131,480,234 shares of common stock were outstanding.</w:t>
      </w:r>
    </w:p>
    <w:p>
      <w:pPr>
        <w:spacing w:after="0" w:line="117"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On October 1, 2020, we filed a certificate with the Secretary of State of the State of Delaware effecting the retirement and cancellation of the shares of Class 1 common stock that were issued but not outstanding following the conversion (the “Certificate of Retirement”). Effective upon the filing of the Certificate of Retirement, the obsolete references to Class 1 common stock in the Certificate were eliminated. The reissuance of all shares of Class 1 common stock is prohibited.</w:t>
      </w:r>
    </w:p>
    <w:p>
      <w:pPr>
        <w:spacing w:after="0" w:line="75"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rights and restrictions to which the common stock are prescribed in our amended and restated certificate of incorporation. Our amended and restated certificate of incorporation entitles our board of directors, without stockholder approval, to determine the terms of the undesignated shares of preferred stock issued by us.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holder of common stock is entitled to one vote for each share of common stock held by such holder.</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12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outstanding shares of common stock are entitled to receive dividends out of funds legally available at the times and in the amounts that our board of directors may determine. We do not anticipate paying any cash dividends in the foreseeable future.</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common stock and any participating preferred stock outstanding at that time after payment of liquidation preferences, on any outstanding shares of preferred stock and payment of other claims of creditors.</w:t>
      </w:r>
    </w:p>
    <w:p>
      <w:pPr>
        <w:spacing w:after="0" w:line="72" w:lineRule="exact"/>
        <w:rPr>
          <w:sz w:val="20"/>
          <w:szCs w:val="20"/>
          <w:color w:val="auto"/>
        </w:rPr>
      </w:pPr>
    </w:p>
    <w:p>
      <w:pPr>
        <w:ind w:left="300" w:right="319" w:firstLine="360"/>
        <w:spacing w:after="0" w:line="312" w:lineRule="auto"/>
        <w:rPr>
          <w:sz w:val="20"/>
          <w:szCs w:val="20"/>
          <w:color w:val="auto"/>
        </w:rPr>
      </w:pPr>
      <w:r>
        <w:rPr>
          <w:rFonts w:ascii="Times New Roman" w:cs="Times New Roman" w:eastAsia="Times New Roman" w:hAnsi="Times New Roman"/>
          <w:sz w:val="17"/>
          <w:szCs w:val="17"/>
          <w:color w:val="auto"/>
        </w:rPr>
        <w:t>The rights, preferences and privileges of holders of common stock are subject to, and may be adversely affected by, the rights of holders of shares of any series of preferred stock that we may designate and issue in the future.</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of Repurchase</w:t>
      </w:r>
    </w:p>
    <w:p>
      <w:pPr>
        <w:spacing w:after="0" w:line="121"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We currently have no rights to repurchase shares of our common stock, except as described in “-Options and Restricted Stock Units” below.</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Similar Rights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redemption.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Options and Restricted Stock Units</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As of September 30, 2025, 3,031,595 shares of common stock were issuable upon the exercise of outstanding stock options and 59,850,673 shares of common stock were issuable upon vesting of RSUs. Pursuant to the terms of our standard option agreement, we have a right to repurchase shares of our common stock issued upon the exercise of options granted under the Amended and Restated 2018 Equity Incentive Plan if the holder of such shares ceases providing services for us for any reason.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our board of directors has the authority, without further action by the stockholders, to issue shares of preferred stock in one or more series. Our board of directors also has the authority to determine or alter the designation, rights, preferences, privileges and restrictions granted to or imposed upon any unissued series of preferred stock, any or all of which may be greater than the rights of the common stock. Our board of directors, without stockholder approval, may issue preferred stock with voting, conversion or other rights that are superior to the voting and other rights of the holders of common stock. The issuance of preferred stock may have the effect of delaying, deferring or preventing a change of control of Tilray without further action by the stockholders, and may have the effect of delaying or preventing changes in management of Tilray. In addition, the issuance of preferred stock may have the effect of decreasing the market price of the common stock and may adversely affect the voting power of holders of common stock and reduce the likelihood that common stockholders will receive dividend payments and payments upon liquidation.</w:t>
      </w:r>
    </w:p>
    <w:p>
      <w:pPr>
        <w:spacing w:after="0" w:line="84"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board of directors will determine the rights, preferences, privileges and restrictions of the preferred stock of each series that we sell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the certificate of designation that describes the terms of the series of preferred stock that we are offering before the issuance of the related series of preferred stock. This description will include:</w:t>
      </w:r>
    </w:p>
    <w:p>
      <w:pPr>
        <w:spacing w:after="0" w:line="79"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share, dividend period and payment dates and method of calculation for dividends;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other securities of ours, including warrants, and, if applicable, the conversion period, the conversion price, or how it will be calculated, and under what circumstances it may be adjusted;</w:t>
      </w:r>
    </w:p>
    <w:p>
      <w:pPr>
        <w:spacing w:after="0" w:line="67" w:lineRule="exact"/>
        <w:rPr>
          <w:rFonts w:ascii="Times New Roman" w:cs="Times New Roman" w:eastAsia="Times New Roman" w:hAnsi="Times New Roman"/>
          <w:sz w:val="18"/>
          <w:szCs w:val="18"/>
          <w:color w:val="auto"/>
        </w:rPr>
      </w:pPr>
    </w:p>
    <w:p>
      <w:pPr>
        <w:ind w:left="1000" w:right="399" w:hanging="348"/>
        <w:spacing w:after="0" w:line="312" w:lineRule="auto"/>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stock will be exchangeable for debt securities, and, if applicable, the exchange period, the exchange price, or how it will be calculated, and under what circumstances it may be adjusted;</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53" w:lineRule="exact"/>
        <w:rPr>
          <w:rFonts w:ascii="Times New Roman" w:cs="Times New Roman" w:eastAsia="Times New Roman" w:hAnsi="Times New Roman"/>
          <w:sz w:val="18"/>
          <w:szCs w:val="18"/>
          <w:color w:val="auto"/>
        </w:rPr>
      </w:pPr>
    </w:p>
    <w:p>
      <w:pPr>
        <w:jc w:val="both"/>
        <w:ind w:left="1000" w:right="43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660" w:right="339" w:hanging="8"/>
        <w:spacing w:after="0" w:line="397" w:lineRule="auto"/>
        <w:tabs>
          <w:tab w:leader="none" w:pos="1011"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rights, preferences, privileges, qualifications or restrictions of the preferred stock. When we issue shares of preferred stock under this prospectus, the shares will be fully paid and nonassessable.</w:t>
      </w:r>
    </w:p>
    <w:p>
      <w:pPr>
        <w:spacing w:after="0" w:line="1" w:lineRule="exact"/>
        <w:rPr>
          <w:sz w:val="20"/>
          <w:szCs w:val="20"/>
          <w:color w:val="auto"/>
        </w:rPr>
      </w:pPr>
    </w:p>
    <w:p>
      <w:pPr>
        <w:ind w:left="300" w:right="859" w:firstLine="360"/>
        <w:spacing w:after="0" w:line="282" w:lineRule="auto"/>
        <w:rPr>
          <w:sz w:val="20"/>
          <w:szCs w:val="20"/>
          <w:color w:val="auto"/>
        </w:rPr>
      </w:pPr>
      <w:r>
        <w:rPr>
          <w:rFonts w:ascii="Times New Roman" w:cs="Times New Roman" w:eastAsia="Times New Roman" w:hAnsi="Times New Roman"/>
          <w:sz w:val="18"/>
          <w:szCs w:val="18"/>
          <w:color w:val="auto"/>
        </w:rPr>
        <w:t>Unless we specify otherwise in the applicable prospectus supplement, the preferred stock will rank, with respect to dividends and upon our liquidation, dissolution or winding up:</w:t>
      </w:r>
    </w:p>
    <w:p>
      <w:pPr>
        <w:spacing w:after="0" w:line="54" w:lineRule="exact"/>
        <w:rPr>
          <w:sz w:val="20"/>
          <w:szCs w:val="20"/>
          <w:color w:val="auto"/>
        </w:rPr>
      </w:pPr>
    </w:p>
    <w:p>
      <w:pPr>
        <w:ind w:left="1000" w:right="45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our common stock and to all of our equity securities ranking junior to the preferred stock;</w:t>
      </w:r>
    </w:p>
    <w:p>
      <w:pPr>
        <w:spacing w:after="0" w:line="53"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of our equity securities the terms of which specifically provide that the equity securities rank on a parity with the preferred stock; and</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of our equity securities the terms of which specifically provide that the equity securities rank senior to the preferred stock.</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117" w:lineRule="exact"/>
        <w:rPr>
          <w:sz w:val="20"/>
          <w:szCs w:val="20"/>
          <w:color w:val="auto"/>
        </w:rPr>
      </w:pPr>
    </w:p>
    <w:p>
      <w:pPr>
        <w:jc w:val="both"/>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Among other things, our amended and restated certificate of incorporation and amended and restated bylaws:</w:t>
      </w:r>
    </w:p>
    <w:p>
      <w:pPr>
        <w:spacing w:after="0" w:line="117" w:lineRule="exact"/>
        <w:rPr>
          <w:sz w:val="20"/>
          <w:szCs w:val="20"/>
          <w:color w:val="auto"/>
        </w:rPr>
      </w:pPr>
    </w:p>
    <w:p>
      <w:pPr>
        <w:ind w:left="1000" w:right="6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our board of directors to issue up to 10,000,000 shares of preferred stock, with any rights, preferences and privileges as they may designate, including the right to approve an acquisition or other change of control;</w:t>
      </w:r>
    </w:p>
    <w:p>
      <w:pPr>
        <w:spacing w:after="0" w:line="6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the authorized number of directors may be changed only by resolution of our board of directors;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subject to the rights of any series of preferred stock to elect directors, directors may be removed with or without cause, by the holders of a majority of our then-outstanding shares of capital stock entitled to vote generally at an election of directors by the holders of at least 66 2/3% of all of our then-outstanding shares of the capital stock entitled to vote generally at an election of directors;</w:t>
      </w:r>
    </w:p>
    <w:p>
      <w:pPr>
        <w:spacing w:after="0" w:line="71" w:lineRule="exact"/>
        <w:rPr>
          <w:rFonts w:ascii="Times New Roman" w:cs="Times New Roman" w:eastAsia="Times New Roman" w:hAnsi="Times New Roman"/>
          <w:sz w:val="18"/>
          <w:szCs w:val="18"/>
          <w:color w:val="auto"/>
        </w:rPr>
      </w:pPr>
    </w:p>
    <w:p>
      <w:pPr>
        <w:jc w:val="both"/>
        <w:ind w:left="1000" w:right="519" w:hanging="348"/>
        <w:spacing w:after="0" w:line="312" w:lineRule="auto"/>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all vacancies, including newly created directorships, may, except as otherwise required by law, be filled by the affirmative vote of a majority of directors then in office, even if less than a quorum;</w:t>
      </w:r>
    </w:p>
    <w:p>
      <w:pPr>
        <w:spacing w:after="0" w:line="31" w:lineRule="exact"/>
        <w:rPr>
          <w:rFonts w:ascii="Times New Roman" w:cs="Times New Roman" w:eastAsia="Times New Roman" w:hAnsi="Times New Roman"/>
          <w:sz w:val="17"/>
          <w:szCs w:val="17"/>
          <w:color w:val="auto"/>
        </w:rPr>
      </w:pPr>
    </w:p>
    <w:p>
      <w:pPr>
        <w:jc w:val="both"/>
        <w:ind w:left="1000" w:right="55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8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special meetings of our stockholders may be called by the chairperson of our board of directors, our chief executive officer, by our board of directors pursuant to a resolution adopted by a majority of the total number of authorized directors;</w:t>
      </w:r>
    </w:p>
    <w:p>
      <w:pPr>
        <w:spacing w:after="0" w:line="67" w:lineRule="exact"/>
        <w:rPr>
          <w:rFonts w:ascii="Times New Roman" w:cs="Times New Roman" w:eastAsia="Times New Roman" w:hAnsi="Times New Roman"/>
          <w:sz w:val="18"/>
          <w:szCs w:val="18"/>
          <w:color w:val="auto"/>
        </w:rPr>
      </w:pPr>
    </w:p>
    <w:p>
      <w:pPr>
        <w:jc w:val="both"/>
        <w:ind w:left="1000" w:right="39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our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67" w:lineRule="exact"/>
        <w:rPr>
          <w:rFonts w:ascii="Times New Roman" w:cs="Times New Roman" w:eastAsia="Times New Roman" w:hAnsi="Times New Roman"/>
          <w:sz w:val="18"/>
          <w:szCs w:val="18"/>
          <w:color w:val="auto"/>
        </w:rPr>
      </w:pPr>
    </w:p>
    <w:p>
      <w:pPr>
        <w:ind w:left="1000" w:right="379" w:hanging="348"/>
        <w:spacing w:after="0" w:line="258"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for cumulative voting rights, unless required by law, therefore allowing the holders of a majority of the shares of common stock entitled to vote in any election of directors to elect all of the directors standing for election, if they should so choose. The amendment of any of these provisions would require approval by the holders of at least 66 2/3% of all of our then-outstanding capital stock entitled to vote generally in the election of directors.</w:t>
      </w:r>
    </w:p>
    <w:p>
      <w:pPr>
        <w:spacing w:after="0" w:line="75" w:lineRule="exact"/>
        <w:rPr>
          <w:sz w:val="20"/>
          <w:szCs w:val="20"/>
          <w:color w:val="auto"/>
        </w:rPr>
      </w:pPr>
    </w:p>
    <w:p>
      <w:pPr>
        <w:jc w:val="both"/>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79"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exclusive forum for: (i) any derivative action or proceeding brought on our behalf; (ii) any action asserting a breach of fiduciary duty; (iii) any action asserting a claim against us arising under the Delaware General Corporation Law; (iv) any action regarding our amended and restated certificate of incorporation or our amended and restated bylaws or (v) any action asserting a claim against us that is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If a court were to find the exclusive-forum provision in our amended and restated certificate of incorporation to be inapplicable or unenforceable in an action, we may incur additional costs associated with resolving the dispute in other jurisdictions.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jc w:val="both"/>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is Pacific Stock Transfer Company. The transfer agent and registrar’s address is 6725 Via Austi Parkway, Ste. 300, Las Vegas, NV, 89119 and its phone number is (800) 785-7782.</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“TLRY.”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or selling securityholders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8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79"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or selling securityholders may offer under this prospectus, as well as the complete indenture that contains the terms of the debt securities.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79"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79"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27"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90"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40" w:lineRule="exact"/>
        <w:rPr>
          <w:rFonts w:ascii="Times New Roman" w:cs="Times New Roman" w:eastAsia="Times New Roman" w:hAnsi="Times New Roman"/>
          <w:sz w:val="18"/>
          <w:szCs w:val="18"/>
          <w:color w:val="auto"/>
        </w:rPr>
      </w:pPr>
    </w:p>
    <w:p>
      <w:pPr>
        <w:ind w:left="1000" w:right="739" w:hanging="348"/>
        <w:spacing w:after="0" w:line="25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5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54"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0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40"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58"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40"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40"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58"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61"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26"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40" w:lineRule="exact"/>
        <w:rPr>
          <w:rFonts w:ascii="Times New Roman" w:cs="Times New Roman" w:eastAsia="Times New Roman" w:hAnsi="Times New Roman"/>
          <w:sz w:val="18"/>
          <w:szCs w:val="18"/>
          <w:color w:val="auto"/>
        </w:rPr>
      </w:pPr>
    </w:p>
    <w:p>
      <w:pPr>
        <w:jc w:val="both"/>
        <w:ind w:left="1000" w:right="35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54"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2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03"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40"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26"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40" w:lineRule="exact"/>
        <w:rPr>
          <w:rFonts w:ascii="Times New Roman" w:cs="Times New Roman" w:eastAsia="Times New Roman" w:hAnsi="Times New Roman"/>
          <w:sz w:val="18"/>
          <w:szCs w:val="18"/>
          <w:color w:val="auto"/>
        </w:rPr>
      </w:pPr>
    </w:p>
    <w:p>
      <w:pPr>
        <w:jc w:val="both"/>
        <w:ind w:left="1000" w:right="89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03" w:lineRule="exact"/>
        <w:rPr>
          <w:rFonts w:ascii="Times New Roman" w:cs="Times New Roman" w:eastAsia="Times New Roman" w:hAnsi="Times New Roman"/>
          <w:sz w:val="18"/>
          <w:szCs w:val="18"/>
          <w:color w:val="auto"/>
        </w:rPr>
      </w:pPr>
    </w:p>
    <w:p>
      <w:pPr>
        <w:ind w:left="1000" w:right="43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8" w:lineRule="exact"/>
        <w:rPr>
          <w:sz w:val="20"/>
          <w:szCs w:val="20"/>
          <w:color w:val="auto"/>
        </w:rPr>
      </w:pPr>
    </w:p>
    <w:p>
      <w:pPr>
        <w:ind w:left="1000" w:right="639" w:hanging="348"/>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79" w:lineRule="exact"/>
        <w:rPr>
          <w:rFonts w:ascii="Times New Roman" w:cs="Times New Roman" w:eastAsia="Times New Roman" w:hAnsi="Times New Roman"/>
          <w:sz w:val="18"/>
          <w:szCs w:val="18"/>
          <w:color w:val="auto"/>
        </w:rPr>
      </w:pPr>
    </w:p>
    <w:p>
      <w:pPr>
        <w:ind w:left="1000" w:right="579" w:hanging="348"/>
        <w:spacing w:after="0" w:line="25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17"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8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72" w:lineRule="exact"/>
        <w:rPr>
          <w:sz w:val="20"/>
          <w:szCs w:val="20"/>
          <w:color w:val="auto"/>
        </w:rPr>
      </w:pPr>
    </w:p>
    <w:p>
      <w:pPr>
        <w:jc w:val="both"/>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2"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54"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54"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has given written notice to the trustee of a continuing event of default with respect to that series;</w:t>
      </w:r>
    </w:p>
    <w:p>
      <w:pPr>
        <w:spacing w:after="0" w:line="128" w:lineRule="exact"/>
        <w:rPr>
          <w:rFonts w:ascii="Times New Roman" w:cs="Times New Roman" w:eastAsia="Times New Roman" w:hAnsi="Times New Roman"/>
          <w:sz w:val="17"/>
          <w:szCs w:val="17"/>
          <w:color w:val="auto"/>
        </w:rPr>
      </w:pPr>
    </w:p>
    <w:p>
      <w:pPr>
        <w:ind w:left="1000" w:right="4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 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68"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5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and the trustee may change an indenture without the consent of any holders with respect to specific matters:</w:t>
      </w:r>
    </w:p>
    <w:p>
      <w:pPr>
        <w:spacing w:after="0" w:line="129"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17"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the heading “Description of Debt Securities— Consolidation, Merger or Sale;”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71"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5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the heading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75"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54"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17"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8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7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8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59"/>
        <w:spacing w:after="0" w:line="266" w:lineRule="auto"/>
        <w:rPr>
          <w:sz w:val="20"/>
          <w:szCs w:val="20"/>
          <w:color w:val="auto"/>
        </w:rPr>
      </w:pPr>
      <w:r>
        <w:rPr>
          <w:rFonts w:ascii="Times New Roman" w:cs="Times New Roman" w:eastAsia="Times New Roman" w:hAnsi="Times New Roman"/>
          <w:sz w:val="18"/>
          <w:szCs w:val="18"/>
          <w:color w:val="auto"/>
        </w:rPr>
        <w:t>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6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68"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84"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86"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or selling securityholders may offer under this prospectus. We urge you to read the applicable prospectus supplement related to the particular series of warrants that we or selling securityholders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27"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0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26" w:lineRule="exact"/>
        <w:rPr>
          <w:rFonts w:ascii="Times New Roman" w:cs="Times New Roman" w:eastAsia="Times New Roman" w:hAnsi="Times New Roman"/>
          <w:sz w:val="18"/>
          <w:szCs w:val="18"/>
          <w:color w:val="auto"/>
        </w:rPr>
      </w:pPr>
    </w:p>
    <w:p>
      <w:pPr>
        <w:ind w:left="1000" w:right="69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4"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54"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2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0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0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material or special U.S. federal income tax considerations, if any, of holding or exercising the warrants;</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54" w:lineRule="exact"/>
        <w:rPr>
          <w:sz w:val="20"/>
          <w:szCs w:val="20"/>
          <w:color w:val="auto"/>
        </w:rPr>
      </w:pPr>
    </w:p>
    <w:p>
      <w:pPr>
        <w:ind w:left="1000" w:right="3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7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warrants and any warrant agreements will be governed by and construed in accordance with the internal laws of the State of New York.</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300" w:right="519" w:firstLine="360"/>
        <w:spacing w:after="0" w:line="258"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75"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8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72"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7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or in street name, you should check with your own institution to find out:</w:t>
      </w:r>
    </w:p>
    <w:p>
      <w:pPr>
        <w:spacing w:after="0" w:line="54"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service providers;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securities are in book-entry form, how the depositary’s rules and procedures will affect these matters.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300" w:right="919" w:firstLine="36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54"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80"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117" w:lineRule="exact"/>
        <w:rPr>
          <w:sz w:val="20"/>
          <w:szCs w:val="20"/>
          <w:color w:val="auto"/>
        </w:rPr>
      </w:pPr>
    </w:p>
    <w:p>
      <w:pPr>
        <w:ind w:left="1000" w:right="579" w:hanging="348"/>
        <w:spacing w:after="0" w:line="312" w:lineRule="auto"/>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investor cannot cause the securities to be registered in his or her name, and cannot obtain non-global certificates for his or her interest in the securities, except in the special situations we describe below;</w:t>
      </w:r>
    </w:p>
    <w:p>
      <w:pPr>
        <w:spacing w:after="0" w:line="31" w:lineRule="exact"/>
        <w:rPr>
          <w:rFonts w:ascii="Times New Roman" w:cs="Times New Roman" w:eastAsia="Times New Roman" w:hAnsi="Times New Roman"/>
          <w:sz w:val="17"/>
          <w:szCs w:val="17"/>
          <w:color w:val="auto"/>
        </w:rPr>
      </w:pPr>
    </w:p>
    <w:p>
      <w:pPr>
        <w:ind w:left="1000" w:right="45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9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w:t>
      </w:r>
    </w:p>
    <w:p>
      <w:pPr>
        <w:spacing w:after="0" w:line="53" w:lineRule="exact"/>
        <w:rPr>
          <w:rFonts w:ascii="Times New Roman" w:cs="Times New Roman" w:eastAsia="Times New Roman" w:hAnsi="Times New Roman"/>
          <w:sz w:val="18"/>
          <w:szCs w:val="18"/>
          <w:color w:val="auto"/>
        </w:rPr>
      </w:pPr>
    </w:p>
    <w:p>
      <w:pPr>
        <w:ind w:left="1000" w:right="59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68"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75"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54" w:lineRule="exact"/>
        <w:rPr>
          <w:sz w:val="20"/>
          <w:szCs w:val="20"/>
          <w:color w:val="auto"/>
        </w:rPr>
      </w:pPr>
    </w:p>
    <w:p>
      <w:pPr>
        <w:ind w:left="1000" w:right="41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54"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Selling securityholders are persons or entities that, directly or indirectly, have acquired or will from time to time acquire from us, our securities. If the registration statement of which this prospectus forms a part is used by selling securityholders for the resale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a prospectus supplement.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intend to use the net proceeds from the sale of the securities under this prospectus for general corporate purposes, which may include funding research and development and sales and marketing activities, increasing our working capital, acquisitions or investments in businesses, products or technologies that are complementary to our own, and capital expenditures. We will set forth in the applicable prospectus supplement our intended use for the net proceeds received from the sale of any securities. Pending the use of the net proceeds, we intend to invest the net proceeds in short-term, investment-grade, interest-bearing securities.</w:t>
      </w:r>
    </w:p>
    <w:p>
      <w:pPr>
        <w:spacing w:after="0" w:line="84"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provides otherwise, we will not receive any of the proceeds from the sale of our securities by selling securityholders.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We or selling securityholders may sell the securities from time to time pursuant to underwritten public offerings, “at-the-market” offerings, negotiated transactions, block trades or a combination of these methods. We or selling securityholders may sell the securities to or through one or more underwriters or dealers (acting as principal or agent), through agents, or directly to one or more purchasers. We or selling securityholders may distribute securities from time to time in one or more transactions:</w:t>
      </w:r>
    </w:p>
    <w:p>
      <w:pPr>
        <w:spacing w:after="0" w:line="75" w:lineRule="exact"/>
        <w:rPr>
          <w:sz w:val="20"/>
          <w:szCs w:val="20"/>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17" w:lineRule="exact"/>
        <w:rPr>
          <w:sz w:val="20"/>
          <w:szCs w:val="20"/>
          <w:color w:val="auto"/>
        </w:rPr>
      </w:pPr>
    </w:p>
    <w:p>
      <w:pPr>
        <w:ind w:left="300" w:right="459" w:firstLine="36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54"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dealers or agents,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selling securityholders, if 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or other options under which underwriters may purchase additional securities from us or any selling securityholders;</w:t>
      </w:r>
    </w:p>
    <w:p>
      <w:pPr>
        <w:spacing w:after="0" w:line="53" w:lineRule="exact"/>
        <w:rPr>
          <w:rFonts w:ascii="Times New Roman" w:cs="Times New Roman" w:eastAsia="Times New Roman" w:hAnsi="Times New Roman"/>
          <w:sz w:val="18"/>
          <w:szCs w:val="18"/>
          <w:color w:val="auto"/>
        </w:rPr>
      </w:pPr>
    </w:p>
    <w:p>
      <w:pPr>
        <w:ind w:left="1000" w:right="115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117"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75" w:lineRule="exact"/>
        <w:rPr>
          <w:sz w:val="20"/>
          <w:szCs w:val="20"/>
          <w:color w:val="auto"/>
        </w:rPr>
      </w:pPr>
    </w:p>
    <w:p>
      <w:pPr>
        <w:ind w:left="300" w:right="299" w:firstLine="360"/>
        <w:spacing w:after="0" w:line="289" w:lineRule="auto"/>
        <w:rPr>
          <w:sz w:val="20"/>
          <w:szCs w:val="20"/>
          <w:color w:val="auto"/>
        </w:rPr>
      </w:pPr>
      <w:r>
        <w:rPr>
          <w:rFonts w:ascii="Times New Roman" w:cs="Times New Roman" w:eastAsia="Times New Roman" w:hAnsi="Times New Roman"/>
          <w:sz w:val="17"/>
          <w:szCs w:val="17"/>
          <w:color w:val="auto"/>
        </w:rPr>
        <w:t>Unless stated otherwise in the prospectus supplement, the securities offered by a prospectus supplement have not been qualified for distribution by prospectus under the securities laws of any province or territory of Canada, and may only be sold in Canada pursuant to an exemption from the prospectus requirements of Canadian securities laws.</w:t>
      </w:r>
    </w:p>
    <w:p>
      <w:pPr>
        <w:spacing w:after="0" w:line="5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a selling stockholder,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spacing w:after="0" w:line="82"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We or selling securityholders may use underwriters, dealers or agents with whom we have a material relationship. We will describe in the prospectus supplement, naming the underwriter, dealer or agent, the nature of any such relationship.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72"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w:t>
      </w:r>
    </w:p>
    <w:p>
      <w:pPr>
        <w:spacing w:after="0" w:line="72" w:lineRule="exact"/>
        <w:rPr>
          <w:sz w:val="20"/>
          <w:szCs w:val="20"/>
          <w:color w:val="auto"/>
        </w:rPr>
      </w:pPr>
    </w:p>
    <w:p>
      <w:pPr>
        <w:jc w:val="both"/>
        <w:ind w:left="300" w:right="679" w:firstLine="360"/>
        <w:spacing w:after="0" w:line="266" w:lineRule="auto"/>
        <w:rPr>
          <w:sz w:val="20"/>
          <w:szCs w:val="20"/>
          <w:color w:val="auto"/>
        </w:rPr>
      </w:pPr>
      <w:r>
        <w:rPr>
          <w:rFonts w:ascii="Times New Roman" w:cs="Times New Roman" w:eastAsia="Times New Roman" w:hAnsi="Times New Roman"/>
          <w:sz w:val="18"/>
          <w:szCs w:val="18"/>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68"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72" w:lineRule="exact"/>
        <w:rPr>
          <w:sz w:val="20"/>
          <w:szCs w:val="20"/>
          <w:color w:val="auto"/>
        </w:rPr>
      </w:pPr>
    </w:p>
    <w:p>
      <w:pPr>
        <w:ind w:left="300" w:right="319" w:firstLine="360"/>
        <w:spacing w:after="0" w:line="271" w:lineRule="auto"/>
        <w:rPr>
          <w:sz w:val="20"/>
          <w:szCs w:val="20"/>
          <w:color w:val="auto"/>
        </w:rPr>
      </w:pPr>
      <w:r>
        <w:rPr>
          <w:rFonts w:ascii="Times New Roman" w:cs="Times New Roman" w:eastAsia="Times New Roman" w:hAnsi="Times New Roman"/>
          <w:sz w:val="17"/>
          <w:szCs w:val="17"/>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6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Any underwriters that are qualified market makers on The Nasdaq Global Select Market may engage in passive market making transactions in the common stock on The Nasdaq Global Select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by this prospectus, and any supplement thereto, will be passed upon for us by DLA Piper LLP (US), New York, New York. Any underwriters, dealers or agents will also be advised about the validity of the securities and other legal matters by their own counsel, which will be named in the applicable prospectus supplement.</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by reference in this prospectus by reference to the Annual Report on Form 10-K for the year ended May 31, 2025 have been so incorporated in reliance on the report (which contains a paragraph relating to the effectiveness of internal control over financial reporting due to the exclusion of the Craft Acquisition II, which includes Atwater Brewery, Hop Valley Brewing Company, Terrapin Beer Co., and Revolver Brewing, because they were acquired by the Company in purchase business combinations during the year ended May 31, 2025) of PricewaterhouseCoopers LLP, an independent registered public accounting firm, given on the authority of said firm as experts in auditing and accounting.</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w:t>
      </w:r>
    </w:p>
    <w:p>
      <w:pPr>
        <w:spacing w:after="0" w:line="79"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We are required to file periodic reports, proxy statements and other information with the SEC pursuant to the Exchange Act. Our SEC filings are available to the public on the SEC’s website at www.sec.gov, which contains reports, proxies and information statements and other information regarding registrants that file electronically. We also maintain a website at www.tilray.com, at which you may access these materials free of charge as soon as reasonably practicable after they are electronically filed with, or furnished to, the SEC. Information contained on, or that can be accessed through, our website is not a part of this prospectus and the inclusion of our website address in this prospectus is an inactive textual reference only.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certain information. This means that we can disclose important information to you by referring you to those documents that contain the information. The information we incorporate by reference is considered a part of this prospectus. We incorporate by reference into this prospectus the documents listed below that we have filed with the SEC. Any report or information within any of the documents referenced below that is furnished, but not filed, shall not be incorporated by reference into this prospectus.</w:t>
      </w:r>
    </w:p>
    <w:p>
      <w:pPr>
        <w:spacing w:after="0" w:line="79" w:lineRule="exact"/>
        <w:rPr>
          <w:sz w:val="20"/>
          <w:szCs w:val="20"/>
          <w:color w:val="auto"/>
        </w:rPr>
      </w:pPr>
    </w:p>
    <w:p>
      <w:pPr>
        <w:ind w:left="1000" w:right="499" w:hanging="348"/>
        <w:spacing w:after="0" w:line="282" w:lineRule="auto"/>
        <w:tabs>
          <w:tab w:leader="none" w:pos="1000" w:val="left"/>
        </w:tabs>
        <w:numPr>
          <w:ilvl w:val="0"/>
          <w:numId w:val="31"/>
        </w:numPr>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auto"/>
          </w:rPr>
          <w:t xml:space="preserve">our Annual Report on Form 10-K for the fiscal year ended May 31, 2025, filed with the SEC on </w:t>
        </w:r>
        <w:r>
          <w:rPr>
            <w:rFonts w:ascii="Times New Roman" w:cs="Times New Roman" w:eastAsia="Times New Roman" w:hAnsi="Times New Roman"/>
            <w:sz w:val="18"/>
            <w:szCs w:val="18"/>
            <w:u w:val="single" w:color="auto"/>
            <w:color w:val="0000EE"/>
          </w:rPr>
          <w:t>July 29,</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jc w:val="both"/>
        <w:ind w:left="1000" w:right="919" w:hanging="348"/>
        <w:spacing w:after="0" w:line="312" w:lineRule="auto"/>
        <w:tabs>
          <w:tab w:leader="none" w:pos="10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the Form 10-K for the fiscal year ended May 31, 2025 from our definitive proxy statement on Schedule 14A, filed on </w:t>
      </w:r>
      <w:hyperlink r:id="rId50">
        <w:r>
          <w:rPr>
            <w:rFonts w:ascii="Times New Roman" w:cs="Times New Roman" w:eastAsia="Times New Roman" w:hAnsi="Times New Roman"/>
            <w:sz w:val="17"/>
            <w:szCs w:val="17"/>
            <w:u w:val="single" w:color="auto"/>
            <w:color w:val="0000EE"/>
          </w:rPr>
          <w:t>September 26, 2025</w:t>
        </w:r>
      </w:hyperlink>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 ended August 31, 2025, filed on October 9, 2025;</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51">
        <w:r>
          <w:rPr>
            <w:rFonts w:ascii="Times New Roman" w:cs="Times New Roman" w:eastAsia="Times New Roman" w:hAnsi="Times New Roman"/>
            <w:sz w:val="18"/>
            <w:szCs w:val="18"/>
            <w:u w:val="single" w:color="auto"/>
            <w:color w:val="0000EE"/>
          </w:rPr>
          <w:t>June 23,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2">
        <w:r>
          <w:rPr>
            <w:rFonts w:ascii="Times New Roman" w:cs="Times New Roman" w:eastAsia="Times New Roman" w:hAnsi="Times New Roman"/>
            <w:sz w:val="18"/>
            <w:szCs w:val="18"/>
            <w:u w:val="single" w:color="auto"/>
            <w:color w:val="0000EE"/>
          </w:rPr>
          <w:t>June 10, 2025</w:t>
        </w:r>
      </w:hyperlink>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5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as set forth in our registration statement on Form 8-A/A (File No. 001-38594), filed with the SEC on </w:t>
      </w:r>
      <w:hyperlink r:id="rId53">
        <w:r>
          <w:rPr>
            <w:rFonts w:ascii="Times New Roman" w:cs="Times New Roman" w:eastAsia="Times New Roman" w:hAnsi="Times New Roman"/>
            <w:sz w:val="18"/>
            <w:szCs w:val="18"/>
            <w:u w:val="single" w:color="auto"/>
            <w:color w:val="0000EE"/>
          </w:rPr>
          <w:t>October 1, 2020</w:t>
        </w:r>
      </w:hyperlink>
      <w:r>
        <w:rPr>
          <w:rFonts w:ascii="Times New Roman" w:cs="Times New Roman" w:eastAsia="Times New Roman" w:hAnsi="Times New Roman"/>
          <w:sz w:val="18"/>
          <w:szCs w:val="18"/>
          <w:color w:val="auto"/>
        </w:rPr>
        <w:t xml:space="preserve">, pursuant to Section 12(b) of the Exchange Act, including the description contained in </w:t>
      </w:r>
      <w:hyperlink r:id="rId54">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May 31, 2025, and any subsequent amendments or reports filed for the purpose of updating such description.</w:t>
      </w:r>
    </w:p>
    <w:p>
      <w:pPr>
        <w:spacing w:after="0" w:line="75" w:lineRule="exact"/>
        <w:rPr>
          <w:rFonts w:ascii="Times New Roman" w:cs="Times New Roman" w:eastAsia="Times New Roman" w:hAnsi="Times New Roman"/>
          <w:sz w:val="18"/>
          <w:szCs w:val="18"/>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You should direct any requests for documents to Tilray Brands, Inc., 265 Talbot Street West, Leamington, Ontario, Canada. Copies of the above reports may also be accessed from our web site at ir.tilray.com. Information contained on, or that can be accessed through, our website is not a part of this prospectus and the inclusion of our website address in this prospectus is an inactive textual reference only.</w:t>
      </w:r>
    </w:p>
    <w:p>
      <w:pPr>
        <w:spacing w:after="0" w:line="75" w:lineRule="exact"/>
        <w:rPr>
          <w:rFonts w:ascii="Times New Roman" w:cs="Times New Roman" w:eastAsia="Times New Roman" w:hAnsi="Times New Roman"/>
          <w:sz w:val="18"/>
          <w:szCs w:val="18"/>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in this prospectus any future filings that we make with the SEC under Section 13(a), 13(c), 14 or 15(d) of the Exchange Act until we sell all the securities to which this prospectus relates;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 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1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Tilray Brands, Inc.</w:t>
      </w:r>
    </w:p>
    <w:p>
      <w:pPr>
        <w:spacing w:after="0" w:line="35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Up to $51,597,980</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9" w:lineRule="exact"/>
        <w:rPr>
          <w:sz w:val="20"/>
          <w:szCs w:val="20"/>
          <w:color w:val="auto"/>
        </w:rPr>
      </w:pPr>
    </w:p>
    <w:p>
      <w:pPr>
        <w:ind w:left="400" w:right="579" w:firstLine="360"/>
        <w:spacing w:after="0" w:line="252" w:lineRule="auto"/>
        <w:rPr>
          <w:sz w:val="20"/>
          <w:szCs w:val="20"/>
          <w:color w:val="auto"/>
        </w:rPr>
      </w:pPr>
      <w:r>
        <w:rPr>
          <w:rFonts w:ascii="Times New Roman" w:cs="Times New Roman" w:eastAsia="Times New Roman" w:hAnsi="Times New Roman"/>
          <w:sz w:val="18"/>
          <w:szCs w:val="18"/>
          <w:color w:val="auto"/>
        </w:rPr>
        <w:t>We previously entered into an equity distribution agreement, dated May 17, 2024 (the “equity distribution agreement”), with TD Securities (USA) LLC (“TD Securities”) and Jefferies LLC (“Jefferies”), as sales agents (each, a “sales agent” and, collectively, the “sales agents”), relating to shares of our common stock, par value $0.0001 per share (the “Common Stock”) offered by this prospectus supplement and the accompanying prospectus. We originally filed a prospectus supplement, dated May 17, 2024 (the “Prior Prospectus Supplement”), for the offer and sale of up to $250,000,000 of shares of our Common Stock, from time to time through the Sales Agents pursuant to the equity distribution agreement under the shelf registration statement on Form S-3ASR (Registration Statement No. 333-267788). As of the date of this prospectus supplement, we have issued and sold $198,402,020 of our Common Stock pursuant to the equity distribution agreement and the Prior Prospectus Supplement. The Common Stock remaining available to be sold under the Prior Prospectus Supplement as of the date of this prospectus will no longer be offered and sold under the Prior Prospectus Supplement, but will instead be offered and sold under this prospectus supplement and the accompanying prospectus. Accordingly, we are filing this prospectus supplement for the offer and sale, from time to time through the Sales Agents, acting as our agents, or directly to the Sales Agents, acting as principals, of up to the remaining $51,597,980 of shares of our Common Stock that has not been sold under the equity distribution agreement.</w:t>
      </w:r>
    </w:p>
    <w:p>
      <w:pPr>
        <w:spacing w:after="0" w:line="87" w:lineRule="exact"/>
        <w:rPr>
          <w:sz w:val="20"/>
          <w:szCs w:val="20"/>
          <w:color w:val="auto"/>
        </w:rPr>
      </w:pPr>
    </w:p>
    <w:p>
      <w:pPr>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and the Toronto Stock Exchange under the trading symbol “TLRY.” On October 8, 2025, the last sale price of our Common Stock was $1.72 per share on The Nasdaq Global Select Market and C$2.36 per share on the Toronto Stock Exchange.</w:t>
      </w:r>
    </w:p>
    <w:p>
      <w:pPr>
        <w:spacing w:after="0" w:line="68" w:lineRule="exact"/>
        <w:rPr>
          <w:sz w:val="20"/>
          <w:szCs w:val="20"/>
          <w:color w:val="auto"/>
        </w:rPr>
      </w:pPr>
    </w:p>
    <w:p>
      <w:pPr>
        <w:ind w:left="400" w:right="439" w:firstLine="360"/>
        <w:spacing w:after="0" w:line="254"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and the accompanying prospectus will be made in sales deemed to be “at the market offerings” as defined in Rule 415(a)(4) promulgated under the Securities Act of 1933, as amended (the “Securities Act”). The sales agents are not required to sell any specific number or dollar amount of securities, but will act as our sales agents using commercially reasonable efforts to sell on our behalf all of the shares of Common Stock requested to be sold by us, consistent with their normal trading and sales practices, on mutually agreed terms between the sales agents and us. There is no arrangement for funds to be received in any escrow, trust, or similar arrangement. Sales of our Common Stock under the equity distribution agreement and this prospectus supplement will be made through only one sales agent on any particular trading day.</w:t>
      </w:r>
    </w:p>
    <w:p>
      <w:pPr>
        <w:spacing w:after="0" w:line="80" w:lineRule="exact"/>
        <w:rPr>
          <w:sz w:val="20"/>
          <w:szCs w:val="20"/>
          <w:color w:val="auto"/>
        </w:rPr>
      </w:pPr>
    </w:p>
    <w:p>
      <w:pPr>
        <w:ind w:left="400" w:right="439" w:firstLine="360"/>
        <w:spacing w:after="0" w:line="256" w:lineRule="auto"/>
        <w:rPr>
          <w:sz w:val="20"/>
          <w:szCs w:val="20"/>
          <w:color w:val="auto"/>
        </w:rPr>
      </w:pPr>
      <w:r>
        <w:rPr>
          <w:rFonts w:ascii="Times New Roman" w:cs="Times New Roman" w:eastAsia="Times New Roman" w:hAnsi="Times New Roman"/>
          <w:sz w:val="18"/>
          <w:szCs w:val="18"/>
          <w:color w:val="auto"/>
        </w:rPr>
        <w:t>Each sales agent will be entitled to compensation at a fixed commission rate of up to 3.0% of the gross sales price per share sold under the equity distribution agreement. In connection with the sale of our Common Stock on our behalf, each sales agent will be deemed to be an “underwriter” within the meaning of the Securities Act, and the compensation of each sales agent will be deemed to be underwriting commissions or discounts. We have also agreed to provide indemnification and contribution to the sales agents with respect to certain liabilities, including liabilities under the Securities Act.</w:t>
      </w:r>
    </w:p>
    <w:p>
      <w:pPr>
        <w:spacing w:after="0" w:line="75" w:lineRule="exact"/>
        <w:rPr>
          <w:sz w:val="20"/>
          <w:szCs w:val="20"/>
          <w:color w:val="auto"/>
        </w:rPr>
      </w:pPr>
    </w:p>
    <w:p>
      <w:pPr>
        <w:ind w:left="400" w:right="53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in our Common Stock involves risks. See “Risk Factors” on page </w:t>
      </w:r>
      <w:r>
        <w:rPr>
          <w:rFonts w:ascii="Times New Roman" w:cs="Times New Roman" w:eastAsia="Times New Roman" w:hAnsi="Times New Roman"/>
          <w:sz w:val="18"/>
          <w:szCs w:val="18"/>
          <w:b w:val="1"/>
          <w:bCs w:val="1"/>
          <w:i w:val="1"/>
          <w:iCs w:val="1"/>
          <w:u w:val="single" w:color="auto"/>
          <w:color w:val="0000EE"/>
        </w:rPr>
        <w:t>3</w:t>
      </w:r>
      <w:r>
        <w:rPr>
          <w:rFonts w:ascii="Times New Roman" w:cs="Times New Roman" w:eastAsia="Times New Roman" w:hAnsi="Times New Roman"/>
          <w:sz w:val="18"/>
          <w:szCs w:val="18"/>
          <w:b w:val="1"/>
          <w:bCs w:val="1"/>
          <w:i w:val="1"/>
          <w:iCs w:val="1"/>
          <w:color w:val="auto"/>
        </w:rPr>
        <w:t xml:space="preserve"> of this prospectus supplement, and on page </w:t>
      </w:r>
      <w:r>
        <w:rPr>
          <w:rFonts w:ascii="Times New Roman" w:cs="Times New Roman" w:eastAsia="Times New Roman" w:hAnsi="Times New Roman"/>
          <w:sz w:val="18"/>
          <w:szCs w:val="18"/>
          <w:b w:val="1"/>
          <w:bCs w:val="1"/>
          <w:i w:val="1"/>
          <w:iCs w:val="1"/>
          <w:u w:val="single" w:color="auto"/>
          <w:color w:val="0000EE"/>
        </w:rPr>
        <w:t>5</w:t>
      </w:r>
      <w:r>
        <w:rPr>
          <w:rFonts w:ascii="Times New Roman" w:cs="Times New Roman" w:eastAsia="Times New Roman" w:hAnsi="Times New Roman"/>
          <w:sz w:val="18"/>
          <w:szCs w:val="18"/>
          <w:b w:val="1"/>
          <w:bCs w:val="1"/>
          <w:i w:val="1"/>
          <w:iCs w:val="1"/>
          <w:color w:val="auto"/>
        </w:rPr>
        <w:t xml:space="preserve"> of the accompanying prospectus, as well as our other filings that are incorporated by reference into this prospectus supplement and the accompanying prospectus.</w:t>
      </w:r>
    </w:p>
    <w:p>
      <w:pPr>
        <w:spacing w:after="0" w:line="63" w:lineRule="exact"/>
        <w:rPr>
          <w:sz w:val="20"/>
          <w:szCs w:val="20"/>
          <w:color w:val="auto"/>
        </w:rPr>
      </w:pPr>
    </w:p>
    <w:p>
      <w:pPr>
        <w:ind w:left="400" w:right="47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3" w:lineRule="exact"/>
        <w:rPr>
          <w:sz w:val="20"/>
          <w:szCs w:val="20"/>
          <w:color w:val="auto"/>
        </w:rPr>
      </w:pPr>
    </w:p>
    <w:p>
      <w:pPr>
        <w:ind w:left="400" w:right="41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by this prospectus supplement has not been and will not be qualified for sale under the securities law of any province or territory of Canada and may not be offered or sold under the equity distribution agreement in Canada. This prospectus supplement and the accompanying prospectus have not been filed in respect of, and will not qualify, any distribution of the Common Stock in any province or territory of Canada. No Common Stock will be sold on the Toronto Stock Exchange or on other trading markets in Canada as at-the-market distributions.</w:t>
      </w:r>
    </w:p>
    <w:p>
      <w:pPr>
        <w:spacing w:after="0" w:line="214" w:lineRule="exact"/>
        <w:rPr>
          <w:sz w:val="20"/>
          <w:szCs w:val="20"/>
          <w:color w:val="auto"/>
        </w:rPr>
      </w:pPr>
    </w:p>
    <w:p>
      <w:pPr>
        <w:ind w:left="1780"/>
        <w:spacing w:after="0"/>
        <w:tabs>
          <w:tab w:leader="none" w:pos="6200" w:val="left"/>
        </w:tabs>
        <w:rPr>
          <w:sz w:val="20"/>
          <w:szCs w:val="20"/>
          <w:color w:val="auto"/>
        </w:rPr>
      </w:pPr>
      <w:r>
        <w:rPr>
          <w:rFonts w:ascii="Times New Roman" w:cs="Times New Roman" w:eastAsia="Times New Roman" w:hAnsi="Times New Roman"/>
          <w:sz w:val="22"/>
          <w:szCs w:val="22"/>
          <w:b w:val="1"/>
          <w:bCs w:val="1"/>
          <w:color w:val="auto"/>
        </w:rPr>
        <w:t>TD Securities</w:t>
      </w:r>
      <w:r>
        <w:rPr>
          <w:sz w:val="20"/>
          <w:szCs w:val="20"/>
          <w:color w:val="auto"/>
        </w:rPr>
        <w:tab/>
      </w:r>
      <w:r>
        <w:rPr>
          <w:rFonts w:ascii="Times New Roman" w:cs="Times New Roman" w:eastAsia="Times New Roman" w:hAnsi="Times New Roman"/>
          <w:sz w:val="21"/>
          <w:szCs w:val="21"/>
          <w:b w:val="1"/>
          <w:bCs w:val="1"/>
          <w:color w:val="auto"/>
        </w:rPr>
        <w:t>Jefferies</w:t>
      </w:r>
    </w:p>
    <w:p>
      <w:pPr>
        <w:sectPr>
          <w:pgSz w:w="11900" w:h="16838" w:orient="portrait"/>
          <w:cols w:equalWidth="0" w:num="1">
            <w:col w:w="9019"/>
          </w:cols>
          <w:pgMar w:left="1440" w:top="263"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This prospectus supplement is dated October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144780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5" w:name="page36"/>
    <w:bookmarkEnd w:id="35"/>
    <w:tbl>
      <w:tblPr>
        <w:tblLayout w:type="fixed"/>
        <w:tblInd w:w="300" w:type="dxa"/>
        <w:tblCellMar>
          <w:top w:w="0" w:type="dxa"/>
          <w:left w:w="0" w:type="dxa"/>
          <w:bottom w:w="0" w:type="dxa"/>
          <w:right w:w="0" w:type="dxa"/>
        </w:tblCellMar>
      </w:tblPr>
      <w:tr>
        <w:trPr>
          <w:trHeight w:val="161"/>
        </w:trPr>
        <w:tc>
          <w:tcPr>
            <w:tcW w:w="776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5"/>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20" w:type="dxa"/>
            <w:vAlign w:val="bottom"/>
            <w:gridSpan w:val="6"/>
          </w:tcPr>
          <w:p>
            <w:pPr>
              <w:ind w:left="1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318"/>
        </w:trPr>
        <w:tc>
          <w:tcPr>
            <w:tcW w:w="77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30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S-ii</w:t>
            </w:r>
          </w:p>
        </w:tc>
      </w:tr>
      <w:tr>
        <w:trPr>
          <w:trHeight w:val="189"/>
        </w:trPr>
        <w:tc>
          <w:tcPr>
            <w:tcW w:w="3420" w:type="dxa"/>
            <w:vAlign w:val="bottom"/>
            <w:tcBorders>
              <w:top w:val="single" w:sz="8" w:color="0000EE"/>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4340" w:type="dxa"/>
            <w:vAlign w:val="bottom"/>
            <w:tcBorders>
              <w:top w:val="single" w:sz="8" w:color="CCEEFF"/>
            </w:tcBorders>
            <w:gridSpan w:val="4"/>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0000EE"/>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EE"/>
              </w:rPr>
              <w:t>S-1</w:t>
            </w:r>
          </w:p>
        </w:tc>
        <w:tc>
          <w:tcPr>
            <w:tcW w:w="20" w:type="dxa"/>
            <w:vAlign w:val="bottom"/>
            <w:tcBorders>
              <w:top w:val="single" w:sz="8" w:color="CCEEFF"/>
            </w:tcBorders>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S-3</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S-5</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580" w:type="dxa"/>
            <w:vAlign w:val="bottom"/>
            <w:tcBorders>
              <w:bottom w:val="single" w:sz="8" w:color="0000EE"/>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180" w:type="dxa"/>
            <w:vAlign w:val="bottom"/>
            <w:tcBorders>
              <w:bottom w:val="single" w:sz="8" w:color="CCEEFF"/>
            </w:tcBorders>
            <w:gridSpan w:val="7"/>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S-8</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S-9</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7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S-11</w:t>
            </w:r>
          </w:p>
        </w:tc>
      </w:tr>
      <w:tr>
        <w:trPr>
          <w:trHeight w:val="189"/>
        </w:trPr>
        <w:tc>
          <w:tcPr>
            <w:tcW w:w="1440" w:type="dxa"/>
            <w:vAlign w:val="bottom"/>
            <w:tcBorders>
              <w:top w:val="single" w:sz="8" w:color="0000EE"/>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320" w:type="dxa"/>
            <w:vAlign w:val="bottom"/>
            <w:tcBorders>
              <w:top w:val="single" w:sz="8" w:color="CCEEFF"/>
            </w:tcBorders>
            <w:gridSpan w:val="9"/>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40" w:type="dxa"/>
            <w:vAlign w:val="bottom"/>
            <w:tcBorders>
              <w:top w:val="single" w:sz="8" w:color="0000EE"/>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EE"/>
                <w:w w:val="99"/>
              </w:rPr>
              <w:t>S-11</w:t>
            </w:r>
          </w:p>
        </w:tc>
        <w:tc>
          <w:tcPr>
            <w:tcW w:w="20" w:type="dxa"/>
            <w:vAlign w:val="bottom"/>
            <w:tcBorders>
              <w:top w:val="single" w:sz="8" w:color="CCEEFF"/>
            </w:tcBorders>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S-11</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518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58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S-12</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This prospectus supplement is part of a shelf registration statement on Form S-3 that we filed with the Securities and Exchange Commission, or SEC, relating to certain securities, including the securities described in this prospectus supplement, which registration statement became effective automatically upon filing.</w:t>
      </w:r>
    </w:p>
    <w:p>
      <w:pPr>
        <w:spacing w:after="0" w:line="68"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We urge you to read carefully this prospectus supplement and the accompanying prospectus, together with the information incorporated therein and herein by reference as described under the heading “Incorporation of Certain Information by Reference,” before buying any of the securities being offered.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8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the accompanying prospectus and any free writing prospectus prepared by or on our behalf that we have authorized for use in connection with this offering. We have not, and the sales agents have not, authorized any dealer, salesperson or other person to provide any information or to make any representation other than those contained or incorporated by reference into this prospectus supplement or into any free writing prospectus prepared by or on our behalf or to which we have referred you. If anyone provides you with additional, different or inconsistent information, you should not rely on it. We and the sales agents take no responsibility for, and can provide no assurance as to the reliability of, any other information that others may give you.</w:t>
      </w:r>
    </w:p>
    <w:p>
      <w:pPr>
        <w:spacing w:after="0" w:line="8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You should assume that the information appearing or incorporated by reference into this prospectus supplement and in any free writing prospectus prepared by or on our behalf that we have authorized for use in connection with this offering, is accurate only as of the date of each such respective document. Our business, financial condition, results of operations and prospects may have changed since those dates. You should read this prospectus supplement, including the documents incorporated by reference, and any free writing prospectus prepared by or on our behalf that we have authorized for use in connection with this offering, in their entirety before making an investment decision. You should also read and consider the information in the documents we have referred you to in the sections of this prospectus supplement entitled “Where You Can Find More Information.”</w:t>
      </w:r>
    </w:p>
    <w:p>
      <w:pPr>
        <w:spacing w:after="0" w:line="84"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incorporated by reference as exhibits to the Registration Statement, and you may obtain copies of those documents as described below under the section entitled “Where You Can Find More Information.”</w:t>
      </w:r>
    </w:p>
    <w:p>
      <w:pPr>
        <w:spacing w:after="0" w:line="7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supplement to “Tilray,” the “company,” “we,” “us” and “our” refer to Tilray Brands, Inc. and its wholly-owned subsidiaries. Tilray, our logo and our other registered or common law trademarks, trade names or service marks appearing in this prospectus supplement are owned by us. Solely for convenience, trademarks and trade names referred to in this prospectus supplement, including logos, artwork and other visual displays, may appear without the ® or ™ symbols, but such references are not intended to indicate in any way that we will not assert, to the fullest extent under applicable law, our rights of the applicable licensor to these trademarks and trade names. Unless otherwise stated in this prospectus supplement, we do not intend our use or display of other companies’ trade names or trademarks to imply a relationship with, or endorsement or sponsorship of us by, any other companies.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76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5653405" cy="8276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w:t>
      </w:r>
    </w:p>
    <w:p>
      <w:pPr>
        <w:spacing w:after="0" w:line="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elsewhere in or incorporated by reference into this prospectus supplement. This summary provides an overview of</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selected information and does not contain all of the information you should consider before deciding whether to</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invest in our Common Stock. Therefore, you should read the entire prospectus supplement and the accompanying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prospectus carefully (including the documents incorporated by reference herein and therein), especially the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“Risk Factors” section beginning on page </w:t>
      </w:r>
      <w:r>
        <w:rPr>
          <w:rFonts w:ascii="Times New Roman" w:cs="Times New Roman" w:eastAsia="Times New Roman" w:hAnsi="Times New Roman"/>
          <w:sz w:val="18"/>
          <w:szCs w:val="18"/>
          <w:i w:val="1"/>
          <w:iCs w:val="1"/>
          <w:u w:val="single" w:color="auto"/>
          <w:color w:val="0000EE"/>
        </w:rPr>
        <w:t>3</w:t>
      </w:r>
      <w:r>
        <w:rPr>
          <w:rFonts w:ascii="Times New Roman" w:cs="Times New Roman" w:eastAsia="Times New Roman" w:hAnsi="Times New Roman"/>
          <w:sz w:val="18"/>
          <w:szCs w:val="18"/>
          <w:i w:val="1"/>
          <w:iCs w:val="1"/>
          <w:color w:val="auto"/>
        </w:rPr>
        <w:t xml:space="preserve"> and in the documents incorporated by reference and our consolidated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financial statements and the related notes incorporated by reference in this prospectus supplement and the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accompanying prospectus, before deciding to invest in our Common Stock. You should also carefully read the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information incorporated by reference into this prospectus supplement, including our financial statements, and the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exhibits to the registration statement of which this prospectus supplement is a part. See “Special Note Regarding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20" w:right="339" w:firstLine="360"/>
        <w:spacing w:after="0" w:line="256" w:lineRule="auto"/>
        <w:rPr>
          <w:sz w:val="20"/>
          <w:szCs w:val="20"/>
          <w:color w:val="auto"/>
        </w:rPr>
      </w:pPr>
      <w:r>
        <w:rPr>
          <w:rFonts w:ascii="Times New Roman" w:cs="Times New Roman" w:eastAsia="Times New Roman" w:hAnsi="Times New Roman"/>
          <w:sz w:val="18"/>
          <w:szCs w:val="18"/>
          <w:color w:val="auto"/>
        </w:rPr>
        <w:t>Tilray is a leading global lifestyle consumer products company, which was incorporated on January 24, 2018 and is headquartered in Leamington and New York, with operations in Canada, the United States, Europe, Australia, New Zealand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20" w:right="319" w:firstLine="360"/>
        <w:spacing w:after="0" w:line="256" w:lineRule="auto"/>
        <w:rPr>
          <w:sz w:val="20"/>
          <w:szCs w:val="20"/>
          <w:color w:val="auto"/>
        </w:rPr>
      </w:pPr>
      <w:r>
        <w:rPr>
          <w:rFonts w:ascii="Times New Roman" w:cs="Times New Roman" w:eastAsia="Times New Roman" w:hAnsi="Times New Roman"/>
          <w:sz w:val="18"/>
          <w:szCs w:val="18"/>
          <w:color w:val="auto"/>
        </w:rPr>
        <w:t>Tilray Brands, Inc. was incorporated in Delaware in January 2018. Prior to January 2018, Tilray Brands, Inc. operated its business under Decatur Holdings, BV, a Dutch private limited liability company (“Decatur”), which was formed in March 2016. Decatur was incorporated under the laws of the Netherlands on March 8, 2016 as a wholly-owned subsidiary of Privateer Holdings, Inc. (“Privateer Holdings”) to hold a 100% ownership interest in Tilray Brands, Inc.’s direct and indirect subsidiaries through which Tilray Brands, Inc. operated its business. Decatur was dissolved on December 27, 2018.</w:t>
      </w:r>
    </w:p>
    <w:p>
      <w:pPr>
        <w:spacing w:after="0" w:line="79" w:lineRule="exact"/>
        <w:rPr>
          <w:sz w:val="20"/>
          <w:szCs w:val="20"/>
          <w:color w:val="auto"/>
        </w:rPr>
      </w:pPr>
    </w:p>
    <w:p>
      <w:pPr>
        <w:ind w:left="320" w:right="339" w:firstLine="360"/>
        <w:spacing w:after="0" w:line="282" w:lineRule="auto"/>
        <w:rPr>
          <w:sz w:val="20"/>
          <w:szCs w:val="20"/>
          <w:color w:val="auto"/>
        </w:rPr>
      </w:pPr>
      <w:r>
        <w:rPr>
          <w:rFonts w:ascii="Times New Roman" w:cs="Times New Roman" w:eastAsia="Times New Roman" w:hAnsi="Times New Roman"/>
          <w:sz w:val="18"/>
          <w:szCs w:val="18"/>
          <w:color w:val="auto"/>
        </w:rPr>
        <w:t>On December 12, 2019, Privateer Holdings merged with and into a wholly owned subsidiary of Tilray pursuant to the agreement and plan of merger and reorganization.</w:t>
      </w:r>
    </w:p>
    <w:p>
      <w:pPr>
        <w:spacing w:after="0" w:line="54" w:lineRule="exact"/>
        <w:rPr>
          <w:sz w:val="20"/>
          <w:szCs w:val="20"/>
          <w:color w:val="auto"/>
        </w:rPr>
      </w:pPr>
    </w:p>
    <w:p>
      <w:pPr>
        <w:ind w:left="320" w:right="319" w:firstLine="360"/>
        <w:spacing w:after="0" w:line="261" w:lineRule="auto"/>
        <w:rPr>
          <w:sz w:val="20"/>
          <w:szCs w:val="20"/>
          <w:color w:val="auto"/>
        </w:rPr>
      </w:pPr>
      <w:r>
        <w:rPr>
          <w:rFonts w:ascii="Times New Roman" w:cs="Times New Roman" w:eastAsia="Times New Roman" w:hAnsi="Times New Roman"/>
          <w:sz w:val="18"/>
          <w:szCs w:val="18"/>
          <w:color w:val="auto"/>
        </w:rPr>
        <w:t>Pursuant to an arrangement agreement, dated as of December 15, 2020, as amended on February 19, 2021, between Tilray and Aphria Inc., Tilray implemented an arrangement (the “Arrangement”) under the Business Corporations Act (Ontario) in accordance with a plan of arrangement. The Arrangement was completed on April 30, 2021.</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10, 2022, Tilray, Inc. changed its corporate name to Tilray Brands, Inc., pursuant to a</w:t>
      </w:r>
    </w:p>
    <w:p>
      <w:pPr>
        <w:spacing w:after="0" w:line="27" w:lineRule="exact"/>
        <w:rPr>
          <w:sz w:val="20"/>
          <w:szCs w:val="20"/>
          <w:color w:val="auto"/>
        </w:rPr>
      </w:pPr>
    </w:p>
    <w:p>
      <w:pPr>
        <w:ind w:left="320" w:right="339"/>
        <w:spacing w:after="0" w:line="255" w:lineRule="auto"/>
        <w:rPr>
          <w:sz w:val="20"/>
          <w:szCs w:val="20"/>
          <w:color w:val="auto"/>
        </w:rPr>
      </w:pPr>
      <w:r>
        <w:rPr>
          <w:rFonts w:ascii="Times New Roman" w:cs="Times New Roman" w:eastAsia="Times New Roman" w:hAnsi="Times New Roman"/>
          <w:sz w:val="18"/>
          <w:szCs w:val="18"/>
          <w:color w:val="auto"/>
        </w:rPr>
        <w:t>second certificate of amendment of the amended and restated certificate of incorporation filed with the Delaware Secretary of State (the “Name Change”), and amended and restated its Bylaws on that same date to reflect the Name Change.</w:t>
      </w:r>
    </w:p>
    <w:p>
      <w:pPr>
        <w:spacing w:after="0" w:line="78"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On March 16, 2023, Tilray’s stockholders formally approved a proposal to amend its certificate of incorporation (the “Charter Amendment”), which modified Tilray’s existing certificate of incorporation by canceling its Class 1 common stock and re-allocating such authorized shares to Class 2 common stock. In addition, the Charter Amendment reclassified each issued and outstanding share of Class 2 common stock as one share of Common Stock of Tilray.</w:t>
      </w:r>
    </w:p>
    <w:p>
      <w:pPr>
        <w:spacing w:after="0" w:line="75" w:lineRule="exact"/>
        <w:rPr>
          <w:sz w:val="20"/>
          <w:szCs w:val="20"/>
          <w:color w:val="auto"/>
        </w:rPr>
      </w:pPr>
    </w:p>
    <w:p>
      <w:pPr>
        <w:ind w:left="320" w:right="359" w:firstLine="360"/>
        <w:spacing w:after="0" w:line="256" w:lineRule="auto"/>
        <w:rPr>
          <w:sz w:val="20"/>
          <w:szCs w:val="20"/>
          <w:color w:val="auto"/>
        </w:rPr>
      </w:pPr>
      <w:r>
        <w:rPr>
          <w:rFonts w:ascii="Times New Roman" w:cs="Times New Roman" w:eastAsia="Times New Roman" w:hAnsi="Times New Roman"/>
          <w:sz w:val="18"/>
          <w:szCs w:val="18"/>
          <w:color w:val="auto"/>
        </w:rPr>
        <w:t>On April 10, 2023, Tilray entered into an arrangement agreement, as amended on June 1, 2023, with HEXO Corp. (“HEXO”), pursuant to which Tilray agreed to acquire all of the issued and outstanding common shares of HEXO pursuant to a plan of arrangement under the Business Corporations Act (Ontario). This transaction builds on the successful strategic alliance between the two companies and positions Tilray for continued strong growth and market leadership in Canada, the largest federally legal cannabis market in the world. The acquisition of HEXO closed on June 22, 2023.</w:t>
      </w:r>
    </w:p>
    <w:p>
      <w:pPr>
        <w:spacing w:after="0" w:line="79" w:lineRule="exact"/>
        <w:rPr>
          <w:sz w:val="20"/>
          <w:szCs w:val="20"/>
          <w:color w:val="auto"/>
        </w:rPr>
      </w:pPr>
    </w:p>
    <w:p>
      <w:pPr>
        <w:ind w:left="320" w:right="379" w:firstLine="360"/>
        <w:spacing w:after="0" w:line="261" w:lineRule="auto"/>
        <w:rPr>
          <w:sz w:val="20"/>
          <w:szCs w:val="20"/>
          <w:color w:val="auto"/>
        </w:rPr>
      </w:pPr>
      <w:r>
        <w:rPr>
          <w:rFonts w:ascii="Times New Roman" w:cs="Times New Roman" w:eastAsia="Times New Roman" w:hAnsi="Times New Roman"/>
          <w:sz w:val="18"/>
          <w:szCs w:val="18"/>
          <w:color w:val="auto"/>
        </w:rPr>
        <w:t>Tilray’s principal executive office is located at 265 Talbot Street West, Leamington, Ontario, Canada and its telephone number is (844) 845-7291. Its corporate website address is www.tilray.com. Information contained on or accessible through such website is not a part of this prospectus supplement, and the inclusion of the website address in this prospectus supplement is an inactive textual reference only.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305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653405" cy="813054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p>
      <w:pPr>
        <w:spacing w:after="0" w:line="200" w:lineRule="exact"/>
        <w:rPr>
          <w:sz w:val="20"/>
          <w:szCs w:val="20"/>
          <w:color w:val="auto"/>
        </w:rPr>
      </w:pPr>
    </w:p>
    <w:p>
      <w:pPr>
        <w:spacing w:after="0" w:line="349" w:lineRule="exact"/>
        <w:rPr>
          <w:sz w:val="20"/>
          <w:szCs w:val="20"/>
          <w:color w:val="auto"/>
        </w:rPr>
      </w:pPr>
    </w:p>
    <w:p>
      <w:pPr>
        <w:ind w:left="48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Manner of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right="559"/>
        <w:spacing w:after="0" w:line="266" w:lineRule="auto"/>
        <w:rPr>
          <w:sz w:val="20"/>
          <w:szCs w:val="20"/>
          <w:color w:val="auto"/>
        </w:rPr>
      </w:pPr>
      <w:r>
        <w:rPr>
          <w:rFonts w:ascii="Times New Roman" w:cs="Times New Roman" w:eastAsia="Times New Roman" w:hAnsi="Times New Roman"/>
          <w:sz w:val="18"/>
          <w:szCs w:val="18"/>
          <w:color w:val="auto"/>
        </w:rPr>
        <w:t>Shares of our Common Stock having an aggregate offering price of up to $51,597,980 from time to time through the sales agents.</w:t>
      </w:r>
    </w:p>
    <w:p>
      <w:pPr>
        <w:spacing w:after="0" w:line="284" w:lineRule="exact"/>
        <w:rPr>
          <w:sz w:val="20"/>
          <w:szCs w:val="20"/>
          <w:color w:val="auto"/>
        </w:rPr>
      </w:pPr>
    </w:p>
    <w:p>
      <w:pPr>
        <w:ind w:right="279"/>
        <w:spacing w:after="0" w:line="254" w:lineRule="auto"/>
        <w:rPr>
          <w:sz w:val="20"/>
          <w:szCs w:val="20"/>
          <w:color w:val="auto"/>
        </w:rPr>
      </w:pPr>
      <w:r>
        <w:rPr>
          <w:rFonts w:ascii="Times New Roman" w:cs="Times New Roman" w:eastAsia="Times New Roman" w:hAnsi="Times New Roman"/>
          <w:sz w:val="18"/>
          <w:szCs w:val="18"/>
          <w:color w:val="auto"/>
        </w:rPr>
        <w:t>Up to 1,161,479,060 shares (as more fully described in the notes following this table), assuming sales of approximately 29,998,826 shares of our Common Stock in this offering at an offering price of $1.72 per share, which was the last sale price of our Common Stock on Nasdaq on October 8, 2025. The actual number of shares of Common Stock issued will vary depending on the sales price under this offering.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market offering” that may be made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through our sales agents, TD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339"/>
        <w:spacing w:after="0" w:line="252" w:lineRule="auto"/>
        <w:rPr>
          <w:sz w:val="20"/>
          <w:szCs w:val="20"/>
          <w:color w:val="auto"/>
        </w:rPr>
      </w:pPr>
      <w:r>
        <w:rPr>
          <w:rFonts w:ascii="Times New Roman" w:cs="Times New Roman" w:eastAsia="Times New Roman" w:hAnsi="Times New Roman"/>
          <w:sz w:val="18"/>
          <w:szCs w:val="18"/>
          <w:color w:val="auto"/>
        </w:rPr>
        <w:t>The Common Stock offered hereby have not been and will not be qualified for sale under the securities laws of any province or territory of Canada and will not be offered or sold under the equity distribution agreement in Canada. No Common Stock will be sold on the Toronto Stock Exchange or on other trading markets in Canada as at-the-market distributions.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“Plan of Distribution.”</w:t>
      </w:r>
    </w:p>
    <w:p>
      <w:pPr>
        <w:spacing w:after="0" w:line="135" w:lineRule="exact"/>
        <w:rPr>
          <w:sz w:val="20"/>
          <w:szCs w:val="20"/>
          <w:color w:val="auto"/>
        </w:rPr>
      </w:pPr>
    </w:p>
    <w:p>
      <w:pPr>
        <w:sectPr>
          <w:pgSz w:w="11900" w:h="16838" w:orient="portrait"/>
          <w:cols w:equalWidth="0" w:num="2">
            <w:col w:w="4280" w:space="360"/>
            <w:col w:w="4379"/>
          </w:cols>
          <w:pgMar w:left="1440" w:top="263" w:right="1440" w:bottom="1440" w:gutter="0" w:footer="0" w:header="0"/>
          <w:type w:val="continuous"/>
        </w:sectPr>
      </w:pPr>
    </w:p>
    <w:p>
      <w:pPr>
        <w:ind w:left="320"/>
        <w:spacing w:after="0"/>
        <w:tabs>
          <w:tab w:leader="none" w:pos="462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7"/>
          <w:szCs w:val="17"/>
          <w:color w:val="auto"/>
        </w:rPr>
        <w:t>We currently intend to use the net proceeds from the sale</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of the securities under this prospectus supplement for</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strategic and accretive acquisitions or investments in</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businesses, including potential acquisitions of assets in</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the U.S. and internationally in order to capitalize on</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expected regulatory advancements or expansion</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opportunities. Our management will have broad</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discretion in the timing and application of these net</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proceeds. We do not currently intend to use the net</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proceeds for general working capital purposes. Pending</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the use of the net proceeds, we intend to invest the net</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proceeds in short-term, investment-grade, interest-</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bearing securities.</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See “Use of Proceeds.”</w:t>
      </w:r>
    </w:p>
    <w:p>
      <w:pPr>
        <w:spacing w:after="0" w:line="135" w:lineRule="exact"/>
        <w:rPr>
          <w:sz w:val="20"/>
          <w:szCs w:val="20"/>
          <w:color w:val="auto"/>
        </w:rPr>
      </w:pPr>
    </w:p>
    <w:p>
      <w:pPr>
        <w:ind w:left="320"/>
        <w:spacing w:after="0"/>
        <w:tabs>
          <w:tab w:leader="none" w:pos="462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Investing in our Common Stock involves significant</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risks. See the disclosure under the heading “Risk</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Factors” in this prospectus supplement and under similar</w:t>
      </w:r>
    </w:p>
    <w:p>
      <w:pPr>
        <w:spacing w:after="0" w:line="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headings in other documents incorporated by reference</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into this prospectus supplement.</w:t>
      </w:r>
    </w:p>
    <w:p>
      <w:pPr>
        <w:spacing w:after="0" w:line="122" w:lineRule="exact"/>
        <w:rPr>
          <w:sz w:val="20"/>
          <w:szCs w:val="20"/>
          <w:color w:val="auto"/>
        </w:rPr>
      </w:pPr>
    </w:p>
    <w:p>
      <w:pPr>
        <w:ind w:left="320"/>
        <w:spacing w:after="0"/>
        <w:tabs>
          <w:tab w:leader="none" w:pos="4620" w:val="left"/>
        </w:tabs>
        <w:rPr>
          <w:sz w:val="20"/>
          <w:szCs w:val="20"/>
          <w:color w:val="auto"/>
        </w:rPr>
      </w:pPr>
      <w:r>
        <w:rPr>
          <w:rFonts w:ascii="Times New Roman" w:cs="Times New Roman" w:eastAsia="Times New Roman" w:hAnsi="Times New Roman"/>
          <w:sz w:val="18"/>
          <w:szCs w:val="18"/>
          <w:b w:val="1"/>
          <w:bCs w:val="1"/>
          <w:color w:val="auto"/>
        </w:rPr>
        <w:t>Nasdaq symbol</w:t>
      </w:r>
      <w:r>
        <w:rPr>
          <w:sz w:val="20"/>
          <w:szCs w:val="20"/>
          <w:color w:val="auto"/>
        </w:rPr>
        <w:tab/>
      </w:r>
      <w:r>
        <w:rPr>
          <w:rFonts w:ascii="Times New Roman" w:cs="Times New Roman" w:eastAsia="Times New Roman" w:hAnsi="Times New Roman"/>
          <w:sz w:val="17"/>
          <w:szCs w:val="17"/>
          <w:color w:val="auto"/>
        </w:rPr>
        <w:t>“TLRY”</w:t>
      </w:r>
    </w:p>
    <w:p>
      <w:pPr>
        <w:spacing w:after="0" w:line="81" w:lineRule="exact"/>
        <w:rPr>
          <w:sz w:val="20"/>
          <w:szCs w:val="20"/>
          <w:color w:val="auto"/>
        </w:rPr>
      </w:pPr>
    </w:p>
    <w:p>
      <w:pPr>
        <w:ind w:left="320" w:right="639" w:firstLine="360"/>
        <w:spacing w:after="0" w:line="250" w:lineRule="auto"/>
        <w:rPr>
          <w:sz w:val="20"/>
          <w:szCs w:val="20"/>
          <w:color w:val="auto"/>
        </w:rPr>
      </w:pPr>
      <w:r>
        <w:rPr>
          <w:rFonts w:ascii="Times New Roman" w:cs="Times New Roman" w:eastAsia="Times New Roman" w:hAnsi="Times New Roman"/>
          <w:sz w:val="18"/>
          <w:szCs w:val="18"/>
          <w:color w:val="auto"/>
        </w:rPr>
        <w:t>The number of shares of our Common Stock outstanding is based on 1,131,480,234 shares of our Common Stock outstanding as of October 9, 2025 and excludes:</w:t>
      </w:r>
    </w:p>
    <w:p>
      <w:pPr>
        <w:spacing w:after="0" w:line="14" w:lineRule="exact"/>
        <w:rPr>
          <w:sz w:val="20"/>
          <w:szCs w:val="20"/>
          <w:color w:val="auto"/>
        </w:rPr>
      </w:pPr>
    </w:p>
    <w:p>
      <w:pPr>
        <w:ind w:left="1020" w:right="1019" w:hanging="350"/>
        <w:spacing w:after="0" w:line="25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3,031,595 shares of Common Stock issuable upon the exercise of outstanding stock options as of September 30, 2025, at a weighted-average exercise price of $27.97 per share;</w:t>
      </w:r>
    </w:p>
    <w:p>
      <w:pPr>
        <w:ind w:left="1020" w:right="459" w:hanging="350"/>
        <w:spacing w:after="0" w:line="258"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59,850,673 shares of Common Stock issuable upon the vesting of restricted stock units outstanding as of September 30, 2025; and</w:t>
      </w:r>
    </w:p>
    <w:p>
      <w:pPr>
        <w:ind w:left="1020" w:right="559" w:hanging="350"/>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10,025,013 shares of Common Stock reserved for future issuance under the Company’s 2018 Amended and Restated Tilray Brands, Inc. Equity Incentive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herein and in the accompanying prospectus, and any related free writing prospectus, and described under the section entitled “Risk Factors” contained in our most recent annual report on Form 10-K, as well as any amendments thereto reflected in subsequent filings with the SEC, which are incorporated by reference into this prospectus supplement in their entirety, together with other information in this prospectus supplement, the accompanying prospectus,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30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significant dilution as a result of sales of shares pursuant to this prospectus supplement, which may adversely affect the per share trading price of our Common Stock.</w:t>
      </w:r>
    </w:p>
    <w:p>
      <w:pPr>
        <w:spacing w:after="0" w:line="5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Sales of shares pursuant to this prospectus supplement may have a dilutive effect on our earnings per share and funds from operations per share after giving effect to the issuance of our Common Stock and the application of the expected net proceeds. The actual amount of dilution from sales of shares pursuant to this prospectus supplement, or from any future offering of common or preferred stock, will be based on numerous factors, particularly the use of proceeds and the return generated by such investment, and cannot be determined at this time.</w:t>
      </w:r>
    </w:p>
    <w:p>
      <w:pPr>
        <w:spacing w:after="0" w:line="179" w:lineRule="exact"/>
        <w:rPr>
          <w:sz w:val="20"/>
          <w:szCs w:val="20"/>
          <w:color w:val="auto"/>
        </w:rPr>
      </w:pPr>
    </w:p>
    <w:p>
      <w:pPr>
        <w:ind w:left="30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actual number of shares we will issue under the equity distribution agreement with the sales agents, at any one time or in total, is uncertain.</w:t>
      </w:r>
    </w:p>
    <w:p>
      <w:pPr>
        <w:spacing w:after="0" w:line="5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equity distribution agreement with the sales agents and compliance with applicable law, we have the discretion to deliver placement notices to a sales agent at any time throughout the term of the equity distribution agreement. The number of shares that are sold by the sales agent after delivering a placement notice will fluctuate based on the market price of the Common Stock during the sales period and limits we set with that sales agent.</w:t>
      </w:r>
    </w:p>
    <w:p>
      <w:pPr>
        <w:spacing w:after="0" w:line="179" w:lineRule="exact"/>
        <w:rPr>
          <w:sz w:val="20"/>
          <w:szCs w:val="20"/>
          <w:color w:val="auto"/>
        </w:rPr>
      </w:pPr>
    </w:p>
    <w:p>
      <w:pPr>
        <w:ind w:left="30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Common Stock in this offering, or the perception that such sales may occur, could cause the market price of our Common Stock to fall.</w:t>
      </w:r>
    </w:p>
    <w:p>
      <w:pPr>
        <w:spacing w:after="0" w:line="5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We may issue and sell shares of our Common Stock for aggregate gross proceeds of up to $51,597,980 from time to time in connection with this offering. The actual number of shares of Common Stock that may be issued and sold in this offering, as well as the timing of any such sales, will depend on a number of factors, including, among others, the prices at which any shares are actually sold this offering (which may be influenced by market conditions, the trading price of our Common Stock and other factors) and our determinations as to the appropriate timing, sources and amounts of funding we need. The issuance and sale from time to time of these new shares of Common Stock, or the mere fact that we are able to issue and sell these shares in this offering, could cause the market price of our Common Stock to decline.</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be subject to dilution resulting from future offerings of Common Stock by us.</w:t>
      </w:r>
    </w:p>
    <w:p>
      <w:pPr>
        <w:spacing w:after="0" w:line="121"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We may raise additional funds in the future by issuing Common Stock or equity-linked securities. Holders of our securities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existing securities.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with respect to the use of any net proceeds of this offering.</w:t>
      </w:r>
    </w:p>
    <w:p>
      <w:pPr>
        <w:spacing w:after="0" w:line="121"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Although we have described the intended use of any net proceeds of this offering in the section titled “Use of Proceeds,” our management will have broad discretion in the application of these net proceeds and could use them for purposes other than those contemplated at the time of this offering. Accordingly, you will be relying on the judgment of our management with regard to the use of these net proceeds, and you will not have the opportunity, as part of your investment decision, to assess whether the proceeds are being used appropriately. Our failure to apply these funds effectively could have a material adverse effect on our business, financial condition, results of operations, liquidity or ability to pay dividends and cause the price of our Common Stock to decline. Pending another use, we may invest the net proceeds in short-term interest-bearing investment grade instruments. These investments may not yield a favorable return to our stockholders.</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including stock market volatility, inherent in owning our Common Stock.</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market price and volume of our Common Stock have been, and may continue to be, subject to significant fluctuations. These fluctuations may arise from general stock market conditions, the impact of risk factors described herein on our results of operations and financial position, or a change in opinion in the market regarding our business prospects, financial performance and other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Certain statements in this prospectus supplement and the accompanying prospectus, including the documents incorporated by reference herein and therein, constitute forward-looking information or forward-looking statements within the meaning of Section 27A of the Securities Act, and Section 21E of the Securities Exchange Act of 1934, as amended (the “Exchange Act”),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These statements may include, without limitation, statements regarding our operations, business, financial condition, expected financial results, performance, prospects, opportunities, priorities, targets, goals, ongoing objectives, strategies and outlook. Forward-looking statements are typically identified by words such as “expect”, “intend”, “anticipate”, “believe”, “contemplate”, “foresee”, “forecast”, “future”, “could”, “enable”, “potential”, “estimate”, “project”, “goal”, “plan”, “seek”, “strive”, “will”, “would”, “may” and “should” and similar expressions, although not all forward-looking statements contain these identifying words. Forward-looking statements reflect current beliefs of management with respect to future events and are based on information currently available to management including based on reasonable assumptions, estimates, internal and external analysis and opinions of management concerning its experience, perception of trends, current conditions and expected developments as well as other factors that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Our estimates, beliefs and assumptions are inherently subject to significant business, economic, competitive and other uncertainties and contingencies regarding future events and as such, are subject to change. We can give no assurance that such estimates, beliefs and assumptions will prove to be correct.</w:t>
      </w:r>
    </w:p>
    <w:p>
      <w:pPr>
        <w:spacing w:after="0" w:line="98" w:lineRule="exact"/>
        <w:rPr>
          <w:sz w:val="20"/>
          <w:szCs w:val="20"/>
          <w:color w:val="auto"/>
        </w:rPr>
      </w:pPr>
    </w:p>
    <w:p>
      <w:pPr>
        <w:ind w:left="300" w:right="819" w:firstLine="360"/>
        <w:spacing w:after="0" w:line="261" w:lineRule="auto"/>
        <w:rPr>
          <w:sz w:val="20"/>
          <w:szCs w:val="20"/>
          <w:color w:val="auto"/>
        </w:rPr>
      </w:pPr>
      <w:r>
        <w:rPr>
          <w:rFonts w:ascii="Times New Roman" w:cs="Times New Roman" w:eastAsia="Times New Roman" w:hAnsi="Times New Roman"/>
          <w:sz w:val="18"/>
          <w:szCs w:val="18"/>
          <w:color w:val="auto"/>
        </w:rPr>
        <w:t>Any information or statements that are contained in this prospectus supplement and the accompanying prospectus, including the documents incorporated by reference herein and therein, that are not statements of historical fact may be deemed to be forward-looking statements, including, but not limited to, statements with regards to:</w:t>
      </w:r>
    </w:p>
    <w:p>
      <w:pPr>
        <w:spacing w:after="0" w:line="72" w:lineRule="exact"/>
        <w:rPr>
          <w:sz w:val="20"/>
          <w:szCs w:val="20"/>
          <w:color w:val="auto"/>
        </w:rPr>
      </w:pPr>
    </w:p>
    <w:p>
      <w:pPr>
        <w:ind w:left="1000" w:right="73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financial information, including in respect of expected revenues, margins, cash flow, profitability, and production of cannabis;</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future costs applicable to sales, future capital expenditures, future cost reductions, and projected synergies including pre-tax synergies, cost savings and efficiencies;</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have scalable medical and adult-use cannabis platforms to strengthen the leadership position in Canada, internationally, and eventually in the United States;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position in the European cannabis markets, and our ability to leverage our current European platforms;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financial benefits in connection with the Arrangement;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legalization of cannabis in the United States and our position to compete in the United States;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growth in our market share and the European market; and</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offer a diversified and branded product offering and distribution footprint, world-class cultivation, processing and manufacturing facilities.</w:t>
      </w:r>
    </w:p>
    <w:p>
      <w:pPr>
        <w:spacing w:after="0" w:line="54"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supplement and the accompanying prospectus, including the documents incorporated by reference herein and therein, are subject to inherent risks and uncertainties and other factors which could cause actual results to differ materially from those anticipated by the forward-looking statements. The factors which could cause results to differ from current expectations include, but are not limited to:</w:t>
      </w:r>
    </w:p>
    <w:p>
      <w:pPr>
        <w:spacing w:after="0" w:line="56" w:lineRule="exact"/>
        <w:rPr>
          <w:sz w:val="20"/>
          <w:szCs w:val="20"/>
          <w:color w:val="auto"/>
        </w:rPr>
      </w:pPr>
    </w:p>
    <w:p>
      <w:pPr>
        <w:ind w:left="1000" w:right="49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expected revenue or other benefits from the craft beer operations we acquired in fiscal years 2024 and 2025;</w:t>
      </w:r>
    </w:p>
    <w:p>
      <w:pPr>
        <w:spacing w:after="0" w:line="53"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integrating operations and realizing the expected benefits of recent acquisitions, including the Craft brands acquisitions;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77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cannabis business is dependent upon regulatory approvals and licenses, ongoing compliance and reporting obligations, and timely renewals;</w:t>
      </w:r>
    </w:p>
    <w:p>
      <w:pPr>
        <w:spacing w:after="0" w:line="53" w:lineRule="exact"/>
        <w:rPr>
          <w:rFonts w:ascii="Times New Roman" w:cs="Times New Roman" w:eastAsia="Times New Roman" w:hAnsi="Times New Roman"/>
          <w:sz w:val="18"/>
          <w:szCs w:val="18"/>
          <w:color w:val="auto"/>
        </w:rPr>
      </w:pPr>
    </w:p>
    <w:p>
      <w:pPr>
        <w:jc w:val="both"/>
        <w:ind w:left="1000" w:right="619" w:hanging="348"/>
        <w:spacing w:after="0" w:line="255"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is evolving, including potential regulatory developments in the United States to reschedule cannabis from Schedule I to Schedule III under the Controlled Substances Act or revise the current federal framework under the 2018 Farm Bill for hemp-derived cannabis, including Delta-9. In addition, we are subject to potential modifications to existing regulatory frameworks outside of</w:t>
      </w:r>
    </w:p>
    <w:p>
      <w:pPr>
        <w:spacing w:after="0" w:line="2" w:lineRule="exact"/>
        <w:rPr>
          <w:rFonts w:ascii="Times New Roman" w:cs="Times New Roman" w:eastAsia="Times New Roman" w:hAnsi="Times New Roman"/>
          <w:sz w:val="18"/>
          <w:szCs w:val="18"/>
          <w:color w:val="auto"/>
        </w:rPr>
      </w:pPr>
    </w:p>
    <w:p>
      <w:pPr>
        <w:ind w:left="1000" w:right="3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as well as uncertainties and potential delays in receiving required export/import permits in Europe and Australia. Any unfavorable changes to or lack of commercial legalization, or extended delays in receipt of required permits, could negatively impact our businesses and the potential planned expansion of our business;</w:t>
      </w:r>
    </w:p>
    <w:p>
      <w:pPr>
        <w:spacing w:after="0" w:line="80"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including from the illicit cannabis market, and anticipate competition will increase, which could hurt our business;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and processing facilities are integral to our business and adverse changes or developments affecting our facilities may have an adverse impact on our business;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constrain our ability to market and distribute our products in Canada;</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regulations relating to hemp-derived CBD products, Delta-9 products, and medical cannabis products are new and rapidly evolving, and changes may not develop in the timeframe or manner most favorable to our business objectives;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or public attitudes about alcohol could decrease demand for our beverage products;</w:t>
      </w:r>
    </w:p>
    <w:p>
      <w:pPr>
        <w:spacing w:after="0" w:line="53" w:lineRule="exact"/>
        <w:rPr>
          <w:rFonts w:ascii="Times New Roman" w:cs="Times New Roman" w:eastAsia="Times New Roman" w:hAnsi="Times New Roman"/>
          <w:sz w:val="18"/>
          <w:szCs w:val="18"/>
          <w:color w:val="auto"/>
        </w:rPr>
      </w:pPr>
    </w:p>
    <w:p>
      <w:pPr>
        <w:jc w:val="both"/>
        <w:ind w:left="1000" w:right="67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SweetWater, Breckenridge, Montauk and our recently-acquired craft beer brands each face substantial competition in the beer industry or the broader market for beverage products, which could impact our business and financial results;</w:t>
      </w:r>
    </w:p>
    <w:p>
      <w:pPr>
        <w:spacing w:after="0" w:line="6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and demands, which could result in significant liability and costs, and impact our resources and reputation;</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materially adversely affected by the imposition of duties and tariffs and other trade barriers and retaliatory countermeasures implemented by the U.S. and other governments;</w:t>
      </w:r>
    </w:p>
    <w:p>
      <w:pPr>
        <w:spacing w:after="0" w:line="53" w:lineRule="exact"/>
        <w:rPr>
          <w:rFonts w:ascii="Times New Roman" w:cs="Times New Roman" w:eastAsia="Times New Roman" w:hAnsi="Times New Roman"/>
          <w:sz w:val="18"/>
          <w:szCs w:val="18"/>
          <w:color w:val="auto"/>
        </w:rPr>
      </w:pPr>
    </w:p>
    <w:p>
      <w:pPr>
        <w:ind w:left="1000" w:right="63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6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a history of net losses, and we may not achieve or maintain profitability in the future;</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alliances and other third-party business relationships may not achieve the intended beneficial impact and expose us to risks;</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execute future acquisitions, dispositions or other equity transactions or to successfully manage the impacts of such transactions on our operations;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inherent in an agricultural business, including the risk of crop failure;</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recurring customers for a substantial portion of our revenue. If we fail to retain or expand our customer relationships or these customers reduce their purchases, our revenue could decline significantly;</w:t>
      </w:r>
    </w:p>
    <w:p>
      <w:pPr>
        <w:spacing w:after="0" w:line="67" w:lineRule="exact"/>
        <w:rPr>
          <w:rFonts w:ascii="Times New Roman" w:cs="Times New Roman" w:eastAsia="Times New Roman" w:hAnsi="Times New Roman"/>
          <w:sz w:val="18"/>
          <w:szCs w:val="18"/>
          <w:color w:val="auto"/>
        </w:rPr>
      </w:pPr>
    </w:p>
    <w:p>
      <w:pPr>
        <w:ind w:left="1000" w:right="109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recalls for a variety of reasons, which could require us to expend significant management and capital resources;</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interruptions in our access to certain supply chains for key inputs such as raw materials, supplies, electricity, water and other utilities may impair our operations;</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may not be able to successfully establish and maintain effective internal controls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continued listing requirements of Nasdaq could result in a delisting of our publicly traded securities;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uncertainty regarding the impact of our implementation of a reverse stock split;</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in public markets has experienced and may continue to experience severe volatility and fluctuations;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and the stockholder base may hinder or prevent us from engaging in beneficial corporate initiatives;</w:t>
      </w:r>
    </w:p>
    <w:p>
      <w:pPr>
        <w:spacing w:after="0" w:line="53" w:lineRule="exact"/>
        <w:rPr>
          <w:rFonts w:ascii="Times New Roman" w:cs="Times New Roman" w:eastAsia="Times New Roman" w:hAnsi="Times New Roman"/>
          <w:sz w:val="18"/>
          <w:szCs w:val="18"/>
          <w:color w:val="auto"/>
        </w:rPr>
      </w:pPr>
    </w:p>
    <w:p>
      <w:pPr>
        <w:ind w:left="1000" w:right="719" w:hanging="348"/>
        <w:spacing w:after="0" w:line="26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6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raise the funds necessary to settle conversions of the convertible securities in cash or to repurchase the convertible securities upon a fundamental change;</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cryptocurrency strategy faces high risk and uncertainty in light of market volatility and an evolving regulatory landscape;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other risks generally applicable to our industry and the conduct of our business.</w:t>
      </w:r>
    </w:p>
    <w:p>
      <w:pPr>
        <w:spacing w:after="0" w:line="117"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Readers are cautioned that the foregoing list of factors is not exhaustive. Other risks and uncertainties not presently known to us or that we presently believe are not material could also cause actual results or events to differ materially from those expressed in the forward-looking statements contained herein.</w:t>
      </w:r>
    </w:p>
    <w:p>
      <w:pPr>
        <w:spacing w:after="0" w:line="68"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Additional information on these and other factors that could affect our operations or financial results are included in reports filed by us with applicable securities regulatory authorities and may be accessed through EDGAR (www.sec.gov). These risks and other factors are also discussed in more detail in the section entitled “Risk Factors” contained in our most recent Annual Report on Form 10-K, as well as any amendments thereto reflected in subsequent filings with the SEC and in our other filings that are incorporated by reference into this prospectus supplement and the accompanying prospectus.</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supplement and the accompanying prospectus, including the documents incorporated by reference herein and therein, are expressly qualified in their entirety by this cautionary statement. We cannot guarantee that the results or events expressed or implied in any forward-looking statement and information will materialize and accordingly, readers are cautioned not to place undue reliance on these forward-looking statements, which reflect our expectations only as of the date of the document containing the applicable statement. We disclaim any obligation to update or revise any forward-looking statements, whether as a result of new information, future events or otherwise, except as required by law. Thus, you should not assume that our silence over time means that actual events are bearing out as expressed or implied in such forward-looking statements. You should read this prospectus supplement, the accompany prospectus,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In accordance with the terms of the equity distribution agreement, under this prospectus supplement, we may offer and sell shares of our Common Stock having an aggregate offering price of up to $51,597,980 from time to time through the sales agents, acting as our sales agents, or directly to the sales agents, acting as principals. Because there is no minimum offering amount required as a condition to close this offering, the actual total public offering amount, commissions and proceeds to us, if any, are not determinable at this time. There can be no assurance that, in the future, we will sell any shares under or fully utilize the equity distribution agreement with the sales agents as a source of financing.</w:t>
      </w:r>
    </w:p>
    <w:p>
      <w:pPr>
        <w:spacing w:after="0" w:line="8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the sale of the securities under this prospectus supplement for strategic and accretive acquisitions or investments in businesses, including potential acquisitions of assets in the U.S. and internationally in order to capitalize on expected regulatory advancements or expansion opportunities. Our management will have broad discretion in the timing and application of these net proceeds. We do not currently intend to use the net proceeds for general working capital purposes. Pending the use of the net proceeds, we intend to invest the net proceeds in short-term, investment-grade, interest-bearing securities.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We previously entered into the equity distribution agreement with the sales agents, under which we may offer and sell up to $250,000,000 of our shares of Common Stock from time to time through the sales agents acting as agents or directly to the sales agents acting as principals. As of the date of this prospectus supplement, we have issued and sold $198,402,020 of our shares of Common Stock pursuant to the equity distribution agreement and the Prior Prospectus Supplement. We are filing this prospectus supplement for the offer and sale, from time to time through the Sales Agents, acting as our agents, or directly to the Sales Agents, acting as principals, of up to the remaining $51,597,980 of our shares of Common Stock that has not been sold under the equity distribution agreement. The equity distribution agreement was previously filed with the SEC on a Current Report on Form 8-K and is incorporated by reference into the registration statement of which this prospectus supplement forms a part.</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Sales of our shares of Common Stock, if any, under this prospectus supplement and the accompanying prospectus will be made by any method that is deemed to be an “at the market offering” as defined in Rule 415(a)(4) under the Securities Act, including sales made directly on Nasdaq. Notwithstanding the foregoing, the Common Stock offered by this prospectus supplement and the accompany prospectus have not been and will not be qualified for sale under the securities laws of any province or territory of Canada and may not be offered or sold under the equity distribution agreement in Canada. This prospectus supplement and the accompanying prospectus have not been filed in respect of, and will not qualify, any distribution of these securities in any province or territory of Canada. No Common Stock will be sold on the Toronto Stock Exchange or on other trading markets in Canada as at-the-market distributions. Sales pursuant to the equity distribution agreement may be made through an affiliate of TD Securities.</w:t>
      </w:r>
    </w:p>
    <w:p>
      <w:pPr>
        <w:spacing w:after="0" w:line="86"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Each time we wish to issue and sell our shares of Common Stock under the equity distribution agreement, we will notify a sales agent of the number of shares to be issued, the dates on which such sales are anticipated to be made, any limitation on the number of shares to be sold in any one day and any minimum price below which sales may not be made. Once we have so instructed such sales agent, unless the sales agent declines to accept the terms of such notice, such sales agent has agreed to use its commercially reasonable efforts consistent with its normal trading and sales practices to sell such shares up to the amount specified on such terms. The obligations of the sales agents under the equity distribution agreement to sell our shares of Common Stock are subject to a number of conditions that we must meet. We may sell our shares of Common Stock through only one sales agent on any particular trading day.</w:t>
      </w:r>
    </w:p>
    <w:p>
      <w:pPr>
        <w:spacing w:after="0" w:line="80"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Settlement for sales of our shares of Common Stock will occur, unless the parties agree otherwise, on the first business day that is also a trading day following the date on which any sales were made in return for payment of the net proceeds to us. Sales of our shares of Common Stock as contemplated in this prospectus supplement will be settled through the facilities of The Depository Trust Company or by such other means as we and the sales agents may agree upon. There is no arrangement for funds to be received in an escrow, trust or similar arrangement.</w:t>
      </w:r>
    </w:p>
    <w:p>
      <w:pPr>
        <w:spacing w:after="0" w:line="7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We will pay each sales agent a commission of up to 3.0% of the aggregate gross proceeds we receive from each sale of our shares of Common Stock made through such sales agent from time to time under the equity distribution agreement. Because there is no minimum offering amount required as a condition to close this offering, the actual total public offering amount, commissions and proceeds to us, if any, are not determinable at this time. In addition, we have agreed to reimburse the sales agents for the fees and disbursements of their counsel, payable upon execution of the equity distribution agreement, in an amount not to exceed $100,000. We estimate that the total expenses for the offering, excluding any commissions or expense reimbursement payable to the sales agents under the terms of the equity distribution agreement, will be approximately $100,000. The remaining sale proceeds, after deducting any other transaction fees, will equal our net proceeds from the sale of such shares.</w:t>
      </w:r>
    </w:p>
    <w:p>
      <w:pPr>
        <w:spacing w:after="0" w:line="80" w:lineRule="exact"/>
        <w:rPr>
          <w:sz w:val="20"/>
          <w:szCs w:val="20"/>
          <w:color w:val="auto"/>
        </w:rPr>
      </w:pPr>
    </w:p>
    <w:p>
      <w:pPr>
        <w:jc w:val="both"/>
        <w:ind w:left="300" w:right="379" w:firstLine="360"/>
        <w:spacing w:after="0" w:line="289" w:lineRule="auto"/>
        <w:rPr>
          <w:sz w:val="20"/>
          <w:szCs w:val="20"/>
          <w:color w:val="auto"/>
        </w:rPr>
      </w:pPr>
      <w:r>
        <w:rPr>
          <w:rFonts w:ascii="Times New Roman" w:cs="Times New Roman" w:eastAsia="Times New Roman" w:hAnsi="Times New Roman"/>
          <w:sz w:val="17"/>
          <w:szCs w:val="17"/>
          <w:color w:val="auto"/>
        </w:rPr>
        <w:t>The sales agents will provide written confirmation to us before the open on Nasdaq on the day following each day on which our shares of Common Stock are sold under the equity distribution agreement. Each confirmation will include the number of shares sold on that day, the aggregate gross proceeds of such sales and the proceeds to us.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We will report at least quarterly the number of shares of Common Stock sold through the sales agents under the equity distribution agreement and the net proceeds to us in connection with the sales of our shares of Common Stock.</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sale of our shares of Common Stock on our behalf, each sales agent may be deemed to be an “underwriter” within the meaning of the Securities Act, and the compensation of the sales agents will be deemed to be underwriting commissions or discounts. We have agreed to indemnify the sales agents against certain civil liabilities, including liabilities under the Securities Act. We have also agreed to contribute to payments the sales agents may be required to make in respect of such liabilities. The sales agents will not engage in any transactions intended to stabilize our Common Stock. The offering of our shares of Common Stock pursuant to the equity distribution agreement will terminate upon the earlier of (i) the sale of all shares of Common Stock subject to the equity distribution agreement and (ii) the termination of the equity distribution agreement as permitted therein. We and the sales agents may each terminate the equity distribution agreement at any time upon ten days’ prior notice. The termination of the equity distribution agreement by one sales agent will not affect the rights and obligations of the other sales agent under the equity distribution agreement.</w:t>
      </w:r>
    </w:p>
    <w:p>
      <w:pPr>
        <w:spacing w:after="0" w:line="8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This summary of the material provisions of the equity distribution agreement does not purport to be a complete statement of its terms and conditions. A copy of the equity distribution agreement is filed as an exhibit to the registration statement of which this prospectus supplement forms a part and incorporated by reference in this prospectus supplement.</w:t>
      </w:r>
    </w:p>
    <w:p>
      <w:pPr>
        <w:spacing w:after="0" w:line="72"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Shares of our Common Stock are listed on Nasdaq and the TSX under the trading symbol “TLRY.” The transfer agent for our Common Stock is Pacific Stock Transfer Company.</w:t>
      </w:r>
    </w:p>
    <w:p>
      <w:pPr>
        <w:spacing w:after="0" w:line="54"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The sales agents and their affiliates have in the past provided, or may in the future provide, various investment banking, commercial banking, financial advisory and other financial services for us and our affiliates, for which services they have received, or may in the future receive, customary fees. In the course of its business, each sales agent may actively trade our securities for its own account or for the accounts of customers, and, accordingly, the sales agents may at any time hold long or short positions in such securities.</w:t>
      </w:r>
    </w:p>
    <w:p>
      <w:pPr>
        <w:spacing w:after="0" w:line="75"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A prospectus supplement and the accompanying prospectus in electronic format may be made available on a website maintained by TD Securities and/or Jefferies, and TD Securities and/or Jefferies may distribute the prospectus supplement and the accompanying prospectus electronically.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by this prospectus supplement will be passed upon for us by DLA Piper LLP (US), New York, New York. TD Securities and Jefferies are being represented in connection with this offering by Goodwin Procter LLP, New York, New York.</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by reference in this prospectus supplement by reference to the Annual Report on Form 10-K for the year ended May 31, 2025 have been so incorporated in reliance on the report (which contains a paragraph relating to the effectiveness of internal control over financial reporting due to the exclusion of the Craft Acquisition II, which includes Atwater Brewery, Hop Valley Brewing Company, Terrapin Beer Co., and Revolver Brewing, because they were acquired by the Company in purchase business combinations during the year ended May 31, 2025) of PricewaterhouseCoopers LLP, an independent registered public accounting firm, given on the authority of said firm as experts in auditing and accounting.</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are required to file periodic reports, proxy statements and other information with the SEC pursuant to the Exchange Act. Our SEC filings are available to the public on the SEC’s website at www.sec.gov, which contains reports, proxies and information statements and other information regarding registrants that file electronically. We also maintain a website at www.tilray.com, at which you may access these materials free of charge as soon as reasonably practicable after they are electronically filed with, or furnished to, the SEC. Information contained on, or that can be accessed through, our website is not a part of this prospectus supplement and the inclusion of our website address in this prospectus supplement is an inactive textual reference only.</w:t>
      </w:r>
    </w:p>
    <w:p>
      <w:pPr>
        <w:spacing w:after="0" w:line="8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the Registration Statement and does not contain all the information set forth or incorporated by reference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certain information. This means that we can disclose important information to you by referring you to those documents that contain the information. The information we incorporate by reference is considered a part of this prospectus supplement. We incorporate by reference into this prospectus supplement the documents listed below that we have filed with the SEC. Any report or information within any of the documents referenced below that is furnished, but not filed, shall not be incorporated by reference into this prospectus supplement.</w:t>
      </w:r>
    </w:p>
    <w:p>
      <w:pPr>
        <w:spacing w:after="0" w:line="79" w:lineRule="exact"/>
        <w:rPr>
          <w:sz w:val="20"/>
          <w:szCs w:val="20"/>
          <w:color w:val="auto"/>
        </w:rPr>
      </w:pPr>
    </w:p>
    <w:p>
      <w:pPr>
        <w:ind w:left="1000" w:right="499" w:hanging="348"/>
        <w:spacing w:after="0" w:line="282" w:lineRule="auto"/>
        <w:tabs>
          <w:tab w:leader="none" w:pos="1000" w:val="left"/>
        </w:tabs>
        <w:numPr>
          <w:ilvl w:val="0"/>
          <w:numId w:val="37"/>
        </w:numPr>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auto"/>
          </w:rPr>
          <w:t xml:space="preserve">our Annual Report on Form 10-K for the fiscal year ended May 31, 2025, filed with the SEC on </w:t>
        </w:r>
        <w:r>
          <w:rPr>
            <w:rFonts w:ascii="Times New Roman" w:cs="Times New Roman" w:eastAsia="Times New Roman" w:hAnsi="Times New Roman"/>
            <w:sz w:val="18"/>
            <w:szCs w:val="18"/>
            <w:u w:val="single" w:color="auto"/>
            <w:color w:val="0000EE"/>
          </w:rPr>
          <w:t>July 29,</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jc w:val="both"/>
        <w:ind w:left="1000" w:right="919" w:hanging="348"/>
        <w:spacing w:after="0" w:line="312" w:lineRule="auto"/>
        <w:tabs>
          <w:tab w:leader="none" w:pos="10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the Form 10-K for the fiscal year ended May 31, 2025 from our definitive proxy statement on Schedule 14A, filed on </w:t>
      </w:r>
      <w:hyperlink r:id="rId50">
        <w:r>
          <w:rPr>
            <w:rFonts w:ascii="Times New Roman" w:cs="Times New Roman" w:eastAsia="Times New Roman" w:hAnsi="Times New Roman"/>
            <w:sz w:val="17"/>
            <w:szCs w:val="17"/>
            <w:u w:val="single" w:color="auto"/>
            <w:color w:val="0000EE"/>
          </w:rPr>
          <w:t>September 26, 2025</w:t>
        </w:r>
      </w:hyperlink>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 ended August 31, 2025, filed on October 9, 2025;</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51">
        <w:r>
          <w:rPr>
            <w:rFonts w:ascii="Times New Roman" w:cs="Times New Roman" w:eastAsia="Times New Roman" w:hAnsi="Times New Roman"/>
            <w:sz w:val="18"/>
            <w:szCs w:val="18"/>
            <w:u w:val="single" w:color="auto"/>
            <w:color w:val="0000EE"/>
          </w:rPr>
          <w:t>June 23,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2">
        <w:r>
          <w:rPr>
            <w:rFonts w:ascii="Times New Roman" w:cs="Times New Roman" w:eastAsia="Times New Roman" w:hAnsi="Times New Roman"/>
            <w:sz w:val="18"/>
            <w:szCs w:val="18"/>
            <w:u w:val="single" w:color="auto"/>
            <w:color w:val="0000EE"/>
          </w:rPr>
          <w:t>June 10, 2025</w:t>
        </w:r>
      </w:hyperlink>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58"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as set forth in our registration statement on Form 8-A/A (File No. 001-38594), filed with the SEC on </w:t>
      </w:r>
      <w:hyperlink r:id="rId53">
        <w:r>
          <w:rPr>
            <w:rFonts w:ascii="Times New Roman" w:cs="Times New Roman" w:eastAsia="Times New Roman" w:hAnsi="Times New Roman"/>
            <w:sz w:val="18"/>
            <w:szCs w:val="18"/>
            <w:u w:val="single" w:color="auto"/>
            <w:color w:val="0000EE"/>
          </w:rPr>
          <w:t>October 1, 2020</w:t>
        </w:r>
      </w:hyperlink>
      <w:r>
        <w:rPr>
          <w:rFonts w:ascii="Times New Roman" w:cs="Times New Roman" w:eastAsia="Times New Roman" w:hAnsi="Times New Roman"/>
          <w:sz w:val="18"/>
          <w:szCs w:val="18"/>
          <w:color w:val="auto"/>
        </w:rPr>
        <w:t xml:space="preserve">, pursuant to Section 12(b) of the Exchange Act, including the description contained in </w:t>
      </w:r>
      <w:hyperlink r:id="rId54">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May 31, 2025, and any subsequent amendments or reports filed for the purpose of updating such description.</w:t>
      </w:r>
    </w:p>
    <w:p>
      <w:pPr>
        <w:spacing w:after="0" w:line="75" w:lineRule="exact"/>
        <w:rPr>
          <w:rFonts w:ascii="Times New Roman" w:cs="Times New Roman" w:eastAsia="Times New Roman" w:hAnsi="Times New Roman"/>
          <w:sz w:val="18"/>
          <w:szCs w:val="18"/>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You should direct any requests for documents to Tilray Brands, Inc., 265 Talbot Street West, Leamington, Ontario, Canada. Copies of the above reports may also be accessed from our web site at www.tilray.com. Information contained on, or that can be accessed through, our website is not a part of this prospectus supplement and the inclusion of our website address in this prospectus supplement is an inactive textual reference only.</w:t>
      </w:r>
    </w:p>
    <w:p>
      <w:pPr>
        <w:spacing w:after="0" w:line="79" w:lineRule="exact"/>
        <w:rPr>
          <w:rFonts w:ascii="Times New Roman" w:cs="Times New Roman" w:eastAsia="Times New Roman" w:hAnsi="Times New Roman"/>
          <w:sz w:val="18"/>
          <w:szCs w:val="18"/>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in this prospectus supplement any future filings that we make with the SEC under Section 13(a), 13(c), 14 or 15(d) of the Exchange Act until we sell all the securities to which this prospectus supplement relates;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 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modifies, supersedes or replaces such statement.</w:t>
      </w:r>
    </w:p>
    <w:p>
      <w:pPr>
        <w:spacing w:after="0" w:line="134"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265 Talbot Street West</w:t>
      </w:r>
    </w:p>
    <w:p>
      <w:pPr>
        <w:spacing w:after="0" w:line="9"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Leamington, Ontario, Canada</w:t>
      </w:r>
    </w:p>
    <w:p>
      <w:pPr>
        <w:spacing w:after="0" w:line="9" w:lineRule="exact"/>
        <w:rPr>
          <w:rFonts w:ascii="Times New Roman" w:cs="Times New Roman" w:eastAsia="Times New Roman" w:hAnsi="Times New Roman"/>
          <w:sz w:val="18"/>
          <w:szCs w:val="18"/>
          <w:color w:val="auto"/>
        </w:rPr>
      </w:pPr>
    </w:p>
    <w:p>
      <w:pPr>
        <w:ind w:left="4340" w:right="3959" w:hanging="398"/>
        <w:spacing w:after="0" w:line="555" w:lineRule="auto"/>
        <w:tabs>
          <w:tab w:leader="none" w:pos="438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845-7291 S-12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-50800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Tilray Brands, Inc.</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3,133 Shares of Common Stock Underlying Warrants</w:t>
      </w:r>
    </w:p>
    <w:p>
      <w:pPr>
        <w:spacing w:after="0" w:line="121" w:lineRule="exact"/>
        <w:rPr>
          <w:sz w:val="20"/>
          <w:szCs w:val="20"/>
          <w:color w:val="auto"/>
        </w:rPr>
      </w:pPr>
    </w:p>
    <w:p>
      <w:pPr>
        <w:ind w:left="40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supplements the accompanying prospectus, and relates to the issuance and sale of up to 3,133 shares of our common stock, par value $0.0001 per share (“Common Stock”), issuable upon the exercise of currently outstanding warrants (the “Warrants”) to purchase shares of Common Stock pursuant to the terms and conditions of an arrangement agreement, dated as of April 10, 2023, as amended on June 1, 2023 (as amended, the “Arrangement Agreement”), that we have entered into with HEXO Corp. (“HEXO”) to acquire all of the outstanding securities of HEXO (the “Transaction”). The Warrants were previously exercisable for common shares of HEXO, and the issuance of such common shares upon exercise of the Warrants was previously registered by HEXO with the U.S. Securities and Exchange Commission (the “SEC”). Pursuant to the Arrangement Agreement, the Warrants were adjusted such that upon exercise the holders thereof are entitled to receive, after adjustments to reflect the arrangement and the applicable exchange ratio, Common Stock.</w:t>
      </w:r>
    </w:p>
    <w:p>
      <w:pPr>
        <w:spacing w:after="0" w:line="86" w:lineRule="exact"/>
        <w:rPr>
          <w:sz w:val="20"/>
          <w:szCs w:val="20"/>
          <w:color w:val="auto"/>
        </w:rPr>
      </w:pPr>
    </w:p>
    <w:p>
      <w:pPr>
        <w:ind w:left="400" w:right="439"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and the Toronto Stock Exchange (the “TSX”) under the trading symbol “TLRY.” On October 8, 2025, the last sale price of our Common Stock was $1.72 per share on Nasdaq and C$2.36 per share on the TSX.</w:t>
      </w:r>
    </w:p>
    <w:p>
      <w:pPr>
        <w:spacing w:after="0" w:line="64" w:lineRule="exact"/>
        <w:rPr>
          <w:sz w:val="20"/>
          <w:szCs w:val="20"/>
          <w:color w:val="auto"/>
        </w:rPr>
      </w:pPr>
    </w:p>
    <w:p>
      <w:pPr>
        <w:ind w:left="400" w:right="53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in our Common Stock involves risks. See “Risk Factors” on page </w:t>
      </w:r>
      <w:r>
        <w:rPr>
          <w:rFonts w:ascii="Times New Roman" w:cs="Times New Roman" w:eastAsia="Times New Roman" w:hAnsi="Times New Roman"/>
          <w:sz w:val="18"/>
          <w:szCs w:val="18"/>
          <w:b w:val="1"/>
          <w:bCs w:val="1"/>
          <w:i w:val="1"/>
          <w:iCs w:val="1"/>
          <w:u w:val="single" w:color="auto"/>
          <w:color w:val="0000EE"/>
        </w:rPr>
        <w:t>2</w:t>
      </w:r>
      <w:r>
        <w:rPr>
          <w:rFonts w:ascii="Times New Roman" w:cs="Times New Roman" w:eastAsia="Times New Roman" w:hAnsi="Times New Roman"/>
          <w:sz w:val="18"/>
          <w:szCs w:val="18"/>
          <w:b w:val="1"/>
          <w:bCs w:val="1"/>
          <w:i w:val="1"/>
          <w:iCs w:val="1"/>
          <w:color w:val="auto"/>
        </w:rPr>
        <w:t xml:space="preserve"> of this prospectus supplement, and on page </w:t>
      </w:r>
      <w:r>
        <w:rPr>
          <w:rFonts w:ascii="Times New Roman" w:cs="Times New Roman" w:eastAsia="Times New Roman" w:hAnsi="Times New Roman"/>
          <w:sz w:val="18"/>
          <w:szCs w:val="18"/>
          <w:b w:val="1"/>
          <w:bCs w:val="1"/>
          <w:i w:val="1"/>
          <w:iCs w:val="1"/>
          <w:u w:val="single" w:color="auto"/>
          <w:color w:val="0000EE"/>
        </w:rPr>
        <w:t>5</w:t>
      </w:r>
      <w:r>
        <w:rPr>
          <w:rFonts w:ascii="Times New Roman" w:cs="Times New Roman" w:eastAsia="Times New Roman" w:hAnsi="Times New Roman"/>
          <w:sz w:val="18"/>
          <w:szCs w:val="18"/>
          <w:b w:val="1"/>
          <w:bCs w:val="1"/>
          <w:i w:val="1"/>
          <w:iCs w:val="1"/>
          <w:color w:val="auto"/>
        </w:rPr>
        <w:t xml:space="preserve"> of the accompanying prospectus, as well as our other filings that are incorporated by reference into this prospectus supplement and the accompanying prospectus.</w:t>
      </w:r>
    </w:p>
    <w:p>
      <w:pPr>
        <w:spacing w:after="0" w:line="63" w:lineRule="exact"/>
        <w:rPr>
          <w:sz w:val="20"/>
          <w:szCs w:val="20"/>
          <w:color w:val="auto"/>
        </w:rPr>
      </w:pPr>
    </w:p>
    <w:p>
      <w:pPr>
        <w:ind w:left="400" w:right="47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prospectus supplement is dated October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tbl>
      <w:tblPr>
        <w:tblLayout w:type="fixed"/>
        <w:tblInd w:w="300" w:type="dxa"/>
        <w:tblCellMar>
          <w:top w:w="0" w:type="dxa"/>
          <w:left w:w="0" w:type="dxa"/>
          <w:bottom w:w="0" w:type="dxa"/>
          <w:right w:w="0" w:type="dxa"/>
        </w:tblCellMar>
      </w:tblPr>
      <w:tr>
        <w:trPr>
          <w:trHeight w:val="161"/>
        </w:trPr>
        <w:tc>
          <w:tcPr>
            <w:tcW w:w="77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6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318"/>
        </w:trPr>
        <w:tc>
          <w:tcPr>
            <w:tcW w:w="77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30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S-ii</w:t>
            </w:r>
          </w:p>
        </w:tc>
      </w:tr>
      <w:tr>
        <w:trPr>
          <w:trHeight w:val="189"/>
        </w:trPr>
        <w:tc>
          <w:tcPr>
            <w:tcW w:w="3420" w:type="dxa"/>
            <w:vAlign w:val="bottom"/>
            <w:tcBorders>
              <w:top w:val="single" w:sz="8" w:color="0000EE"/>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PROSPECTUS SUMMARY</w:t>
            </w:r>
          </w:p>
        </w:tc>
        <w:tc>
          <w:tcPr>
            <w:tcW w:w="4340" w:type="dxa"/>
            <w:vAlign w:val="bottom"/>
            <w:tcBorders>
              <w:top w:val="single" w:sz="8" w:color="CCEEFF"/>
            </w:tcBorders>
            <w:gridSpan w:val="4"/>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0000EE"/>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EE"/>
              </w:rPr>
              <w:t>S-1</w:t>
            </w:r>
          </w:p>
        </w:tc>
        <w:tc>
          <w:tcPr>
            <w:tcW w:w="20" w:type="dxa"/>
            <w:vAlign w:val="bottom"/>
            <w:tcBorders>
              <w:top w:val="single" w:sz="8" w:color="CCEEFF"/>
            </w:tcBorders>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S-2</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S-3</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9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76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S-6</w:t>
            </w:r>
          </w:p>
        </w:tc>
      </w:tr>
      <w:tr>
        <w:trPr>
          <w:trHeight w:val="189"/>
        </w:trPr>
        <w:tc>
          <w:tcPr>
            <w:tcW w:w="2500" w:type="dxa"/>
            <w:vAlign w:val="bottom"/>
            <w:tcBorders>
              <w:top w:val="single" w:sz="8" w:color="0000EE"/>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5260" w:type="dxa"/>
            <w:vAlign w:val="bottom"/>
            <w:tcBorders>
              <w:top w:val="single" w:sz="8" w:color="CCEEFF"/>
            </w:tcBorders>
            <w:gridSpan w:val="5"/>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0000EE"/>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EE"/>
              </w:rPr>
              <w:t>S-8</w:t>
            </w:r>
          </w:p>
        </w:tc>
        <w:tc>
          <w:tcPr>
            <w:tcW w:w="20" w:type="dxa"/>
            <w:vAlign w:val="bottom"/>
            <w:tcBorders>
              <w:top w:val="single" w:sz="8" w:color="CCEEFF"/>
            </w:tcBorders>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S-9</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4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5720" w:type="dxa"/>
            <w:vAlign w:val="bottom"/>
            <w:gridSpan w:val="7"/>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S-10</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0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S-10</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tcPr>
          <w:p>
            <w:pPr>
              <w:spacing w:after="0"/>
              <w:rPr>
                <w:sz w:val="16"/>
                <w:szCs w:val="16"/>
                <w:color w:val="auto"/>
              </w:rPr>
            </w:pPr>
          </w:p>
        </w:tc>
        <w:tc>
          <w:tcPr>
            <w:tcW w:w="3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S-10</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9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30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S-11</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9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4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This prospectus supplement is part of a shelf registration statement on Form S-3 (the “Registration Statement”) that we filed with the Securities and Exchange Commission, or SEC, relating to certain securities, including the securities described in this prospectus supplement, which Registration Statement became effective automatically upon filing.</w:t>
      </w:r>
    </w:p>
    <w:p>
      <w:pPr>
        <w:spacing w:after="0" w:line="72" w:lineRule="exact"/>
        <w:rPr>
          <w:sz w:val="20"/>
          <w:szCs w:val="20"/>
          <w:color w:val="auto"/>
        </w:rPr>
      </w:pPr>
    </w:p>
    <w:p>
      <w:pPr>
        <w:ind w:left="300" w:right="639" w:firstLine="36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and the accompanying prospectus. We have not authorized anyone to provide you with different or additional information. This prospectus supplement is an offer to sell only the securities offered hereby, but only under circumstances and in jurisdictions where it is lawful to do so.</w:t>
      </w:r>
    </w:p>
    <w:p>
      <w:pPr>
        <w:spacing w:after="0" w:line="72"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information appearing in this prospectus supplement is accurate only as of the date on the front of the document and any information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w:t>
      </w:r>
    </w:p>
    <w:p>
      <w:pPr>
        <w:spacing w:after="0" w:line="72"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incorporated by reference as exhibits to the Registration Statement, and you may obtain copies of those documents as described below under the section entitled “Where You Can Find More Information.”</w:t>
      </w:r>
    </w:p>
    <w:p>
      <w:pPr>
        <w:spacing w:after="0" w:line="7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supplement to “Tilray,” the “company,” “we,” “us” and “our” refer to Tilray Brands, Inc. and its wholly-owned subsidiaries. Tilray, our logo and our other registered or common law trademarks, trade names or service marks appearing in this prospectus supplement are owned by us. Solely for convenience, trademarks and trade names referred to in this prospectus supplement, including logos, artwork and other visual displays, may appear without the ® or ™ symbols, but such references are not intended to indicate in any way that we will not assert, to the fullest extent under applicable law, our rights of the applicable licensor to these trademarks and trade names. Unless otherwise stated in this prospectus supplement, we do not intend our use or display of other companies’ trade names or trademarks to imply a relationship with, or endorsement or sponsorship of us by, any other companies.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4823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5653405" cy="848233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w:t>
      </w:r>
    </w:p>
    <w:p>
      <w:pPr>
        <w:spacing w:after="0" w:line="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elsewhere in or incorporated by reference into this prospectus supplement. This summary provides an overview of</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selected information and does not contain all of the information you should consider before deciding whether to</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invest in our Common Stock. Therefore, you should read the entire prospectus supplement and the accompanying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prospectus carefully (including the documents incorporated by reference herein and therein), especially the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“Risk Factors” section beginning on page </w:t>
      </w:r>
      <w:r>
        <w:rPr>
          <w:rFonts w:ascii="Times New Roman" w:cs="Times New Roman" w:eastAsia="Times New Roman" w:hAnsi="Times New Roman"/>
          <w:sz w:val="18"/>
          <w:szCs w:val="18"/>
          <w:i w:val="1"/>
          <w:iCs w:val="1"/>
          <w:u w:val="single" w:color="auto"/>
          <w:color w:val="0000EE"/>
        </w:rPr>
        <w:t>2</w:t>
      </w:r>
      <w:r>
        <w:rPr>
          <w:rFonts w:ascii="Times New Roman" w:cs="Times New Roman" w:eastAsia="Times New Roman" w:hAnsi="Times New Roman"/>
          <w:sz w:val="18"/>
          <w:szCs w:val="18"/>
          <w:i w:val="1"/>
          <w:iCs w:val="1"/>
          <w:color w:val="auto"/>
        </w:rPr>
        <w:t xml:space="preserve"> and in the documents incorporated by reference and our consolidated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financial statements and the related notes incorporated by reference in this prospectus supplement and the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accompanying prospectus, before deciding to invest in our Common Stock. Unless the context otherwise requires, we</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use the terms “Tilray,” “Company,” “we,” “us” and “our” in this prospectus supplement and the accompanying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prospectus to refer to Tilray Brands, Inc. and, where appropriate, our consolidated subsidiaries.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20" w:right="339" w:firstLine="360"/>
        <w:spacing w:after="0" w:line="256" w:lineRule="auto"/>
        <w:rPr>
          <w:sz w:val="20"/>
          <w:szCs w:val="20"/>
          <w:color w:val="auto"/>
        </w:rPr>
      </w:pPr>
      <w:r>
        <w:rPr>
          <w:rFonts w:ascii="Times New Roman" w:cs="Times New Roman" w:eastAsia="Times New Roman" w:hAnsi="Times New Roman"/>
          <w:sz w:val="18"/>
          <w:szCs w:val="18"/>
          <w:color w:val="auto"/>
        </w:rPr>
        <w:t>Tilray is a leading global lifestyle consumer products company, which was incorporated on January 24, 2018 and is headquartered in Leamington and New York, with operations in Canada, the United States, Europe, Australia, New Zealand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20" w:right="319" w:firstLine="360"/>
        <w:spacing w:after="0" w:line="256" w:lineRule="auto"/>
        <w:rPr>
          <w:sz w:val="20"/>
          <w:szCs w:val="20"/>
          <w:color w:val="auto"/>
        </w:rPr>
      </w:pPr>
      <w:r>
        <w:rPr>
          <w:rFonts w:ascii="Times New Roman" w:cs="Times New Roman" w:eastAsia="Times New Roman" w:hAnsi="Times New Roman"/>
          <w:sz w:val="18"/>
          <w:szCs w:val="18"/>
          <w:color w:val="auto"/>
        </w:rPr>
        <w:t>Tilray Brands, Inc. was incorporated in Delaware in January 2018. Prior to January 2018, Tilray Brands, Inc. operated its business under Decatur Holdings, BV, a Dutch private limited liability company (“Decatur”), which was formed in March 2016. Decatur was incorporated under the laws of the Netherlands on March 8, 2016 as a wholly-owned subsidiary of Privateer Holdings, Inc. (“Privateer Holdings”) to hold a 100% ownership interest in Tilray Brands, Inc.’s direct and indirect subsidiaries through which Tilray Brands, Inc. operated its business. Decatur was dissolved on December 27, 2018.</w:t>
      </w:r>
    </w:p>
    <w:p>
      <w:pPr>
        <w:spacing w:after="0" w:line="79" w:lineRule="exact"/>
        <w:rPr>
          <w:sz w:val="20"/>
          <w:szCs w:val="20"/>
          <w:color w:val="auto"/>
        </w:rPr>
      </w:pPr>
    </w:p>
    <w:p>
      <w:pPr>
        <w:ind w:left="320" w:right="339" w:firstLine="360"/>
        <w:spacing w:after="0" w:line="282" w:lineRule="auto"/>
        <w:rPr>
          <w:sz w:val="20"/>
          <w:szCs w:val="20"/>
          <w:color w:val="auto"/>
        </w:rPr>
      </w:pPr>
      <w:r>
        <w:rPr>
          <w:rFonts w:ascii="Times New Roman" w:cs="Times New Roman" w:eastAsia="Times New Roman" w:hAnsi="Times New Roman"/>
          <w:sz w:val="18"/>
          <w:szCs w:val="18"/>
          <w:color w:val="auto"/>
        </w:rPr>
        <w:t>On December 12, 2019, Privateer Holdings merged with and into a wholly owned subsidiary of Tilray pursuant to the agreement and plan of merger and reorganization.</w:t>
      </w:r>
    </w:p>
    <w:p>
      <w:pPr>
        <w:spacing w:after="0" w:line="54" w:lineRule="exact"/>
        <w:rPr>
          <w:sz w:val="20"/>
          <w:szCs w:val="20"/>
          <w:color w:val="auto"/>
        </w:rPr>
      </w:pPr>
    </w:p>
    <w:p>
      <w:pPr>
        <w:ind w:left="320" w:right="319" w:firstLine="360"/>
        <w:spacing w:after="0" w:line="261" w:lineRule="auto"/>
        <w:rPr>
          <w:sz w:val="20"/>
          <w:szCs w:val="20"/>
          <w:color w:val="auto"/>
        </w:rPr>
      </w:pPr>
      <w:r>
        <w:rPr>
          <w:rFonts w:ascii="Times New Roman" w:cs="Times New Roman" w:eastAsia="Times New Roman" w:hAnsi="Times New Roman"/>
          <w:sz w:val="18"/>
          <w:szCs w:val="18"/>
          <w:color w:val="auto"/>
        </w:rPr>
        <w:t>Pursuant to an arrangement agreement, dated as of December 15, 2020, as amended on February 19, 2021, between Tilray and Aphria Inc., Tilray implemented an arrangement (the “Arrangement”) under the Business Corporations Act (Ontario) in accordance with a plan of arrangement. The Arrangement was completed on April 30, 2021.</w:t>
      </w:r>
    </w:p>
    <w:p>
      <w:pPr>
        <w:spacing w:after="0" w:line="72" w:lineRule="exact"/>
        <w:rPr>
          <w:sz w:val="20"/>
          <w:szCs w:val="20"/>
          <w:color w:val="auto"/>
        </w:rPr>
      </w:pPr>
    </w:p>
    <w:p>
      <w:pPr>
        <w:ind w:left="320" w:right="419" w:firstLine="360"/>
        <w:spacing w:after="0" w:line="289" w:lineRule="auto"/>
        <w:rPr>
          <w:sz w:val="20"/>
          <w:szCs w:val="20"/>
          <w:color w:val="auto"/>
        </w:rPr>
      </w:pPr>
      <w:r>
        <w:rPr>
          <w:rFonts w:ascii="Times New Roman" w:cs="Times New Roman" w:eastAsia="Times New Roman" w:hAnsi="Times New Roman"/>
          <w:sz w:val="17"/>
          <w:szCs w:val="17"/>
          <w:color w:val="auto"/>
        </w:rPr>
        <w:t>On January 10, 2022, Tilray, Inc. changed its corporate name to Tilray Brands, Inc., pursuant to a second certificate of amendment of the amended and restated certificate of incorporation filed with the Delaware Secretary of State (the “Name Change”), and amended and restated its Bylaws on that same date to reflect the Name Change.</w:t>
      </w:r>
    </w:p>
    <w:p>
      <w:pPr>
        <w:spacing w:after="0" w:line="50"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On March 16, 2023, Tilray’s stockholders formally approved a proposal to amend its certificate of incorporation (the “Charter Amendment”), which modified Tilray’s existing certificate of incorporation by canceling its Class 1 common stock and re-allocating such authorized shares to Class 2 common stock. In addition, the Charter Amendment reclassified each issued and outstanding share of Class 2 common stock as one share of Common Stock of Tilray.</w:t>
      </w:r>
    </w:p>
    <w:p>
      <w:pPr>
        <w:spacing w:after="0" w:line="75" w:lineRule="exact"/>
        <w:rPr>
          <w:sz w:val="20"/>
          <w:szCs w:val="20"/>
          <w:color w:val="auto"/>
        </w:rPr>
      </w:pPr>
    </w:p>
    <w:p>
      <w:pPr>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On April 10, 2023, Tilray entered into the Arrangement Agreement with HEXO Corp., pursuant to which Tilray agreed to acquire all of the issued and outstanding common shares of HEXO pursuant to a plan of arrangement (the “Plan of Arrangement”) under the Business Corporations Act (Ontario). This transaction builds on the successful strategic alliance between the two companies and positions Tilray for continued strong growth and market leadership in Canada, the largest federally legal cannabis market in the world. The acquisition of HEXO closed on June 22, 2023.</w:t>
      </w:r>
    </w:p>
    <w:p>
      <w:pPr>
        <w:spacing w:after="0" w:line="79" w:lineRule="exact"/>
        <w:rPr>
          <w:sz w:val="20"/>
          <w:szCs w:val="20"/>
          <w:color w:val="auto"/>
        </w:rPr>
      </w:pPr>
    </w:p>
    <w:p>
      <w:pPr>
        <w:ind w:left="320" w:right="379" w:firstLine="360"/>
        <w:spacing w:after="0" w:line="261" w:lineRule="auto"/>
        <w:rPr>
          <w:sz w:val="20"/>
          <w:szCs w:val="20"/>
          <w:color w:val="auto"/>
        </w:rPr>
      </w:pPr>
      <w:r>
        <w:rPr>
          <w:rFonts w:ascii="Times New Roman" w:cs="Times New Roman" w:eastAsia="Times New Roman" w:hAnsi="Times New Roman"/>
          <w:sz w:val="18"/>
          <w:szCs w:val="18"/>
          <w:color w:val="auto"/>
        </w:rPr>
        <w:t>Tilray’s principal executive office is located at 265 Talbot Street West, Leamington, Ontario, Canada and its telephone number is (844) 845-7291. Its corporate website address is www.tilray.com. Information contained on or accessible through such website is not a part of this prospectus supplement, and the inclusion of the website address in this prospectus supplement is an inactive textual reference only.</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“TLRY.”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herein and in the accompanying prospectus, described under the section entitled “Risk Factors” contained in our most recent annual report on Form 10-K, as amended, as well as any amendments thereto reflected in subsequent filings with the SEC, which are incorporated by reference into this prospectus supplement, together with other information in this prospectus supplement and the accompanying prospectus (including the documents incorporated by reference herein and therein).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left="300" w:right="359" w:firstLine="360"/>
        <w:spacing w:after="0" w:line="251" w:lineRule="auto"/>
        <w:rPr>
          <w:sz w:val="20"/>
          <w:szCs w:val="20"/>
          <w:color w:val="auto"/>
        </w:rPr>
      </w:pPr>
      <w:r>
        <w:rPr>
          <w:rFonts w:ascii="Times New Roman" w:cs="Times New Roman" w:eastAsia="Times New Roman" w:hAnsi="Times New Roman"/>
          <w:sz w:val="18"/>
          <w:szCs w:val="18"/>
          <w:color w:val="auto"/>
        </w:rPr>
        <w:t>Certain statements in this prospectus supplement and the accompanying prospectus, including the documents incorporated by reference herein and therein, constitute forward-looking information or forward-looking statements within the meaning of Section 27A of the Securities Act of 1933, as amended (the “Securities Act”), and Section 21E of the Securities Exchange Act of 1934, as amended (the “Exchange Act”),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These statements may include, without limitation, statements regarding our operations, business, financial condition, expected financial results, performance, prospects, opportunities, priorities, targets, goals, ongoing objectives, strategies and outlook. Forward-looking statements are typically identified by words such as “expect”, “intend”, “anticipate”, “believe”, “contemplate”, “foresee”, “forecast”, “future”, “could”, “enable”, “potential”, “estimate”, “project”, “goal”, “plan”, “seek”, “strive”, “will”, “would”, “may” and “should” and similar expressions, although not all forward-looking statements contain these identifying words. Forward-looking statements reflect current beliefs of management with respect to future events and are based on information currently available to management including based on reasonable assumptions, estimates, internal and external analysis and opinions of management concerning its experience, perception of trends, current conditions and expected developments as well as other factors that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Our estimates, beliefs and assumptions are inherently subject to significant business, economic, competitive and other uncertainties and contingencies regarding future events and as such, are subject to change. We can give no assurance that such estimates, beliefs and assumptions will prove to be correct.</w:t>
      </w:r>
    </w:p>
    <w:p>
      <w:pPr>
        <w:spacing w:after="0" w:line="97" w:lineRule="exact"/>
        <w:rPr>
          <w:sz w:val="20"/>
          <w:szCs w:val="20"/>
          <w:color w:val="auto"/>
        </w:rPr>
      </w:pPr>
    </w:p>
    <w:p>
      <w:pPr>
        <w:ind w:left="300" w:right="819" w:firstLine="360"/>
        <w:spacing w:after="0" w:line="261" w:lineRule="auto"/>
        <w:rPr>
          <w:sz w:val="20"/>
          <w:szCs w:val="20"/>
          <w:color w:val="auto"/>
        </w:rPr>
      </w:pPr>
      <w:r>
        <w:rPr>
          <w:rFonts w:ascii="Times New Roman" w:cs="Times New Roman" w:eastAsia="Times New Roman" w:hAnsi="Times New Roman"/>
          <w:sz w:val="18"/>
          <w:szCs w:val="18"/>
          <w:color w:val="auto"/>
        </w:rPr>
        <w:t>Any information or statements that are contained in this prospectus supplement and the accompanying prospectus, including the documents incorporated by reference herein and therein, that are not statements of historical fact may be deemed to be forward-looking statements, including, but not limited to, statements with regards to:</w:t>
      </w:r>
    </w:p>
    <w:p>
      <w:pPr>
        <w:spacing w:after="0" w:line="72" w:lineRule="exact"/>
        <w:rPr>
          <w:sz w:val="20"/>
          <w:szCs w:val="20"/>
          <w:color w:val="auto"/>
        </w:rPr>
      </w:pPr>
    </w:p>
    <w:p>
      <w:pPr>
        <w:ind w:left="1000" w:right="73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financial information, including in respect of expected revenues, margins, cash flow, profitability, and production of cannabis;</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future costs applicable to sales, future capital expenditures, future cost reductions, and projected synergies including pre-tax synergies, cost savings and efficiencies;</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have scalable medical and adult-use cannabis platforms to strengthen the leadership position in Canada, internationally, and eventually in the United States;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position in the European cannabis markets, and our ability to leverage our current European platforms;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financial benefits in connection with the Arrangement;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legalization of cannabis in the United States and our position to compete in the United States;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growth in our market share and the European market; and</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offer a diversified and branded product offering and distribution footprint, world-class cultivation, processing and manufacturing facilities.</w:t>
      </w:r>
    </w:p>
    <w:p>
      <w:pPr>
        <w:spacing w:after="0" w:line="54"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supplement and the accompanying prospectus, including the documents incorporated by reference herein and therein, are subject to inherent risks and uncertainties and other factors which could cause actual results to differ materially from those anticipated by the forward-looking statements. The factors which could cause results to differ from current expectations include, but are not limited to:</w:t>
      </w:r>
    </w:p>
    <w:p>
      <w:pPr>
        <w:spacing w:after="0" w:line="56" w:lineRule="exact"/>
        <w:rPr>
          <w:sz w:val="20"/>
          <w:szCs w:val="20"/>
          <w:color w:val="auto"/>
        </w:rPr>
      </w:pPr>
    </w:p>
    <w:p>
      <w:pPr>
        <w:ind w:left="1000" w:right="49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expected revenue or other benefits from the craft beer operations we acquired in fiscal years 2024 and 2025;</w:t>
      </w:r>
    </w:p>
    <w:p>
      <w:pPr>
        <w:spacing w:after="0" w:line="53"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integrating operations and realizing the expected benefits of recent acquisitions, including the Craft brands acquisitions;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77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cannabis business is dependent upon regulatory approvals and licenses, ongoing compliance and reporting obligations, and timely renewals;</w:t>
      </w:r>
    </w:p>
    <w:p>
      <w:pPr>
        <w:spacing w:after="0" w:line="53" w:lineRule="exact"/>
        <w:rPr>
          <w:rFonts w:ascii="Times New Roman" w:cs="Times New Roman" w:eastAsia="Times New Roman" w:hAnsi="Times New Roman"/>
          <w:sz w:val="18"/>
          <w:szCs w:val="18"/>
          <w:color w:val="auto"/>
        </w:rPr>
      </w:pPr>
    </w:p>
    <w:p>
      <w:pPr>
        <w:jc w:val="both"/>
        <w:ind w:left="1000" w:right="619" w:hanging="348"/>
        <w:spacing w:after="0" w:line="255"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is evolving, including potential regulatory developments in the United States to reschedule cannabis from Schedule I to Schedule III under the Controlled Substances Act or revise the current federal framework under the 2018 Farm Bill for hemp-derived cannabis, including Delta-9. In addition, we are subject to potential modifications to existing regulatory frameworks outside of</w:t>
      </w:r>
    </w:p>
    <w:p>
      <w:pPr>
        <w:spacing w:after="0" w:line="2" w:lineRule="exact"/>
        <w:rPr>
          <w:rFonts w:ascii="Times New Roman" w:cs="Times New Roman" w:eastAsia="Times New Roman" w:hAnsi="Times New Roman"/>
          <w:sz w:val="18"/>
          <w:szCs w:val="18"/>
          <w:color w:val="auto"/>
        </w:rPr>
      </w:pPr>
    </w:p>
    <w:p>
      <w:pPr>
        <w:ind w:left="1000" w:right="3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as well as uncertainties and potential delays in receiving required export/import permits in Europe and Australia. Any unfavorable changes to or lack of commercial legalization, or extended delays in receipt of required permits, could negatively impact our businesses and the potential planned expansion of our business;</w:t>
      </w:r>
    </w:p>
    <w:p>
      <w:pPr>
        <w:spacing w:after="0" w:line="80"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including from the illicit cannabis market, and anticipate competition will increase, which could hurt our business;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and processing facilities are integral to our business and adverse changes or developments affecting our facilities may have an adverse impact on our business;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constrain our ability to market and distribute our products in Canada;</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regulations relating to hemp-derived CBD products, Delta-9 products, and medical cannabis products are new and rapidly evolving, and changes may not develop in the timeframe or manner most favorable to our business objectives;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or public attitudes about alcohol could decrease demand for our beverage products;</w:t>
      </w:r>
    </w:p>
    <w:p>
      <w:pPr>
        <w:spacing w:after="0" w:line="53" w:lineRule="exact"/>
        <w:rPr>
          <w:rFonts w:ascii="Times New Roman" w:cs="Times New Roman" w:eastAsia="Times New Roman" w:hAnsi="Times New Roman"/>
          <w:sz w:val="18"/>
          <w:szCs w:val="18"/>
          <w:color w:val="auto"/>
        </w:rPr>
      </w:pPr>
    </w:p>
    <w:p>
      <w:pPr>
        <w:jc w:val="both"/>
        <w:ind w:left="1000" w:right="67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SweetWater, Breckenridge, Montauk and our recently-acquired craft beer brands each face substantial competition in the beer industry or the broader market for beverage products, which could impact our business and financial results;</w:t>
      </w:r>
    </w:p>
    <w:p>
      <w:pPr>
        <w:spacing w:after="0" w:line="6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and demands, which could result in significant liability and costs, and impact our resources and reputation;</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materially adversely affected by the imposition of duties and tariffs and other trade barriers and retaliatory countermeasures implemented by the U.S. and other governments;</w:t>
      </w:r>
    </w:p>
    <w:p>
      <w:pPr>
        <w:spacing w:after="0" w:line="53" w:lineRule="exact"/>
        <w:rPr>
          <w:rFonts w:ascii="Times New Roman" w:cs="Times New Roman" w:eastAsia="Times New Roman" w:hAnsi="Times New Roman"/>
          <w:sz w:val="18"/>
          <w:szCs w:val="18"/>
          <w:color w:val="auto"/>
        </w:rPr>
      </w:pPr>
    </w:p>
    <w:p>
      <w:pPr>
        <w:ind w:left="1000" w:right="63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6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a history of net losses, and we may not achieve or maintain profitability in the future;</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alliances and other third-party business relationships may not achieve the intended beneficial impact and expose us to risks;</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execute future acquisitions, dispositions or other equity transactions or to successfully manage the impacts of such transactions on our operations;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inherent in an agricultural business, including the risk of crop failure;</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recurring customers for a substantial portion of our revenue. If we fail to retain or expand our customer relationships or these customers reduce their purchases, our revenue could decline significantly;</w:t>
      </w:r>
    </w:p>
    <w:p>
      <w:pPr>
        <w:spacing w:after="0" w:line="67" w:lineRule="exact"/>
        <w:rPr>
          <w:rFonts w:ascii="Times New Roman" w:cs="Times New Roman" w:eastAsia="Times New Roman" w:hAnsi="Times New Roman"/>
          <w:sz w:val="18"/>
          <w:szCs w:val="18"/>
          <w:color w:val="auto"/>
        </w:rPr>
      </w:pPr>
    </w:p>
    <w:p>
      <w:pPr>
        <w:ind w:left="1000" w:right="109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recalls for a variety of reasons, which could require us to expend significant management and capital resources;</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interruptions in our access to certain supply chains for key inputs such as raw materials, supplies, electricity, water and other utilities may impair our operations;</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may not be able to successfully establish and maintain effective internal controls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1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continued listing requirements of Nasdaq could result in a delisting of our publicly traded securities;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uncertainty regarding the impact of our implementation of a reverse stock split;</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in public markets has experienced and may continue to experience severe volatility and fluctuations;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and the stockholder base may hinder or prevent us from engaging in beneficial corporate initiatives;</w:t>
      </w:r>
    </w:p>
    <w:p>
      <w:pPr>
        <w:spacing w:after="0" w:line="53" w:lineRule="exact"/>
        <w:rPr>
          <w:rFonts w:ascii="Times New Roman" w:cs="Times New Roman" w:eastAsia="Times New Roman" w:hAnsi="Times New Roman"/>
          <w:sz w:val="18"/>
          <w:szCs w:val="18"/>
          <w:color w:val="auto"/>
        </w:rPr>
      </w:pPr>
    </w:p>
    <w:p>
      <w:pPr>
        <w:ind w:left="1000" w:right="71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6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raise the funds necessary to settle conversions of the convertible securities in cash or to repurchase the convertible securities upon a fundamental change;</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cryptocurrency strategy faces high risk and uncertainty in light of market volatility and an evolving regulatory landscape;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other risks generally applicable to our industry and the conduct of our business.</w:t>
      </w:r>
    </w:p>
    <w:p>
      <w:pPr>
        <w:spacing w:after="0" w:line="117"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Readers are cautioned that the foregoing list of factors is not exhaustive. Other risks and uncertainties not presently known to us or that we presently believe are not material could also cause actual results or events to differ materially from those expressed in the forward-looking statements contained herein.</w:t>
      </w:r>
    </w:p>
    <w:p>
      <w:pPr>
        <w:spacing w:after="0" w:line="68"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Additional information on these and other factors that could affect our operations or financial results are included in reports filed by us with applicable securities regulatory authorities and may be accessed through EDGAR (www.sec.gov). These risks and other factors are also discussed in more detail in the section entitled “Risk Factors” contained in our most recent Annual Report on Form 10-K, as well as any amendments thereto reflected in subsequent filings with the SEC and in our other filings that are incorporated by reference into this prospectus supplement and the accompanying prospectus.</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supplement and the accompanying prospectus, including the documents incorporated by reference herein and therein, are expressly qualified in their entirety by this cautionary statement. We cannot guarantee that the results or events expressed or implied in any forward-looking statement and information will materialize and accordingly, readers are cautioned not to place undue reliance on these forward-looking statements, which reflect our expectations only as of the date of the document containing the applicable statement. We disclaim any obligation to update or revise any forward-looking statements, whether as a result of new information, future events or otherwise, except as required by law. Thus, you should not assume that our silence over time means that actual events are bearing out as expressed or implied in such forward-looking statements. You should read this prospectus supplement, the accompany prospectus,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We are offering shares of our Common Stock that are issuable upon the exercise of currently outstanding Warrants previously issued by HEXO and assumed by us pursuant to the Arrangement Agreement in June 2023. The following description of our Common Stock and the Warrants summarizes the material terms and provisions thereof.</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a summary of the rights of our Common Stock, please read the information discussed under the heading “Description of Capital Stock” beginning on page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of the accompanying prospectus.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authorized capital stock is divided into:</w:t>
      </w:r>
    </w:p>
    <w:p>
      <w:pPr>
        <w:spacing w:after="0" w:line="117" w:lineRule="exact"/>
        <w:rPr>
          <w:sz w:val="20"/>
          <w:szCs w:val="20"/>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1,416,000,000 shares of Common Stock with a par value of $0.0001 per share;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undesignated shares of preferred stock with a par value of $0.0001 per share.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October 9, 2025, 1,131,480,234 shares of Common Stock were outstanding.</w:t>
      </w:r>
    </w:p>
    <w:p>
      <w:pPr>
        <w:spacing w:after="0" w:line="117"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On October 1, 2020, we filed a certificate with the Secretary of State of the State of Delaware effecting the retirement and cancellation of the shares of Class 1 common stock that were issued but not outstanding following the conversion (the “Certificate of Retirement”). Effective upon the filing of the Certificate of Retirement, the obsolete references to Class 1 common stock in the Certificate were eliminated. The reissuance of all shares of Class 1 common stock is prohibited.</w:t>
      </w:r>
    </w:p>
    <w:p>
      <w:pPr>
        <w:spacing w:after="0" w:line="75"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 rights and restrictions to which the Common Stock are prescribed in our amended and restated certificate of incorporation. Our amended and restated certificate of incorporation entitles our board of directors, without stockholder approval, to determine the terms of the undesignated shares of preferred stock issued by us.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Arrangement Agreement</w:t>
      </w:r>
    </w:p>
    <w:p>
      <w:pPr>
        <w:spacing w:after="0" w:line="12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On April 10, 2023, we entered into the Arrangement Agreement with HEXO to acquire all of the common shares (each, a “HEXO Common Share”) and preferred shares (each, a “HEXO Preferred Share”) of HEXO pursuant to the Plan of Arrangement. The Arrangement Agreement was amended on June 1, 2023 to amend certain of its terms.</w:t>
      </w:r>
    </w:p>
    <w:p>
      <w:pPr>
        <w:spacing w:after="0" w:line="72"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in the Arrangement Agreement and the Plan of Arrangement, each HEXO Common Share outstanding immediately prior to the effective time of the Plan of Arrangement (the “Effective Time”) was transferred to Tilray in exchange for 0.4352 of a share (the “Common Exchange Ratio”) of Common Stock. Each HEXO Preferred Share outstanding immediately prior to the Effective Time was transferred to Tilray in exchange for 0.7805 of a share of our Common Stock.</w:t>
      </w:r>
    </w:p>
    <w:p>
      <w:pPr>
        <w:spacing w:after="0" w:line="75"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At the Effective Time, (i) all HEXO equity awards granted under HEXO’s equity compensation plans that were outstanding as of the Effective Time were adjusted such that the holder thereof will receive Common Stock, with the number of shares underlying such award (and the exercise price of such award, in the case of options) adjusted based on the Common Exchange Ratio, and (ii) each outstanding warrant exercisable for HEXO Shares was adjusted to reflect the arrangement and to account for the Common Exchange Ratio, such that the holder thereof is entitled to receive Common Stock upon exercise thereof.</w:t>
      </w:r>
    </w:p>
    <w:p>
      <w:pPr>
        <w:spacing w:after="0" w:line="77"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summaries of the material terms of the August 2021 Warrants are not intended to be complete summaries of the rights and preferences of such Warrants. We urge you to read the August 2021 Warrants, including the August 2021 Warrant Indenture, in its entirety for a complete description of the rights and preferences of the August 2021 Warrants. The summaries of the provisions of the August 2021 Warrant Indenture is qualified in its entirety by the full text of the August 2021 Warrant Indenture, which was filed as an exhibit to our Current Report on Form 8-K filed on June 22, 2023.</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August 2021 Warrants</w:t>
      </w:r>
    </w:p>
    <w:p>
      <w:pPr>
        <w:spacing w:after="0" w:line="121" w:lineRule="exact"/>
        <w:rPr>
          <w:sz w:val="20"/>
          <w:szCs w:val="20"/>
          <w:color w:val="auto"/>
        </w:rPr>
      </w:pPr>
    </w:p>
    <w:p>
      <w:pPr>
        <w:ind w:left="300" w:right="379" w:firstLine="360"/>
        <w:spacing w:after="0" w:line="289" w:lineRule="auto"/>
        <w:rPr>
          <w:sz w:val="20"/>
          <w:szCs w:val="20"/>
          <w:color w:val="auto"/>
        </w:rPr>
      </w:pPr>
      <w:r>
        <w:rPr>
          <w:rFonts w:ascii="Times New Roman" w:cs="Times New Roman" w:eastAsia="Times New Roman" w:hAnsi="Times New Roman"/>
          <w:sz w:val="17"/>
          <w:szCs w:val="17"/>
          <w:color w:val="auto"/>
        </w:rPr>
        <w:t>HEXO initially issued 49,080,024 units, each consisting of one common share and one-half of one warrant (each full warrant, an “August 2021 Warrant”), on August 24, 2021 in an underwritten public offering. Each common share and August 2021 Warrant comprising a unit split immediately upon issuance. As of October 8,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1,363 August 2021 Warrants are outstanding, exercisable for 3,133 shares of Common Stock after accounting for the Common Exchange Ratio. The August 2021 Warrants are governed by the terms of the warrant indenture</w:t>
      </w:r>
    </w:p>
    <w:p>
      <w:pPr>
        <w:jc w:val="both"/>
        <w:ind w:left="300" w:right="379"/>
        <w:spacing w:after="0" w:line="255" w:lineRule="auto"/>
        <w:rPr>
          <w:sz w:val="20"/>
          <w:szCs w:val="20"/>
          <w:color w:val="auto"/>
        </w:rPr>
      </w:pPr>
      <w:r>
        <w:rPr>
          <w:rFonts w:ascii="Times New Roman" w:cs="Times New Roman" w:eastAsia="Times New Roman" w:hAnsi="Times New Roman"/>
          <w:sz w:val="18"/>
          <w:szCs w:val="18"/>
          <w:color w:val="auto"/>
        </w:rPr>
        <w:t>(the “August 2021 Warrant Indenture”), dated as of August 24, 2021, by between HEXO and TSX Trust Company, as warrant agent. Following the closing of the Transaction, we assumed HEXO’s obligations under the August 2021 Warrant Indenture.</w:t>
      </w:r>
    </w:p>
    <w:p>
      <w:pPr>
        <w:spacing w:after="0" w:line="76"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Duration and Exercise Price</w:t>
      </w:r>
      <w:r>
        <w:rPr>
          <w:rFonts w:ascii="Times New Roman" w:cs="Times New Roman" w:eastAsia="Times New Roman" w:hAnsi="Times New Roman"/>
          <w:sz w:val="18"/>
          <w:szCs w:val="18"/>
          <w:color w:val="auto"/>
        </w:rPr>
        <w:t>. Each August 2021 Warrant has an exercise price of $272.47 per share.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2021 Warrants are immediately exercisable and will expire on October 30, 2025. Pursuant to the August 2021 Warrant Indenture, the exercise price is subject to appropriate adjustment upon the occurrence of certain events, including stock dividends, stock splits, reverse stock splits, reorganizations or similar events affecting our Common Stock and the exercise price. No adjustment in the exercise price or the number of shares of Common Stock issuable upon the exercise of the August 2021 Warrants will be required to be made unless the cumulative effect of such adjustment or adjustments would result in a change of at least 1% in the exercise price or a change in the number of shares of Common Stock issuable upon exercise by at least one one-hundredth of a share of Common Stock, as the case may be. Furthermore, no adjustment will be made in the right to acquire Common Stock if an issue of Common Stock of the Company is being made in connection with a share incentive plan, restricted share plan or share purchase plan for the benefit of directors, officers, employees, consultants or other service providers, or the satisfaction of existing instruments issued as of the date of the August 2021 Warrant Indenture.</w:t>
      </w:r>
    </w:p>
    <w:p>
      <w:pPr>
        <w:spacing w:after="0" w:line="8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The August 2021 Warrants are exercisable, at the option of each holder, in whole or in part,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a duly executed exercise notice accompanied by payment in full for the number of shares of Common Stock issuable upon such exercise (except in the case of a cashless exercise as discussed below). A holder (together with its affiliates) may not exercise any portion of the August 2021 Warrants to the extent that the holder would own in excess of 4.99% of the outstanding Common Stock immediately after exercise. No fractional shares of Common Stock will be issued in connection with the exercise of an August 2021 Warrant. No cash or other consideration will be paid in lieu of fractional shares.</w:t>
      </w:r>
    </w:p>
    <w:p>
      <w:pPr>
        <w:spacing w:after="0" w:line="75" w:lineRule="exact"/>
        <w:rPr>
          <w:sz w:val="20"/>
          <w:szCs w:val="20"/>
          <w:color w:val="auto"/>
        </w:rPr>
      </w:pPr>
    </w:p>
    <w:p>
      <w:pPr>
        <w:jc w:val="both"/>
        <w:ind w:left="300" w:right="6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Cashless Exercise</w:t>
      </w:r>
      <w:r>
        <w:rPr>
          <w:rFonts w:ascii="Times New Roman" w:cs="Times New Roman" w:eastAsia="Times New Roman" w:hAnsi="Times New Roman"/>
          <w:sz w:val="18"/>
          <w:szCs w:val="18"/>
          <w:color w:val="auto"/>
        </w:rPr>
        <w:t>. In lieu of making the cash payment otherwise contemplated to be made to us upon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in payment of the aggregate exercise price, the holder may elect instead to receive upon such exercise (either in whole or in part) the net number of shares of Common Stock determined pursuant to the August 2021 Warrant Indenture, provided that such cashless exercise shall only be permitted if the Registration Statement to which this prospectus supplement is a part is not effective at the time of such exercise or if the prospectus is not available for the issuance of shares of Common Stock to the August 2021 Warrant holder.</w:t>
      </w:r>
    </w:p>
    <w:p>
      <w:pPr>
        <w:spacing w:after="0" w:line="74" w:lineRule="exact"/>
        <w:rPr>
          <w:sz w:val="20"/>
          <w:szCs w:val="20"/>
          <w:color w:val="auto"/>
        </w:rPr>
      </w:pPr>
    </w:p>
    <w:p>
      <w:pPr>
        <w:ind w:left="300" w:right="5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Subject to applicable laws, the August 2021 Warrants may be transferred at the option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upon surrender of the warrant certificates to the warrant agent.</w:t>
      </w:r>
    </w:p>
    <w:p>
      <w:pPr>
        <w:spacing w:after="0" w:line="50" w:lineRule="exact"/>
        <w:rPr>
          <w:sz w:val="20"/>
          <w:szCs w:val="20"/>
          <w:color w:val="auto"/>
        </w:rPr>
      </w:pPr>
    </w:p>
    <w:p>
      <w:pPr>
        <w:jc w:val="both"/>
        <w:ind w:left="300" w:right="9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There is no trading market available for the August 2021 Warrants on any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or nationally recognized trading system. We do not intend to list the August 2021 Warrants on any securities exchange or nationally recognized trading system.</w:t>
      </w:r>
    </w:p>
    <w:p>
      <w:pPr>
        <w:spacing w:after="0" w:line="65"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Rights as a Stockholder</w:t>
      </w:r>
      <w:r>
        <w:rPr>
          <w:rFonts w:ascii="Times New Roman" w:cs="Times New Roman" w:eastAsia="Times New Roman" w:hAnsi="Times New Roman"/>
          <w:sz w:val="18"/>
          <w:szCs w:val="18"/>
          <w:color w:val="auto"/>
        </w:rPr>
        <w:t>. Except as otherwise provided in the August 2021 Warrant Indenture or by virtue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holder’s ownership of shares of our Common Stock, the holders of the August 2021 Warrants do not have the rights or privileges of holders of our Common Stock, including any voting rights, until they exercise their August 2021 Warrants.</w:t>
      </w:r>
    </w:p>
    <w:p>
      <w:pPr>
        <w:spacing w:after="0" w:line="72" w:lineRule="exact"/>
        <w:rPr>
          <w:sz w:val="20"/>
          <w:szCs w:val="20"/>
          <w:color w:val="auto"/>
        </w:rPr>
      </w:pPr>
    </w:p>
    <w:p>
      <w:pPr>
        <w:ind w:left="300" w:right="299" w:firstLine="360"/>
        <w:spacing w:after="0" w:line="267" w:lineRule="auto"/>
        <w:rPr>
          <w:sz w:val="20"/>
          <w:szCs w:val="20"/>
          <w:color w:val="auto"/>
        </w:rPr>
      </w:pPr>
      <w:r>
        <w:rPr>
          <w:rFonts w:ascii="Times New Roman" w:cs="Times New Roman" w:eastAsia="Times New Roman" w:hAnsi="Times New Roman"/>
          <w:sz w:val="17"/>
          <w:szCs w:val="17"/>
          <w:i w:val="1"/>
          <w:iCs w:val="1"/>
          <w:color w:val="auto"/>
        </w:rPr>
        <w:t>Buy-In Rights</w:t>
      </w:r>
      <w:r>
        <w:rPr>
          <w:rFonts w:ascii="Times New Roman" w:cs="Times New Roman" w:eastAsia="Times New Roman" w:hAnsi="Times New Roman"/>
          <w:sz w:val="17"/>
          <w:szCs w:val="17"/>
          <w:color w:val="auto"/>
        </w:rPr>
        <w:t>. We may provide certain buy-in rights to a holder if we fail to cause the warrant agent to deliver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by three trading days after the delivery to us of the notice of exercise and the aggregate exercise price (or notice of a cashless exercise). The buy-in rights apply if after the trading day after the date of such delivery by the holder, the holder purchases (in an open market transaction or otherwise) Common Stock to deliver in satisfaction of a sale by the holder of the shares of Common Stock that the holder anticipated receiving from us upon exercise of the August 2021 Warrant. In this event, we will: (i) pay in cash to the holder the amount equal to the excess (if any) of the buy-in price over the product of (A) such number of shares of Common Stock, times (B) the price at which the sell order giving rise to holder’s purchase obligation was executed; and (ii) at the election of holder, either (A) reinstate the portion of the August 2021 Warrant as to such number of shares of Common Stock, or</w:t>
      </w:r>
    </w:p>
    <w:p>
      <w:pPr>
        <w:spacing w:after="0" w:line="7" w:lineRule="exact"/>
        <w:rPr>
          <w:sz w:val="20"/>
          <w:szCs w:val="20"/>
          <w:color w:val="auto"/>
        </w:rPr>
      </w:pPr>
    </w:p>
    <w:p>
      <w:pPr>
        <w:ind w:left="300" w:right="299" w:hanging="8"/>
        <w:spacing w:after="0" w:line="255" w:lineRule="auto"/>
        <w:tabs>
          <w:tab w:leader="none" w:pos="5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holder a certificate or certificates representing such number of shares of Common Stock that would have been issued to the holder had we complied with our delivery obligations under the August 2021 Warrant Indenture.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purpose of this offering is to register the shares of our Common Stock that may be issued upon the exercise of the Warrants assumed pursuant to the terms of the Arrangement Agreement. We will receive up to an aggregate of approximately $853,656 from the exercise of the Warrants, assuming the exercise in full of all of the Warrants for cash. The current trading price of our Common Stock is substantially below $272.47, the exercise price of the Warrants. On October 8, 2025, the last reported sale price of our Common Stock was $1.72 per share.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 We have agreed to pay all costs relating to the registration of the shares of Common Stock covered by this prospectus.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Arrangement Agreement, we are registering an aggregate of up to 3,133 shares of Common Stock issuable upon the exercise of up to 1,363 Warrants. We will receive proceeds of up to approximately $853,656 from the Warrants exercised in the event that all of the Warrants are exercised for cash. The current trading price of our Common Stock is substantially below $272.47, the exercise price of the Warrants. On October 8, 2025, the last reported sale price of our Common Stock was $1.72 per share.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party has acted as an underwriter or placement agent in connection with the transaction.</w:t>
      </w:r>
    </w:p>
    <w:p>
      <w:pPr>
        <w:spacing w:after="0" w:line="117"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shares of Common Stock that may be issued in this offering will be listed on Nasdaq. The shares of Common Stock will be delivered only in book-entry form on the records of our transfer agent only upon our election to issue shares of our Common Stock.</w:t>
      </w:r>
    </w:p>
    <w:p>
      <w:pPr>
        <w:spacing w:after="0" w:line="68"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expenses directly related to this offering are estimated to be approximately $75,000 and will be paid by us. Expenses of the offering include our SEC registration fee, legal and accounting fees and expenses and transfer agent fees.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by this prospectus supplement will be passed upon for us by DLA Piper LLP (US), New York, New York.</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by reference in this prospectus supplement by reference to the Annual Report on Form 10-K for the year ended May 31, 2025 have been so incorporated in reliance on the report (which contains a paragraph relating to the effectiveness of internal control over financial reporting due to the exclusion of the Craft Acquisition II, which includes Atwater Brewery, Hop Valley Brewing Company, Terrapin Beer Co., and Revolver Brewing, because they were acquired by the Company in purchase business combinations during the year ended May 31, 2025) of PricewaterhouseCoopers LLP, an independent registered public accounting firm, given on the authority of said firm as experts in auditing and accounting.</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are required to file periodic reports, proxy statements and other information with the SEC pursuant to the Exchange Act. Our SEC filings are available to the public on the SEC’s website at www.sec.gov, which contains reports, proxies and information statements and other information regarding registrants that file electronically. We also maintain a website at www.tilray.com, at which you may access these materials free of charge as soon as reasonably practicable after they are electronically filed with, or furnished to, the SEC. Information contained on, or that can be accessed through, our website is not a part of this prospectus supplement and the inclusion of our website address in this prospectus supplement is an inactive textual reference only.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prospectus supplement is part of the Registration Statement and does not contain all the information</w:t>
      </w:r>
    </w:p>
    <w:p>
      <w:pPr>
        <w:spacing w:after="0" w:line="2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set forth or incorporated by reference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certain information. This means that we can disclose important information to you by referring you to those documents that contain the information. The information we incorporate by reference is considered a part of this prospectus supplement. We incorporate by reference into this prospectus supplement the documents listed below that we have filed with the SEC. Any report or information within any of the documents referenced below that is furnished, but not filed, shall not be incorporated by reference into this prospectus supplement.</w:t>
      </w:r>
    </w:p>
    <w:p>
      <w:pPr>
        <w:spacing w:after="0" w:line="79" w:lineRule="exact"/>
        <w:rPr>
          <w:sz w:val="20"/>
          <w:szCs w:val="20"/>
          <w:color w:val="auto"/>
        </w:rPr>
      </w:pPr>
    </w:p>
    <w:p>
      <w:pPr>
        <w:ind w:left="1000" w:right="499" w:hanging="348"/>
        <w:spacing w:after="0" w:line="282" w:lineRule="auto"/>
        <w:tabs>
          <w:tab w:leader="none" w:pos="1000" w:val="left"/>
        </w:tabs>
        <w:numPr>
          <w:ilvl w:val="0"/>
          <w:numId w:val="45"/>
        </w:numPr>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auto"/>
          </w:rPr>
          <w:t xml:space="preserve">our Annual Report on Form 10-K for the fiscal year ended May 31, 2025, filed with the SEC on </w:t>
        </w:r>
        <w:r>
          <w:rPr>
            <w:rFonts w:ascii="Times New Roman" w:cs="Times New Roman" w:eastAsia="Times New Roman" w:hAnsi="Times New Roman"/>
            <w:sz w:val="18"/>
            <w:szCs w:val="18"/>
            <w:u w:val="single" w:color="auto"/>
            <w:color w:val="0000EE"/>
          </w:rPr>
          <w:t>July 29,</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jc w:val="both"/>
        <w:ind w:left="1000" w:right="919" w:hanging="348"/>
        <w:spacing w:after="0" w:line="312" w:lineRule="auto"/>
        <w:tabs>
          <w:tab w:leader="none" w:pos="10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the Form 10-K for the fiscal year ended May 31, 2025 from our definitive proxy statement on Schedule 14A, filed on </w:t>
      </w:r>
      <w:hyperlink r:id="rId50">
        <w:r>
          <w:rPr>
            <w:rFonts w:ascii="Times New Roman" w:cs="Times New Roman" w:eastAsia="Times New Roman" w:hAnsi="Times New Roman"/>
            <w:sz w:val="17"/>
            <w:szCs w:val="17"/>
            <w:u w:val="single" w:color="auto"/>
            <w:color w:val="0000EE"/>
          </w:rPr>
          <w:t>September 26, 2025</w:t>
        </w:r>
      </w:hyperlink>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 ended August 31, 2025, filed on October 9, 2025;</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51">
        <w:r>
          <w:rPr>
            <w:rFonts w:ascii="Times New Roman" w:cs="Times New Roman" w:eastAsia="Times New Roman" w:hAnsi="Times New Roman"/>
            <w:sz w:val="18"/>
            <w:szCs w:val="18"/>
            <w:u w:val="single" w:color="auto"/>
            <w:color w:val="0000EE"/>
          </w:rPr>
          <w:t>June 23,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2">
        <w:r>
          <w:rPr>
            <w:rFonts w:ascii="Times New Roman" w:cs="Times New Roman" w:eastAsia="Times New Roman" w:hAnsi="Times New Roman"/>
            <w:sz w:val="18"/>
            <w:szCs w:val="18"/>
            <w:u w:val="single" w:color="auto"/>
            <w:color w:val="0000EE"/>
          </w:rPr>
          <w:t>June 10, 2025</w:t>
        </w:r>
      </w:hyperlink>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5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as set forth in our registration statement on Form 8-A/A (File No. 001-38594), filed with the SEC on </w:t>
      </w:r>
      <w:hyperlink r:id="rId53">
        <w:r>
          <w:rPr>
            <w:rFonts w:ascii="Times New Roman" w:cs="Times New Roman" w:eastAsia="Times New Roman" w:hAnsi="Times New Roman"/>
            <w:sz w:val="18"/>
            <w:szCs w:val="18"/>
            <w:u w:val="single" w:color="auto"/>
            <w:color w:val="0000EE"/>
          </w:rPr>
          <w:t>October 1, 2020</w:t>
        </w:r>
      </w:hyperlink>
      <w:r>
        <w:rPr>
          <w:rFonts w:ascii="Times New Roman" w:cs="Times New Roman" w:eastAsia="Times New Roman" w:hAnsi="Times New Roman"/>
          <w:sz w:val="18"/>
          <w:szCs w:val="18"/>
          <w:color w:val="auto"/>
        </w:rPr>
        <w:t xml:space="preserve">, pursuant to Section 12(b) of the Exchange Act, including the description contained in </w:t>
      </w:r>
      <w:hyperlink r:id="rId54">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May 31, 2025, and any subsequent amendments or reports filed for the purpose of updating such description.</w:t>
      </w:r>
    </w:p>
    <w:p>
      <w:pPr>
        <w:spacing w:after="0" w:line="75" w:lineRule="exact"/>
        <w:rPr>
          <w:rFonts w:ascii="Times New Roman" w:cs="Times New Roman" w:eastAsia="Times New Roman" w:hAnsi="Times New Roman"/>
          <w:sz w:val="18"/>
          <w:szCs w:val="18"/>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You should direct any requests for documents to Tilray Brands, Inc., 265 Talbot Street West, Leamington, Ontario, Canada. Copies of the above reports may also be accessed from our web site at www.tilray.com. Information contained on, or that can be accessed through, our website is not a part of this prospectus supplement and the inclusion of our website address in this prospectus supplement is an inactive textual reference only.</w:t>
      </w:r>
    </w:p>
    <w:p>
      <w:pPr>
        <w:spacing w:after="0" w:line="79" w:lineRule="exact"/>
        <w:rPr>
          <w:rFonts w:ascii="Times New Roman" w:cs="Times New Roman" w:eastAsia="Times New Roman" w:hAnsi="Times New Roman"/>
          <w:sz w:val="18"/>
          <w:szCs w:val="18"/>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in this prospectus supplement any future filings that we make with the SEC under Section 13(a), 13(c), 14 or 15(d) of the Exchange Act until we sell all the securities to which this prospectus supplement relates;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 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modifies, supersedes or replaces such statement.</w:t>
      </w:r>
    </w:p>
    <w:p>
      <w:pPr>
        <w:spacing w:after="0" w:line="134"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265 Talbot Street West</w:t>
      </w:r>
    </w:p>
    <w:p>
      <w:pPr>
        <w:spacing w:after="0" w:line="9"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Leamington, Ontario, Canada</w:t>
      </w:r>
    </w:p>
    <w:p>
      <w:pPr>
        <w:spacing w:after="0" w:line="9" w:lineRule="exact"/>
        <w:rPr>
          <w:rFonts w:ascii="Times New Roman" w:cs="Times New Roman" w:eastAsia="Times New Roman" w:hAnsi="Times New Roman"/>
          <w:sz w:val="18"/>
          <w:szCs w:val="18"/>
          <w:color w:val="auto"/>
        </w:rPr>
      </w:pPr>
    </w:p>
    <w:p>
      <w:pPr>
        <w:ind w:left="4340" w:right="3959" w:hanging="398"/>
        <w:spacing w:after="0" w:line="555" w:lineRule="auto"/>
        <w:tabs>
          <w:tab w:leader="none" w:pos="437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845-7291 S-11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-50800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Tilray Brands, Inc.</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8,617,068 Shares of Common Stock</w:t>
      </w:r>
    </w:p>
    <w:p>
      <w:pPr>
        <w:spacing w:after="0" w:line="121" w:lineRule="exact"/>
        <w:rPr>
          <w:sz w:val="20"/>
          <w:szCs w:val="20"/>
          <w:color w:val="auto"/>
        </w:rPr>
      </w:pPr>
    </w:p>
    <w:p>
      <w:pPr>
        <w:ind w:left="400" w:right="45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supplements the accompanying prospectus, and registers the resale of an aggregate of 8,617,068 shares of our common stock, par value $0.0001 per share (“Common Stock”), held by the selling stockholder identified herein. The selling stockholder acquired these shares of Common Stock from us on October 9, 2025 in connection with the assignment from the selling stockholder to us of certain promissory notes payable by 1974568 Ontario Limited, an Ontario corporation. The selling stockholder (which term as used herein includes its donees and pledgees, transferees or other successors in interest) may sell these shares through public or private transactions at market prices prevailing at the time of sale, at prices related to such market prices, at varying prices determined at the time of sale, at fixed prices or at negotiated prices. The timing and amount of any sale is within the sole discretion of the selling stockholder, subject to certain restrictions. See “Plan of Distribution” on page S-</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of this prospectus supplement. We will not receive any proceeds from the sale of the shares by the selling stockholder.</w:t>
      </w:r>
    </w:p>
    <w:p>
      <w:pPr>
        <w:spacing w:after="0" w:line="84" w:lineRule="exact"/>
        <w:rPr>
          <w:sz w:val="20"/>
          <w:szCs w:val="20"/>
          <w:color w:val="auto"/>
        </w:rPr>
      </w:pPr>
    </w:p>
    <w:p>
      <w:pPr>
        <w:ind w:left="400" w:right="439"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and the Toronto Stock Exchange (the “TSX”) under the trading symbol “TLRY.” On October 8, 2025, the last sale price of our Common Stock was $1.72 per share on Nasdaq and C$2.36 per share on the TSX.</w:t>
      </w:r>
    </w:p>
    <w:p>
      <w:pPr>
        <w:spacing w:after="0" w:line="64" w:lineRule="exact"/>
        <w:rPr>
          <w:sz w:val="20"/>
          <w:szCs w:val="20"/>
          <w:color w:val="auto"/>
        </w:rPr>
      </w:pPr>
    </w:p>
    <w:p>
      <w:pPr>
        <w:ind w:left="400" w:right="53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in our Common Stock involves risks. See “Risk Factors” on page </w:t>
      </w:r>
      <w:r>
        <w:rPr>
          <w:rFonts w:ascii="Times New Roman" w:cs="Times New Roman" w:eastAsia="Times New Roman" w:hAnsi="Times New Roman"/>
          <w:sz w:val="18"/>
          <w:szCs w:val="18"/>
          <w:b w:val="1"/>
          <w:bCs w:val="1"/>
          <w:i w:val="1"/>
          <w:iCs w:val="1"/>
          <w:u w:val="single" w:color="auto"/>
          <w:color w:val="0000EE"/>
        </w:rPr>
        <w:t>2</w:t>
      </w:r>
      <w:r>
        <w:rPr>
          <w:rFonts w:ascii="Times New Roman" w:cs="Times New Roman" w:eastAsia="Times New Roman" w:hAnsi="Times New Roman"/>
          <w:sz w:val="18"/>
          <w:szCs w:val="18"/>
          <w:b w:val="1"/>
          <w:bCs w:val="1"/>
          <w:i w:val="1"/>
          <w:iCs w:val="1"/>
          <w:color w:val="auto"/>
        </w:rPr>
        <w:t xml:space="preserve"> of this prospectus supplement, and on page </w:t>
      </w:r>
      <w:r>
        <w:rPr>
          <w:rFonts w:ascii="Times New Roman" w:cs="Times New Roman" w:eastAsia="Times New Roman" w:hAnsi="Times New Roman"/>
          <w:sz w:val="18"/>
          <w:szCs w:val="18"/>
          <w:b w:val="1"/>
          <w:bCs w:val="1"/>
          <w:i w:val="1"/>
          <w:iCs w:val="1"/>
          <w:u w:val="single" w:color="auto"/>
          <w:color w:val="0000EE"/>
        </w:rPr>
        <w:t>5</w:t>
      </w:r>
      <w:r>
        <w:rPr>
          <w:rFonts w:ascii="Times New Roman" w:cs="Times New Roman" w:eastAsia="Times New Roman" w:hAnsi="Times New Roman"/>
          <w:sz w:val="18"/>
          <w:szCs w:val="18"/>
          <w:b w:val="1"/>
          <w:bCs w:val="1"/>
          <w:i w:val="1"/>
          <w:iCs w:val="1"/>
          <w:color w:val="auto"/>
        </w:rPr>
        <w:t xml:space="preserve"> of the accompanying prospectus, as well as our other filings that are incorporated by reference into this prospectus supplement and the accompanying prospectus.</w:t>
      </w:r>
    </w:p>
    <w:p>
      <w:pPr>
        <w:spacing w:after="0" w:line="63" w:lineRule="exact"/>
        <w:rPr>
          <w:sz w:val="20"/>
          <w:szCs w:val="20"/>
          <w:color w:val="auto"/>
        </w:rPr>
      </w:pPr>
    </w:p>
    <w:p>
      <w:pPr>
        <w:ind w:left="400" w:right="47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This prospectus supplement is dated October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4" w:name="page65"/>
    <w:bookmarkEnd w:id="64"/>
    <w:tbl>
      <w:tblPr>
        <w:tblLayout w:type="fixed"/>
        <w:tblInd w:w="300" w:type="dxa"/>
        <w:tblCellMar>
          <w:top w:w="0" w:type="dxa"/>
          <w:left w:w="0" w:type="dxa"/>
          <w:bottom w:w="0" w:type="dxa"/>
          <w:right w:w="0" w:type="dxa"/>
        </w:tblCellMar>
      </w:tblPr>
      <w:tr>
        <w:trPr>
          <w:trHeight w:val="161"/>
        </w:trPr>
        <w:tc>
          <w:tcPr>
            <w:tcW w:w="77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5"/>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5"/>
          </w:tcPr>
          <w:p>
            <w:pPr>
              <w:ind w:left="1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318"/>
        </w:trPr>
        <w:tc>
          <w:tcPr>
            <w:tcW w:w="77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300" w:type="dxa"/>
            <w:vAlign w:val="bottom"/>
            <w:shd w:val="clear" w:color="auto" w:fill="CCEEFF"/>
          </w:tcPr>
          <w:p>
            <w:pPr>
              <w:spacing w:after="0"/>
              <w:rPr>
                <w:sz w:val="24"/>
                <w:szCs w:val="24"/>
                <w:color w:val="auto"/>
              </w:rPr>
            </w:pPr>
          </w:p>
        </w:tc>
        <w:tc>
          <w:tcPr>
            <w:tcW w:w="3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S-ii</w:t>
            </w:r>
          </w:p>
        </w:tc>
      </w:tr>
      <w:tr>
        <w:trPr>
          <w:trHeight w:val="189"/>
        </w:trPr>
        <w:tc>
          <w:tcPr>
            <w:tcW w:w="3420" w:type="dxa"/>
            <w:vAlign w:val="bottom"/>
            <w:tcBorders>
              <w:top w:val="single" w:sz="8" w:color="0000EE"/>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PROSPECTUS SUMMARY</w:t>
            </w:r>
          </w:p>
        </w:tc>
        <w:tc>
          <w:tcPr>
            <w:tcW w:w="4340" w:type="dxa"/>
            <w:vAlign w:val="bottom"/>
            <w:tcBorders>
              <w:top w:val="single" w:sz="8" w:color="CCEEFF"/>
            </w:tcBorders>
            <w:gridSpan w:val="4"/>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0000EE"/>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EE"/>
              </w:rPr>
              <w:t>S-1</w:t>
            </w:r>
          </w:p>
        </w:tc>
        <w:tc>
          <w:tcPr>
            <w:tcW w:w="20" w:type="dxa"/>
            <w:vAlign w:val="bottom"/>
            <w:tcBorders>
              <w:top w:val="single" w:sz="8" w:color="CCEEFF"/>
            </w:tcBorders>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S-2</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S-3</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3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580" w:type="dxa"/>
            <w:vAlign w:val="bottom"/>
            <w:tcBorders>
              <w:bottom w:val="single" w:sz="8" w:color="0000EE"/>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180" w:type="dxa"/>
            <w:vAlign w:val="bottom"/>
            <w:tcBorders>
              <w:bottom w:val="single" w:sz="8" w:color="CCEEFF"/>
            </w:tcBorders>
            <w:gridSpan w:val="8"/>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SELLING STOCKHOLDER</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S-7</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rPr>
              <w:t>S-8</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4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5720" w:type="dxa"/>
            <w:vAlign w:val="bottom"/>
            <w:gridSpan w:val="7"/>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S-10</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30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S-10</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tcPr>
          <w:p>
            <w:pPr>
              <w:spacing w:after="0"/>
              <w:rPr>
                <w:sz w:val="16"/>
                <w:szCs w:val="16"/>
                <w:color w:val="auto"/>
              </w:rPr>
            </w:pPr>
          </w:p>
        </w:tc>
        <w:tc>
          <w:tcPr>
            <w:tcW w:w="3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S-10</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30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S-11</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32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4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This prospectus supplement is part of a shelf registration statement on Form S-3 (the “Registration Statement”) that we filed with the Securities and Exchange Commission, or SEC, relating to certain securities, including the securities described in this prospectus supplement, which Registration Statement became effective automatically upon filing.</w:t>
      </w:r>
    </w:p>
    <w:p>
      <w:pPr>
        <w:spacing w:after="0" w:line="72" w:lineRule="exact"/>
        <w:rPr>
          <w:sz w:val="20"/>
          <w:szCs w:val="20"/>
          <w:color w:val="auto"/>
        </w:rPr>
      </w:pPr>
    </w:p>
    <w:p>
      <w:pPr>
        <w:ind w:left="300" w:right="639" w:firstLine="36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and the accompanying prospectus. We have not authorized anyone to provide you with different or additional information. This prospectus supplement is an offer to sell only the securities offered hereby, but only under circumstances and in jurisdictions where it is lawful to do so.</w:t>
      </w:r>
    </w:p>
    <w:p>
      <w:pPr>
        <w:spacing w:after="0" w:line="72"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information appearing in this prospectus supplement is accurate only as of the date on the front of the document and any information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w:t>
      </w:r>
    </w:p>
    <w:p>
      <w:pPr>
        <w:spacing w:after="0" w:line="72"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incorporated by reference as exhibits to the Registration Statement, and you may obtain copies of those documents as described below under the section entitled “Where You Can Find More Information.”</w:t>
      </w:r>
    </w:p>
    <w:p>
      <w:pPr>
        <w:spacing w:after="0" w:line="7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supplement to “Tilray,” the “company,” “we,” “us” and “our” refer to Tilray Brands, Inc. and its wholly-owned subsidiaries. Tilray, our logo and our other registered or common law trademarks, trade names or service marks appearing in this prospectus supplement are owned by us. Solely for convenience, trademarks and trade names referred to in this prospectus supplement, including logos, artwork and other visual displays, may appear without the ® or ™ symbols, but such references are not intended to indicate in any way that we will not assert, to the fullest extent under applicable law, our rights of the applicable licensor to these trademarks and trade names. Unless otherwise stated in this prospectus supplement, we do not intend our use or display of other companies’ trade names or trademarks to imply a relationship with, or endorsement or sponsorship of us by, any other companies.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310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5653405" cy="83108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ind w:left="32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certain information about us, this offering and selected information contained elsewhere in or incorporated by reference into this prospectus supplement. This summary provides an overview of selected information and does not contain all of the information you should consider before deciding whether to invest in our Common Stock. Therefore, you should read the entire prospectus supplement and the accompanying prospectus carefully (including the documents incorporated by reference herein and therein), especially the “Risk Factors” section beginning on page </w:t>
      </w:r>
      <w:r>
        <w:rPr>
          <w:rFonts w:ascii="Times New Roman" w:cs="Times New Roman" w:eastAsia="Times New Roman" w:hAnsi="Times New Roman"/>
          <w:sz w:val="18"/>
          <w:szCs w:val="18"/>
          <w:i w:val="1"/>
          <w:iCs w:val="1"/>
          <w:u w:val="single" w:color="auto"/>
          <w:color w:val="0000EE"/>
        </w:rPr>
        <w:t>1</w:t>
      </w:r>
      <w:r>
        <w:rPr>
          <w:rFonts w:ascii="Times New Roman" w:cs="Times New Roman" w:eastAsia="Times New Roman" w:hAnsi="Times New Roman"/>
          <w:sz w:val="18"/>
          <w:szCs w:val="18"/>
          <w:i w:val="1"/>
          <w:iCs w:val="1"/>
          <w:color w:val="auto"/>
        </w:rPr>
        <w:t xml:space="preserve"> and in the documents incorporated by reference and our consolidated financial statements and the related notes incorporated by reference in this prospectus supplement and the accompanying prospectus, before deciding to invest in our Common Stock. Unless the context otherwise requires, we use the terms “Tilray,” “Company,” “we,” “us” and “our” in this prospectus supplement and the accompanying prospectus to refer to Tilray Brands, Inc. and, where appropriate, our consolidated subsidiaries.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20" w:right="339" w:firstLine="360"/>
        <w:spacing w:after="0" w:line="256" w:lineRule="auto"/>
        <w:rPr>
          <w:sz w:val="20"/>
          <w:szCs w:val="20"/>
          <w:color w:val="auto"/>
        </w:rPr>
      </w:pPr>
      <w:r>
        <w:rPr>
          <w:rFonts w:ascii="Times New Roman" w:cs="Times New Roman" w:eastAsia="Times New Roman" w:hAnsi="Times New Roman"/>
          <w:sz w:val="18"/>
          <w:szCs w:val="18"/>
          <w:color w:val="auto"/>
        </w:rPr>
        <w:t>Tilray is a leading global lifestyle consumer products company, which was incorporated on January 24, 2018 and is headquartered in Leamington and New York, with operations in Canada, the United States, Europe, Australia, New Zealand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20" w:right="319" w:firstLine="360"/>
        <w:spacing w:after="0" w:line="256" w:lineRule="auto"/>
        <w:rPr>
          <w:sz w:val="20"/>
          <w:szCs w:val="20"/>
          <w:color w:val="auto"/>
        </w:rPr>
      </w:pPr>
      <w:r>
        <w:rPr>
          <w:rFonts w:ascii="Times New Roman" w:cs="Times New Roman" w:eastAsia="Times New Roman" w:hAnsi="Times New Roman"/>
          <w:sz w:val="18"/>
          <w:szCs w:val="18"/>
          <w:color w:val="auto"/>
        </w:rPr>
        <w:t>Tilray Brands, Inc. was incorporated in Delaware in January 2018. Prior to January 2018, Tilray Brands, Inc. operated its business under Decatur Holdings, BV, a Dutch private limited liability company (“Decatur”), which was formed in March 2016. Decatur was incorporated under the laws of the Netherlands on March 8, 2016 as a wholly-owned subsidiary of Privateer Holdings, Inc. (“Privateer Holdings”) to hold a 100% ownership interest in Tilray Brands, Inc.’s direct and indirect subsidiaries through which Tilray Brands, Inc. operated its business. Decatur was dissolved on December 27, 2018.</w:t>
      </w:r>
    </w:p>
    <w:p>
      <w:pPr>
        <w:spacing w:after="0" w:line="79" w:lineRule="exact"/>
        <w:rPr>
          <w:sz w:val="20"/>
          <w:szCs w:val="20"/>
          <w:color w:val="auto"/>
        </w:rPr>
      </w:pPr>
    </w:p>
    <w:p>
      <w:pPr>
        <w:ind w:left="320" w:right="339" w:firstLine="360"/>
        <w:spacing w:after="0" w:line="282" w:lineRule="auto"/>
        <w:rPr>
          <w:sz w:val="20"/>
          <w:szCs w:val="20"/>
          <w:color w:val="auto"/>
        </w:rPr>
      </w:pPr>
      <w:r>
        <w:rPr>
          <w:rFonts w:ascii="Times New Roman" w:cs="Times New Roman" w:eastAsia="Times New Roman" w:hAnsi="Times New Roman"/>
          <w:sz w:val="18"/>
          <w:szCs w:val="18"/>
          <w:color w:val="auto"/>
        </w:rPr>
        <w:t>On December 12, 2019, Privateer Holdings merged with and into a wholly owned subsidiary of Tilray pursuant to the agreement and plan of merger and reorganization.</w:t>
      </w:r>
    </w:p>
    <w:p>
      <w:pPr>
        <w:spacing w:after="0" w:line="54" w:lineRule="exact"/>
        <w:rPr>
          <w:sz w:val="20"/>
          <w:szCs w:val="20"/>
          <w:color w:val="auto"/>
        </w:rPr>
      </w:pPr>
    </w:p>
    <w:p>
      <w:pPr>
        <w:ind w:left="320" w:right="319" w:firstLine="360"/>
        <w:spacing w:after="0" w:line="261" w:lineRule="auto"/>
        <w:rPr>
          <w:sz w:val="20"/>
          <w:szCs w:val="20"/>
          <w:color w:val="auto"/>
        </w:rPr>
      </w:pPr>
      <w:r>
        <w:rPr>
          <w:rFonts w:ascii="Times New Roman" w:cs="Times New Roman" w:eastAsia="Times New Roman" w:hAnsi="Times New Roman"/>
          <w:sz w:val="18"/>
          <w:szCs w:val="18"/>
          <w:color w:val="auto"/>
        </w:rPr>
        <w:t>Pursuant to an arrangement agreement, dated as of December 15, 2020, as amended on February 19, 2021, between Tilray and Aphria Inc., Tilray implemented an arrangement (the “Arrangement”) under the Business Corporations Act (Ontario) in accordance with a plan of arrangement. The Arrangement was completed on April 30, 2021.</w:t>
      </w:r>
    </w:p>
    <w:p>
      <w:pPr>
        <w:spacing w:after="0" w:line="72" w:lineRule="exact"/>
        <w:rPr>
          <w:sz w:val="20"/>
          <w:szCs w:val="20"/>
          <w:color w:val="auto"/>
        </w:rPr>
      </w:pPr>
    </w:p>
    <w:p>
      <w:pPr>
        <w:ind w:left="320" w:right="419" w:firstLine="360"/>
        <w:spacing w:after="0" w:line="289" w:lineRule="auto"/>
        <w:rPr>
          <w:sz w:val="20"/>
          <w:szCs w:val="20"/>
          <w:color w:val="auto"/>
        </w:rPr>
      </w:pPr>
      <w:r>
        <w:rPr>
          <w:rFonts w:ascii="Times New Roman" w:cs="Times New Roman" w:eastAsia="Times New Roman" w:hAnsi="Times New Roman"/>
          <w:sz w:val="17"/>
          <w:szCs w:val="17"/>
          <w:color w:val="auto"/>
        </w:rPr>
        <w:t>On January 10, 2022, Tilray, Inc. changed its corporate name to Tilray Brands, Inc., pursuant to a second certificate of amendment of the amended and restated certificate of incorporation filed with the Delaware Secretary of State (the “Name Change”), and amended and restated its Bylaws on that same date to reflect the Name Change.</w:t>
      </w:r>
    </w:p>
    <w:p>
      <w:pPr>
        <w:spacing w:after="0" w:line="50" w:lineRule="exact"/>
        <w:rPr>
          <w:sz w:val="20"/>
          <w:szCs w:val="20"/>
          <w:color w:val="auto"/>
        </w:rPr>
      </w:pPr>
    </w:p>
    <w:p>
      <w:pPr>
        <w:ind w:left="320" w:right="299" w:firstLine="360"/>
        <w:spacing w:after="0" w:line="258" w:lineRule="auto"/>
        <w:rPr>
          <w:sz w:val="20"/>
          <w:szCs w:val="20"/>
          <w:color w:val="auto"/>
        </w:rPr>
      </w:pPr>
      <w:r>
        <w:rPr>
          <w:rFonts w:ascii="Times New Roman" w:cs="Times New Roman" w:eastAsia="Times New Roman" w:hAnsi="Times New Roman"/>
          <w:sz w:val="18"/>
          <w:szCs w:val="18"/>
          <w:color w:val="auto"/>
        </w:rPr>
        <w:t>On March 16, 2023, Tilray’s stockholders formally approved a proposal to amend its certificate of incorporation (the “Charter Amendment”), which modified Tilray’s existing certificate of incorporation by canceling its Class 1 common stock and re-allocating such authorized shares to Class 2 common stock. In addition, the Charter Amendment reclassified each issued and outstanding share of Class 2 common stock as one share of Common Stock of Tilray.</w:t>
      </w:r>
    </w:p>
    <w:p>
      <w:pPr>
        <w:spacing w:after="0" w:line="75" w:lineRule="exact"/>
        <w:rPr>
          <w:sz w:val="20"/>
          <w:szCs w:val="20"/>
          <w:color w:val="auto"/>
        </w:rPr>
      </w:pPr>
    </w:p>
    <w:p>
      <w:pPr>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On April 10, 2023, Tilray entered into the Arrangement Agreement with HEXO Corp., pursuant to which Tilray agreed to acquire all of the issued and outstanding common shares of HEXO pursuant to a plan of arrangement (the “Plan of Arrangement”) under the Business Corporations Act (Ontario). This transaction builds on the successful strategic alliance between the two companies and positions Tilray for continued strong growth and market leadership in Canada, the largest federally legal cannabis market in the world. The acquisition of HEXO closed on June 22, 2023.</w:t>
      </w:r>
    </w:p>
    <w:p>
      <w:pPr>
        <w:spacing w:after="0" w:line="79" w:lineRule="exact"/>
        <w:rPr>
          <w:sz w:val="20"/>
          <w:szCs w:val="20"/>
          <w:color w:val="auto"/>
        </w:rPr>
      </w:pPr>
    </w:p>
    <w:p>
      <w:pPr>
        <w:ind w:left="320" w:right="379" w:firstLine="360"/>
        <w:spacing w:after="0" w:line="261" w:lineRule="auto"/>
        <w:rPr>
          <w:sz w:val="20"/>
          <w:szCs w:val="20"/>
          <w:color w:val="auto"/>
        </w:rPr>
      </w:pPr>
      <w:r>
        <w:rPr>
          <w:rFonts w:ascii="Times New Roman" w:cs="Times New Roman" w:eastAsia="Times New Roman" w:hAnsi="Times New Roman"/>
          <w:sz w:val="18"/>
          <w:szCs w:val="18"/>
          <w:color w:val="auto"/>
        </w:rPr>
        <w:t>Tilray’s principal executive office is located at 265 Talbot Street West, Leamington, Ontario, Canada and its telephone number is (844) 845-7291. Its corporate website address is www.tilray.com. Information contained on or accessible through such website is not a part of this prospectus supplement, and the inclusion of the website address in this prospectus supplement is an inactive textual reference only.</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“TLRY.”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heading “Risk Factors” contained herein and in the accompanying prospectus, described under the section entitled “Risk Factors” contained in our most recent annual report on Form 10-K, as amended, as well as any amendments thereto reflected in subsequent filings with the SEC, which are incorporated by reference into this prospectus supplement, together with other information in this prospectus supplement and the accompanying prospectus (including the documents incorporated by reference herein and therein).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left="300" w:right="359" w:firstLine="360"/>
        <w:spacing w:after="0" w:line="251" w:lineRule="auto"/>
        <w:rPr>
          <w:sz w:val="20"/>
          <w:szCs w:val="20"/>
          <w:color w:val="auto"/>
        </w:rPr>
      </w:pPr>
      <w:r>
        <w:rPr>
          <w:rFonts w:ascii="Times New Roman" w:cs="Times New Roman" w:eastAsia="Times New Roman" w:hAnsi="Times New Roman"/>
          <w:sz w:val="18"/>
          <w:szCs w:val="18"/>
          <w:color w:val="auto"/>
        </w:rPr>
        <w:t>Certain statements in this prospectus supplement and the accompanying prospectus, including the documents incorporated by reference herein and therein, constitute forward-looking information or forward-looking statements within the meaning of Section 27A of the Securities Act of 1933, as amended (the “Securities Act”), and Section 21E of the Securities Exchange Act of 1934, as amended (the “Exchange Act”),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These statements may include, without limitation, statements regarding our operations, business, financial condition, expected financial results, performance, prospects, opportunities, priorities, targets, goals, ongoing objectives, strategies and outlook. Forward-looking statements are typically identified by words such as “expect”, “intend”, “anticipate”, “believe”, “contemplate”, “foresee”, “forecast”, “future”, “could”, “enable”, “potential”, “estimate”, “project”, “goal”, “plan”, “seek”, “strive”, “will”, “would”, “may” and “should” and similar expressions, although not all forward-looking statements contain these identifying words. Forward-looking statements reflect current beliefs of management with respect to future events and are based on information currently available to management including based on reasonable assumptions, estimates, internal and external analysis and opinions of management concerning its experience, perception of trends, current conditions and expected developments as well as other factors that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Our estimates, beliefs and assumptions are inherently subject to significant business, economic, competitive and other uncertainties and contingencies regarding future events and as such, are subject to change. We can give no assurance that such estimates, beliefs and assumptions will prove to be correct.</w:t>
      </w:r>
    </w:p>
    <w:p>
      <w:pPr>
        <w:spacing w:after="0" w:line="97" w:lineRule="exact"/>
        <w:rPr>
          <w:sz w:val="20"/>
          <w:szCs w:val="20"/>
          <w:color w:val="auto"/>
        </w:rPr>
      </w:pPr>
    </w:p>
    <w:p>
      <w:pPr>
        <w:ind w:left="300" w:right="819" w:firstLine="360"/>
        <w:spacing w:after="0" w:line="261" w:lineRule="auto"/>
        <w:rPr>
          <w:sz w:val="20"/>
          <w:szCs w:val="20"/>
          <w:color w:val="auto"/>
        </w:rPr>
      </w:pPr>
      <w:r>
        <w:rPr>
          <w:rFonts w:ascii="Times New Roman" w:cs="Times New Roman" w:eastAsia="Times New Roman" w:hAnsi="Times New Roman"/>
          <w:sz w:val="18"/>
          <w:szCs w:val="18"/>
          <w:color w:val="auto"/>
        </w:rPr>
        <w:t>Any information or statements that are contained in this prospectus supplement and the accompanying prospectus, including the documents incorporated by reference herein and therein, that are not statements of historical fact may be deemed to be forward-looking statements, including, but not limited to, statements with regards to:</w:t>
      </w:r>
    </w:p>
    <w:p>
      <w:pPr>
        <w:spacing w:after="0" w:line="72" w:lineRule="exact"/>
        <w:rPr>
          <w:sz w:val="20"/>
          <w:szCs w:val="20"/>
          <w:color w:val="auto"/>
        </w:rPr>
      </w:pPr>
    </w:p>
    <w:p>
      <w:pPr>
        <w:ind w:left="1000" w:right="73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financial information, including in respect of expected revenues, margins, cash flow, profitability, and production of cannabis;</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future costs applicable to sales, future capital expenditures, future cost reductions, and projected synergies including pre-tax synergies, cost savings and efficiencies;</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have scalable medical and adult-use cannabis platforms to strengthen the leadership position in Canada, internationally, and eventually in the United States;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position in the European cannabis markets, and our ability to leverage our current European platforms;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financial benefits in connection with the Arrangement;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legalization of cannabis in the United States and our position to compete in the United States;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growth in our market share and the European market; and</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offer a diversified and branded product offering and distribution footprint, world-class cultivation, processing and manufacturing facilities.</w:t>
      </w:r>
    </w:p>
    <w:p>
      <w:pPr>
        <w:spacing w:after="0" w:line="54" w:lineRule="exact"/>
        <w:rPr>
          <w:sz w:val="20"/>
          <w:szCs w:val="20"/>
          <w:color w:val="auto"/>
        </w:rPr>
      </w:pPr>
    </w:p>
    <w:p>
      <w:pPr>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supplement and the accompanying prospectus, including the documents incorporated by reference herein and therein, are subject to inherent risks and uncertainties and other factors which could cause actual results to differ materially from those anticipated by the forward-looking statements. The factors which could cause results to differ from current expectations include, but are not limited to:</w:t>
      </w:r>
    </w:p>
    <w:p>
      <w:pPr>
        <w:spacing w:after="0" w:line="56" w:lineRule="exact"/>
        <w:rPr>
          <w:sz w:val="20"/>
          <w:szCs w:val="20"/>
          <w:color w:val="auto"/>
        </w:rPr>
      </w:pPr>
    </w:p>
    <w:p>
      <w:pPr>
        <w:ind w:left="1000" w:right="49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expected revenue or other benefits from the craft beer operations we acquired in fiscal years 2024 and 2025;</w:t>
      </w:r>
    </w:p>
    <w:p>
      <w:pPr>
        <w:spacing w:after="0" w:line="53"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integrating operations and realizing the expected benefits of recent acquisitions, including the Craft brands acquisitions;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77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cannabis business is dependent upon regulatory approvals and licenses, ongoing compliance and reporting obligations, and timely renewals;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54"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is evolving, including potential regulatory developments in the United States to reschedule cannabis from Schedule I to Schedule III under the Controlled Substances Act or revise the current federal framework under the 2018 Farm Bill for hemp-derived cannabis, including Delta-9. In addition, we are subject to potential modifications to existing regulatory frameworks outside of North America, as well as uncertainties and potential delays in receiving required export/import permits in Europe and Australia. Any unfavorable changes to or lack of commercial legalization, or extended delays in receipt of required permits, could negatively impact our businesses and the potential planned expansion of our business;</w:t>
      </w:r>
    </w:p>
    <w:p>
      <w:pPr>
        <w:spacing w:after="0" w:line="8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including from the illicit cannabis market, and anticipate competition will increase, which could hurt our business;</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and processing facilities are integral to our business and adverse changes or developments affecting our facilities may have an adverse impact on our business;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constrain our ability to market and distribute our products in Canada;</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regulations relating to hemp-derived CBD products, Delta-9 products, and medical cannabis products are new and rapidly evolving, and changes may not develop in the timeframe or manner most favorable to our business objectives;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or public attitudes about alcohol could decrease demand for our beverage products;</w:t>
      </w:r>
    </w:p>
    <w:p>
      <w:pPr>
        <w:spacing w:after="0" w:line="53" w:lineRule="exact"/>
        <w:rPr>
          <w:rFonts w:ascii="Times New Roman" w:cs="Times New Roman" w:eastAsia="Times New Roman" w:hAnsi="Times New Roman"/>
          <w:sz w:val="18"/>
          <w:szCs w:val="18"/>
          <w:color w:val="auto"/>
        </w:rPr>
      </w:pPr>
    </w:p>
    <w:p>
      <w:pPr>
        <w:jc w:val="both"/>
        <w:ind w:left="1000" w:right="67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SweetWater, Breckenridge, Montauk and our recently-acquired craft beer brands each face substantial competition in the beer industry or the broader market for beverage products, which could impact our business and financial results;</w:t>
      </w:r>
    </w:p>
    <w:p>
      <w:pPr>
        <w:spacing w:after="0" w:line="6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and demands, which could result in significant liability and costs, and impact our resources and reputation;</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materially adversely affected by the imposition of duties and tariffs and other trade barriers and retaliatory countermeasures implemented by the U.S. and other governments;</w:t>
      </w:r>
    </w:p>
    <w:p>
      <w:pPr>
        <w:spacing w:after="0" w:line="53" w:lineRule="exact"/>
        <w:rPr>
          <w:rFonts w:ascii="Times New Roman" w:cs="Times New Roman" w:eastAsia="Times New Roman" w:hAnsi="Times New Roman"/>
          <w:sz w:val="18"/>
          <w:szCs w:val="18"/>
          <w:color w:val="auto"/>
        </w:rPr>
      </w:pPr>
    </w:p>
    <w:p>
      <w:pPr>
        <w:ind w:left="1000" w:right="63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6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a history of net losses, and we may not achieve or maintain profitability in the future;</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alliances and other third-party business relationships may not achieve the intended beneficial impact and expose us to risks;</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execute future acquisitions, dispositions or other equity transactions or to successfully manage the impacts of such transactions on our operations;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inherent in an agricultural business, including the risk of crop failure;</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recurring customers for a substantial portion of our revenue. If we fail to retain or expand our customer relationships or these customers reduce their purchases, our revenue could decline significantly;</w:t>
      </w:r>
    </w:p>
    <w:p>
      <w:pPr>
        <w:spacing w:after="0" w:line="67" w:lineRule="exact"/>
        <w:rPr>
          <w:rFonts w:ascii="Times New Roman" w:cs="Times New Roman" w:eastAsia="Times New Roman" w:hAnsi="Times New Roman"/>
          <w:sz w:val="18"/>
          <w:szCs w:val="18"/>
          <w:color w:val="auto"/>
        </w:rPr>
      </w:pPr>
    </w:p>
    <w:p>
      <w:pPr>
        <w:ind w:left="1000" w:right="109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recalls for a variety of reasons, which could require us to expend significant management and capital resources;</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interruptions in our access to certain supply chains for key inputs such as raw materials, supplies, electricity, water and other utilities may impair our operations;</w:t>
      </w:r>
    </w:p>
    <w:p>
      <w:pPr>
        <w:spacing w:after="0" w:line="53"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may not be able to successfully establish and maintain effective internal controls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continued listing requirements of Nasdaq could result in a delisting of our publicly traded securities;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uncertainty regarding the impact of our implementation of a reverse stock split;</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in public markets has experienced and may continue to experience severe volatility and fluctuations;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and the stockholder base may hinder or prevent us from engaging in beneficial corporate initiatives;</w:t>
      </w:r>
    </w:p>
    <w:p>
      <w:pPr>
        <w:spacing w:after="0" w:line="53" w:lineRule="exact"/>
        <w:rPr>
          <w:rFonts w:ascii="Times New Roman" w:cs="Times New Roman" w:eastAsia="Times New Roman" w:hAnsi="Times New Roman"/>
          <w:sz w:val="18"/>
          <w:szCs w:val="18"/>
          <w:color w:val="auto"/>
        </w:rPr>
      </w:pPr>
    </w:p>
    <w:p>
      <w:pPr>
        <w:ind w:left="1000" w:right="71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6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raise the funds necessary to settle conversions of the convertible securities in cash or to repurchase the convertible securities upon a fundamental change;</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cryptocurrency strategy faces high risk and uncertainty in light of market volatility and an evolving regulatory landscape;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other risks generally applicable to our industry and the conduct of our business.</w:t>
      </w:r>
    </w:p>
    <w:p>
      <w:pPr>
        <w:spacing w:after="0" w:line="117"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Readers are cautioned that the foregoing list of factors is not exhaustive. Other risks and uncertainties not presently known to us or that we presently believe are not material could also cause actual results or events to differ materially from those expressed in the forward-looking statements contained herein.</w:t>
      </w:r>
    </w:p>
    <w:p>
      <w:pPr>
        <w:spacing w:after="0" w:line="68"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Additional information on these and other factors that could affect our operations or financial results are included in reports filed by us with applicable securities regulatory authorities and may be accessed through EDGAR (www.sec.gov). These risks and other factors are also discussed in more detail in the section entitled “Risk Factors” contained in our most recent Annual Report on Form 10-K, as well as any amendments thereto reflected in subsequent filings with the SEC and in our other filings that are incorporated by reference into this prospectus supplement and the accompanying prospectus.</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supplement and the accompanying prospectus, including the documents incorporated by reference herein and therein, are expressly qualified in their entirety by this cautionary statement. We cannot guarantee that the results or events expressed or implied in any forward-looking statement and information will materialize and accordingly, readers are cautioned not to place undue reliance on these forward-looking statements, which reflect our expectations only as of the date of the document containing the applicable statement. We disclaim any obligation to update or revise any forward-looking statements, whether as a result of new information, future events or otherwise, except as required by law. Thus, you should not assume that our silence over time means that actual events are bearing out as expressed or implied in such forward-looking statements. You should read this prospectus supplement, the accompany prospectus,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All of the shares of Common Stock being offered hereby are being sold by the selling stockholder identified in this prospectus supplement. We will not receive any proceeds from the sale of securities by the selling stockholder. We will bear the out-of-pocket costs, expenses and fees incurred in connection with the registration of the shares to be sold by the selling stockholder, including registration, listing fees, printers and accounting fees and fees and disbursements of counsel (collectively, the “Registration Expenses”). Other than Registration Expenses, the selling stockholder will bear any selling discounts, commissions, placement agent fees or other similar expenses payable with respect to sales of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Up to 8,617,068 shares of our Common Stock are being offered, all of which are being offered for resale for the account of the selling stockholder. The selling stockholder acquired the shares of Common Stock from us on October 9, 2025 in connection with the assignment from the selling stockholder to us of certain promissory notes payable by 1974568 Ontario Limited, an Ontario corporation. The selling stockholder may from time to time offer and sell pursuant to this prospectus supplement any or all of the shares of our Common Stock being registered.</w:t>
      </w:r>
    </w:p>
    <w:p>
      <w:pPr>
        <w:spacing w:after="0" w:line="7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table below sets forth certain information known to us with respect to the beneficial ownership of our shares of Common Stock held by the selling stockholder. Because the selling stockholder may sell, transfer or otherwise dispose of all, some or none of the shares of our Common Stock covered by this prospectus supplement, we cannot determine the number of such shares that will be sold, transferred or otherwise disposed of by the selling stockholder, or the amount or percentage of shares of our Common Stock that will be held by the selling stockholder upon termination of any particular offering. See the section entitled “Plan of Distribution.” For purposes of the table below, we assume that the selling stockholder will sell all its shares of Common Stock covered by this prospectus supplement.</w:t>
      </w:r>
    </w:p>
    <w:p>
      <w:pPr>
        <w:spacing w:after="0" w:line="8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In the table below, the percentage of shares beneficially owned is based on approximately 1,131,480,234 shares of our Common Stock outstanding as of October 9, 2025, determined in accordance with Rule 13d-3 under the Exchange Act. Under such rule, beneficial ownership includes any shares over which the selling stockholder has sole or shared voting power or investment power and also any shares that the selling stockholder has the right to acquire within 60 days of such date through the exercise of any options or other rights. Except as otherwise indicated, we believe that the selling stockholder has sole voting and investment power with respect to all shares of the Common Stock shown as beneficially owned by it. The beneficial ownership information presented in this table is not necessarily indicative of beneficial ownership for any other purpose.</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1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Shares</w:t>
            </w:r>
          </w:p>
        </w:tc>
        <w:tc>
          <w:tcPr>
            <w:tcW w:w="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Sold by the</w:t>
            </w:r>
          </w:p>
        </w:tc>
        <w:tc>
          <w:tcPr>
            <w:tcW w:w="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Selling Stockholders</w:t>
            </w:r>
          </w:p>
        </w:tc>
        <w:tc>
          <w:tcPr>
            <w:tcW w:w="140" w:type="dxa"/>
            <w:vAlign w:val="bottom"/>
          </w:tcPr>
          <w:p>
            <w:pPr>
              <w:spacing w:after="0"/>
              <w:rPr>
                <w:sz w:val="12"/>
                <w:szCs w:val="12"/>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Shares Owned by the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 to this</w:t>
            </w:r>
          </w:p>
        </w:tc>
        <w:tc>
          <w:tcPr>
            <w:tcW w:w="1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Currently</w:t>
            </w: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Prospectus</w:t>
            </w:r>
          </w:p>
        </w:tc>
        <w:tc>
          <w:tcPr>
            <w:tcW w:w="1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Selling Stockholders After Giving</w:t>
            </w:r>
          </w:p>
        </w:tc>
        <w:tc>
          <w:tcPr>
            <w:tcW w:w="0" w:type="dxa"/>
            <w:vAlign w:val="bottom"/>
          </w:tcPr>
          <w:p>
            <w:pPr>
              <w:spacing w:after="0"/>
              <w:rPr>
                <w:sz w:val="1"/>
                <w:szCs w:val="1"/>
                <w:color w:val="auto"/>
              </w:rPr>
            </w:pPr>
          </w:p>
        </w:tc>
      </w:tr>
      <w:tr>
        <w:trPr>
          <w:trHeight w:val="149"/>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Stockholder</w:t>
            </w: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Supplement</w:t>
            </w:r>
          </w:p>
        </w:tc>
        <w:tc>
          <w:tcPr>
            <w:tcW w:w="1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Effect to the Offering</w:t>
            </w:r>
          </w:p>
        </w:tc>
        <w:tc>
          <w:tcPr>
            <w:tcW w:w="0" w:type="dxa"/>
            <w:vAlign w:val="bottom"/>
          </w:tcPr>
          <w:p>
            <w:pPr>
              <w:spacing w:after="0"/>
              <w:rPr>
                <w:sz w:val="1"/>
                <w:szCs w:val="1"/>
                <w:color w:val="auto"/>
              </w:rPr>
            </w:pPr>
          </w:p>
        </w:tc>
      </w:tr>
      <w:tr>
        <w:trPr>
          <w:trHeight w:val="190"/>
        </w:trPr>
        <w:tc>
          <w:tcPr>
            <w:tcW w:w="3860" w:type="dxa"/>
            <w:vAlign w:val="bottom"/>
            <w:vMerge w:val="continue"/>
          </w:tcPr>
          <w:p>
            <w:pPr>
              <w:spacing w:after="0"/>
              <w:rPr>
                <w:sz w:val="16"/>
                <w:szCs w:val="16"/>
                <w:color w:val="auto"/>
              </w:rPr>
            </w:pPr>
          </w:p>
        </w:tc>
        <w:tc>
          <w:tcPr>
            <w:tcW w:w="9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2"/>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gridSpan w:val="2"/>
          </w:tcPr>
          <w:p>
            <w:pPr>
              <w:jc w:val="right"/>
              <w:ind w:right="80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Double Diamond Holdings Ltd.</w:t>
            </w:r>
            <w:r>
              <w:rPr>
                <w:rFonts w:ascii="Times New Roman" w:cs="Times New Roman" w:eastAsia="Times New Roman" w:hAnsi="Times New Roman"/>
                <w:sz w:val="27"/>
                <w:szCs w:val="27"/>
                <w:color w:val="auto"/>
                <w:vertAlign w:val="superscript"/>
              </w:rPr>
              <w:t>(1)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8,617,068*</w:t>
            </w:r>
          </w:p>
        </w:tc>
        <w:tc>
          <w:tcPr>
            <w:tcW w:w="13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8,617,068*</w:t>
            </w:r>
          </w:p>
        </w:tc>
        <w:tc>
          <w:tcPr>
            <w:tcW w:w="140" w:type="dxa"/>
            <w:vAlign w:val="bottom"/>
            <w:shd w:val="clear" w:color="auto" w:fill="CCEEFF"/>
          </w:tcPr>
          <w:p>
            <w:pPr>
              <w:spacing w:after="0"/>
              <w:rPr>
                <w:sz w:val="20"/>
                <w:szCs w:val="20"/>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4"/>
        </w:trPr>
        <w:tc>
          <w:tcPr>
            <w:tcW w:w="38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2" w:lineRule="exact"/>
        <w:rPr>
          <w:sz w:val="20"/>
          <w:szCs w:val="20"/>
          <w:color w:val="auto"/>
        </w:rPr>
      </w:pPr>
    </w:p>
    <w:p>
      <w:pPr>
        <w:ind w:left="640" w:hanging="348"/>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Double Diamond Holdings Ltd. is a joint venturer with Aphria in 1974568 Ontario Limited (Aphria Diamond).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 selling stockholder may, from time to time, sell any or all of the shares of Common Stock beneficially owned by it and offered hereby. We will not receive any of the proceeds from the sale by the selling stockholder of the shares of Common Stock.</w:t>
      </w:r>
    </w:p>
    <w:p>
      <w:pPr>
        <w:spacing w:after="0" w:line="68"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The selling stockholder of the Common Stock and any of its pledgees, assignees and successors-in-interest may, from time to time, sell any or all of their securities covered hereby on the principal trading market for the Common Stock or any other stock exchange, market or trading facility on which the Common Stock is traded or in private transactions. These sales may be at market prices prevailing at the time of sale, at prices related to such market prices, at varying prices determined at the time of sale, at fixed prices or at negotiated prices. The selling stockholder may use any one or more of the following methods when selling securities:</w:t>
      </w:r>
    </w:p>
    <w:p>
      <w:pPr>
        <w:spacing w:after="0" w:line="79" w:lineRule="exact"/>
        <w:rPr>
          <w:sz w:val="20"/>
          <w:szCs w:val="20"/>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Common Stock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 to sell a specified number of shares of such Common Stock at a stipulated price per security;</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In addition, the selling stockholder may elect to make a pro rata in-kind distribution of shares of our Common Stock to its members, partners or stockholders pursuant to the registration statement of which this prospectus supplement forms a part by delivering a prospectus supplement. To the extent that such members, partners or stockholders are not affiliates of ours, such members, partners or stockholders would thereby receive freely tradeable shares of our Common Stock pursuant to the distribution through a registration statement.</w:t>
      </w:r>
    </w:p>
    <w:p>
      <w:pPr>
        <w:spacing w:after="0" w:line="75"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The selling stockholder may also sell securities under Rule 144 or any other exemption from registration under the Securities Act, if available, rather than under this prospectus supplement.</w:t>
      </w:r>
    </w:p>
    <w:p>
      <w:pPr>
        <w:spacing w:after="0" w:line="54"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Broker-dealers engaged by the selling stockholder may arrange for other broker-dealers to participate in sales. Broker-dealers may receive commissions or discounts from the selling stockholder (or, if any broker-dealer acts as agent for the purchaser of Common Stock, from the purchaser) in amounts to be negotiated, but, except as set forth in a supplement to this prospectus supplement, in the case of an agency transaction not in excess of a customary brokerage commission in compliance with Financial Industry Regulatory Authority (“FINRA”) Rule 5110; and in the case of a principal transaction a markup or markdown in compliance with FINRA Rule 2121.</w:t>
      </w:r>
    </w:p>
    <w:p>
      <w:pPr>
        <w:spacing w:after="0" w:line="7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Common Stock or interests therein, the selling stockholder may enter into hedging transactions with broker-dealers or other financial institutions, which may in turn engage in short sales of the Common Stock in the course of hedging the positions it assumes. The selling stockholder may also sell Common Stock short and deliver these shares to close out their short positions, or loan or pledge the securities to broker-dealers that in turn may sell these shares.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supplement, which securities such broker-dealer or other financial institution may resell pursuant to this prospectus supplement (as supplemented or amended to reflect such transaction).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w:t>
      </w:r>
    </w:p>
    <w:p>
      <w:pPr>
        <w:spacing w:after="0" w:line="72"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Common Stock.</w:t>
      </w:r>
    </w:p>
    <w:p>
      <w:pPr>
        <w:spacing w:after="0" w:line="54"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supplement and the accompanying prospectus available to the selling stockholder and have informed it of the need to deliver a copy of this prospectus supplement and the accompanying prospectus to each purchaser at or prior to the time of the sale (including by compliance with Rule 172 under the Securities Act).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by this prospectus supplement will be passed upon for us by DLA Piper LLP (US), New York, New York. Any underwriters, dealers or agents will also be advised about the validity of the securities and other legal matters by their own counsel.</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by reference in this prospectus supplement by reference to the Annual Report on Form 10-K for the year ended May 31, 2025 have been so incorporated in reliance on the report (which contains a paragraph relating to the effectiveness of internal control over financial reporting due to the exclusion of the Craft Acquisition II, which includes Atwater Brewery, Hop Valley Brewing Company, Terrapin Beer Co., and Revolver Brewing, because they were acquired by the Company in purchase business combinations during the year ended May 31, 2025) of PricewaterhouseCoopers LLP, an independent registered public accounting firm, given on the authority of said firm as experts in auditing and accounting.</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We are required to file periodic reports, proxy statements and other information with the SEC pursuant to the Exchange Act. Our SEC filings are available to the public on the SEC’s website at www.sec.gov, which contains reports, proxies and information statements and other information regarding registrants that file electronically. We also maintain a website at www.tilray.com, at which you may access these materials free of charge as soon as reasonably practicable after they are electronically filed with, or furnished to, the SEC. Information contained on, or that can be accessed through, our website is not a part of this prospectus supplement and the inclusion of our website address in this prospectus supplement is an inactive textual reference only.</w:t>
      </w:r>
    </w:p>
    <w:p>
      <w:pPr>
        <w:spacing w:after="0" w:line="8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the Registration Statement and does not contain all the information set forth or incorporated by reference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certain information. This means that we can disclose important information to you by referring you to those documents that contain the information. The information we incorporate by reference is considered a part of this prospectus supplement. We incorporate by reference into this prospectus supplement the documents listed below that we have filed with the SEC. Any report or information within any of the documents referenced below that is furnished, but not filed, shall not be incorporated by reference into this prospectus supplement.</w:t>
      </w:r>
    </w:p>
    <w:p>
      <w:pPr>
        <w:spacing w:after="0" w:line="79" w:lineRule="exact"/>
        <w:rPr>
          <w:sz w:val="20"/>
          <w:szCs w:val="20"/>
          <w:color w:val="auto"/>
        </w:rPr>
      </w:pPr>
    </w:p>
    <w:p>
      <w:pPr>
        <w:ind w:left="1000" w:right="499" w:hanging="348"/>
        <w:spacing w:after="0" w:line="282" w:lineRule="auto"/>
        <w:tabs>
          <w:tab w:leader="none" w:pos="1000" w:val="left"/>
        </w:tabs>
        <w:numPr>
          <w:ilvl w:val="0"/>
          <w:numId w:val="54"/>
        </w:numPr>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auto"/>
          </w:rPr>
          <w:t xml:space="preserve">our Annual Report on Form 10-K for the fiscal year ended May 31, 2025, filed with the SEC on </w:t>
        </w:r>
        <w:r>
          <w:rPr>
            <w:rFonts w:ascii="Times New Roman" w:cs="Times New Roman" w:eastAsia="Times New Roman" w:hAnsi="Times New Roman"/>
            <w:sz w:val="18"/>
            <w:szCs w:val="18"/>
            <w:u w:val="single" w:color="auto"/>
            <w:color w:val="0000EE"/>
          </w:rPr>
          <w:t>July 29,</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jc w:val="both"/>
        <w:ind w:left="1000" w:right="919" w:hanging="348"/>
        <w:spacing w:after="0" w:line="312" w:lineRule="auto"/>
        <w:tabs>
          <w:tab w:leader="none" w:pos="10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the Form 10-K for the fiscal year ended May 31, 2025 from our definitive proxy statement on Schedule 14A, filed on </w:t>
      </w:r>
      <w:hyperlink r:id="rId50">
        <w:r>
          <w:rPr>
            <w:rFonts w:ascii="Times New Roman" w:cs="Times New Roman" w:eastAsia="Times New Roman" w:hAnsi="Times New Roman"/>
            <w:sz w:val="17"/>
            <w:szCs w:val="17"/>
            <w:u w:val="single" w:color="auto"/>
            <w:color w:val="0000EE"/>
          </w:rPr>
          <w:t>September 26, 2025</w:t>
        </w:r>
      </w:hyperlink>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 on Form 10-Q for the quarter ended August 31, 2025, filed on October 9, 2025;</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51">
        <w:r>
          <w:rPr>
            <w:rFonts w:ascii="Times New Roman" w:cs="Times New Roman" w:eastAsia="Times New Roman" w:hAnsi="Times New Roman"/>
            <w:sz w:val="18"/>
            <w:szCs w:val="18"/>
            <w:u w:val="single" w:color="auto"/>
            <w:color w:val="0000EE"/>
          </w:rPr>
          <w:t>June 23,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2">
        <w:r>
          <w:rPr>
            <w:rFonts w:ascii="Times New Roman" w:cs="Times New Roman" w:eastAsia="Times New Roman" w:hAnsi="Times New Roman"/>
            <w:sz w:val="18"/>
            <w:szCs w:val="18"/>
            <w:u w:val="single" w:color="auto"/>
            <w:color w:val="0000EE"/>
          </w:rPr>
          <w:t>June 10, 2025</w:t>
        </w:r>
      </w:hyperlink>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58"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as set forth in our registration statement on Form 8-A/A (File No. 001-38594), filed with the SEC on </w:t>
      </w:r>
      <w:hyperlink r:id="rId53">
        <w:r>
          <w:rPr>
            <w:rFonts w:ascii="Times New Roman" w:cs="Times New Roman" w:eastAsia="Times New Roman" w:hAnsi="Times New Roman"/>
            <w:sz w:val="18"/>
            <w:szCs w:val="18"/>
            <w:u w:val="single" w:color="auto"/>
            <w:color w:val="0000EE"/>
          </w:rPr>
          <w:t>October 1, 2020</w:t>
        </w:r>
      </w:hyperlink>
      <w:r>
        <w:rPr>
          <w:rFonts w:ascii="Times New Roman" w:cs="Times New Roman" w:eastAsia="Times New Roman" w:hAnsi="Times New Roman"/>
          <w:sz w:val="18"/>
          <w:szCs w:val="18"/>
          <w:color w:val="auto"/>
        </w:rPr>
        <w:t xml:space="preserve">, pursuant to Section 12(b) of the Exchange Act, including the description contained in </w:t>
      </w:r>
      <w:hyperlink r:id="rId54">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May 31, 2025, and any subsequent amendments or reports filed for the purpose of updating such description.</w:t>
      </w:r>
    </w:p>
    <w:p>
      <w:pPr>
        <w:spacing w:after="0" w:line="75" w:lineRule="exact"/>
        <w:rPr>
          <w:rFonts w:ascii="Times New Roman" w:cs="Times New Roman" w:eastAsia="Times New Roman" w:hAnsi="Times New Roman"/>
          <w:sz w:val="18"/>
          <w:szCs w:val="18"/>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You should direct any requests for documents to Tilray Brands, Inc., 265 Talbot Street West, Leamington, Ontario, Canada. Copies of the above reports may also be accessed from our web site at www.tilray.com. Information contained on, or that can be accessed through, our website is not a part of this prospectus supplement and the inclusion of our website address in this prospectus supplement is an inactive textual reference only.</w:t>
      </w:r>
    </w:p>
    <w:p>
      <w:pPr>
        <w:spacing w:after="0" w:line="79" w:lineRule="exact"/>
        <w:rPr>
          <w:rFonts w:ascii="Times New Roman" w:cs="Times New Roman" w:eastAsia="Times New Roman" w:hAnsi="Times New Roman"/>
          <w:sz w:val="18"/>
          <w:szCs w:val="18"/>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in this prospectus supplement any future filings that we make with the SEC under Section 13(a), 13(c), 14 or 15(d) of the Exchange Act until we sell all the securities to which this prospectus supplement relates;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 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modifies, supersedes or replaces such statement.</w:t>
      </w:r>
    </w:p>
    <w:p>
      <w:pPr>
        <w:spacing w:after="0" w:line="134"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265 Talbot Street West</w:t>
      </w:r>
    </w:p>
    <w:p>
      <w:pPr>
        <w:spacing w:after="0" w:line="9"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Leamington, Ontario, Canada</w:t>
      </w:r>
    </w:p>
    <w:p>
      <w:pPr>
        <w:spacing w:after="0" w:line="9" w:lineRule="exact"/>
        <w:rPr>
          <w:rFonts w:ascii="Times New Roman" w:cs="Times New Roman" w:eastAsia="Times New Roman" w:hAnsi="Times New Roman"/>
          <w:sz w:val="18"/>
          <w:szCs w:val="18"/>
          <w:color w:val="auto"/>
        </w:rPr>
      </w:pPr>
    </w:p>
    <w:p>
      <w:pPr>
        <w:ind w:left="4340" w:right="3959" w:hanging="398"/>
        <w:spacing w:after="0" w:line="555" w:lineRule="auto"/>
        <w:tabs>
          <w:tab w:leader="none" w:pos="437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845-7291 S-11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-50800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 payable by us in connection with the sale of the shares of Common Stock being registered. All amounts shown are estimates except for the SEC registration fee and the Financial Industry Regulatory Authority, Inc., or FINRA, filing fee.</w:t>
      </w:r>
    </w:p>
    <w:p>
      <w:pPr>
        <w:spacing w:after="0" w:line="21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33" w:lineRule="exact"/>
        <w:rPr>
          <w:sz w:val="20"/>
          <w:szCs w:val="20"/>
          <w:color w:val="auto"/>
        </w:rPr>
      </w:pPr>
    </w:p>
    <w:tbl>
      <w:tblPr>
        <w:tblLayout w:type="fixed"/>
        <w:tblInd w:w="300" w:type="dxa"/>
        <w:tblCellMar>
          <w:top w:w="0" w:type="dxa"/>
          <w:left w:w="0" w:type="dxa"/>
          <w:bottom w:w="0" w:type="dxa"/>
          <w:right w:w="0" w:type="dxa"/>
        </w:tblCellMar>
      </w:tblPr>
      <w:tr>
        <w:trPr>
          <w:trHeight w:val="270"/>
        </w:trPr>
        <w:tc>
          <w:tcPr>
            <w:tcW w:w="7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SEC registration fee</w:t>
            </w:r>
            <w:r>
              <w:rPr>
                <w:rFonts w:ascii="Times New Roman" w:cs="Times New Roman" w:eastAsia="Times New Roman" w:hAnsi="Times New Roman"/>
                <w:sz w:val="29"/>
                <w:szCs w:val="29"/>
                <w:color w:val="auto"/>
                <w:vertAlign w:val="superscript"/>
              </w:rPr>
              <w:t>(1)(2)</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2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2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77"/>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39" w:hanging="348"/>
        <w:spacing w:after="0" w:line="233" w:lineRule="auto"/>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Rules 456(b) and 457(r) under the Securities Act, we are deferring payment of the registration fee for the securities offered under this Registration Statement, other than with respect to (i) the shares of Common Stock that may be issued and sold from time to time pursuant to the ATM Prospectus Supplement, (ii) the shares of Common Stock issuable upon exercise of certain outstanding warrants pursuant to the Warrant Shares Prospectus Supplement, and (iii) the shares of Common Stock to be sold by the selling stockholder pursuant to the Resale Prospectus Supplement.</w:t>
      </w:r>
    </w:p>
    <w:p>
      <w:pPr>
        <w:spacing w:after="0" w:line="15" w:lineRule="exact"/>
        <w:rPr>
          <w:rFonts w:ascii="Times New Roman" w:cs="Times New Roman" w:eastAsia="Times New Roman" w:hAnsi="Times New Roman"/>
          <w:sz w:val="14"/>
          <w:szCs w:val="14"/>
          <w:color w:val="auto"/>
        </w:rPr>
      </w:pPr>
    </w:p>
    <w:p>
      <w:pPr>
        <w:ind w:left="640" w:right="439" w:hanging="348"/>
        <w:spacing w:after="0" w:line="241" w:lineRule="auto"/>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457(p) under the Securities Act, the registrant is offsetting the filing fee otherwise due for this Registration Statement by $7,616.40 (calculated at the applicable fee rate(s) in effect at the time of the prior registration statement on Form S-3 (File No. 333-267788)). Please see the registration fee table contained in Exhibit 107 to this registration statement for more information.</w:t>
      </w:r>
    </w:p>
    <w:p>
      <w:pPr>
        <w:spacing w:after="0" w:line="15" w:lineRule="exact"/>
        <w:rPr>
          <w:sz w:val="20"/>
          <w:szCs w:val="20"/>
          <w:color w:val="auto"/>
        </w:rPr>
      </w:pPr>
    </w:p>
    <w:p>
      <w:pPr>
        <w:ind w:left="640" w:right="339" w:hanging="348"/>
        <w:spacing w:after="0" w:line="236"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expenses are not presently known. The foregoing sets forth the general categories of expenses (other than underwriting discounts and commissions) that we anticipate we will incur in connection with the offering of securities under this Registration Statement. An estimate of the aggregate expenses in connection with the issuance and distribution of the securities being offered will be included in the applicable prospectus supplement.</w:t>
      </w:r>
    </w:p>
    <w:p>
      <w:pPr>
        <w:spacing w:after="0" w:line="177"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tab/>
        <w:t>Indemnification of Directors and Officers.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upon the closing of this offering provides for indemnification of our directors, officers, employees and other agents to the maximum extent permitted by the Delaware General Corporation Law, and our amended and restated bylaws that will be in effect upon the closing of this offering provide for indemnification of our directors, officers, employees and other agents to the maximum extent permitted by the Delaware General Corporation Law.</w:t>
      </w:r>
    </w:p>
    <w:p>
      <w:pPr>
        <w:spacing w:after="0" w:line="84" w:lineRule="exact"/>
        <w:rPr>
          <w:sz w:val="20"/>
          <w:szCs w:val="20"/>
          <w:color w:val="auto"/>
        </w:rPr>
      </w:pPr>
    </w:p>
    <w:p>
      <w:pPr>
        <w:ind w:left="300" w:right="499" w:firstLine="360"/>
        <w:spacing w:after="0" w:line="254"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Tilray, provided that such director or officer acted in good faith and in a manner that the director or officer reasonably believed to be in, or not opposed to, the best interest of Tilray. At present, there is no pending litigation or proceeding involving a director or officer of Tilray regarding which indemnification is sought, nor is the registrant aware of any threatened litigation that may result in claims for indemnification.</w:t>
      </w:r>
    </w:p>
    <w:p>
      <w:pPr>
        <w:spacing w:after="0" w:line="8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or her capacity as such.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tab/>
        <w:t>Exhibits and Financial Statement Schedules.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 Exhibits.</w:t>
      </w:r>
    </w:p>
    <w:p>
      <w:pPr>
        <w:spacing w:after="0" w:line="121"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The exhibits listed below on the Exhibit Index are filed herewith or are incorporated by reference to exhibits previously filed with the SEC.</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4"/>
        </w:trPr>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 by Reference</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60" w:type="dxa"/>
            <w:vAlign w:val="bottom"/>
            <w:gridSpan w:val="3"/>
          </w:tcPr>
          <w:p>
            <w:pPr>
              <w:spacing w:after="0" w:line="151"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3"/>
                <w:szCs w:val="13"/>
                <w:color w:val="auto"/>
              </w:rPr>
            </w:pPr>
          </w:p>
        </w:tc>
        <w:tc>
          <w:tcPr>
            <w:tcW w:w="346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00" w:type="dxa"/>
            <w:vAlign w:val="bottom"/>
            <w:vMerge w:val="restart"/>
          </w:tcPr>
          <w:p>
            <w:pPr>
              <w:spacing w:after="0"/>
              <w:rPr>
                <w:sz w:val="13"/>
                <w:szCs w:val="13"/>
                <w:color w:val="auto"/>
              </w:rPr>
            </w:pPr>
          </w:p>
        </w:tc>
        <w:tc>
          <w:tcPr>
            <w:tcW w:w="7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Schedule</w:t>
            </w:r>
          </w:p>
        </w:tc>
        <w:tc>
          <w:tcPr>
            <w:tcW w:w="100" w:type="dxa"/>
            <w:vAlign w:val="bottom"/>
          </w:tcPr>
          <w:p>
            <w:pPr>
              <w:spacing w:after="0"/>
              <w:rPr>
                <w:sz w:val="13"/>
                <w:szCs w:val="13"/>
                <w:color w:val="auto"/>
              </w:rPr>
            </w:pPr>
          </w:p>
        </w:tc>
        <w:tc>
          <w:tcPr>
            <w:tcW w:w="7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File</w:t>
            </w:r>
          </w:p>
        </w:tc>
        <w:tc>
          <w:tcPr>
            <w:tcW w:w="120" w:type="dxa"/>
            <w:vAlign w:val="bottom"/>
          </w:tcPr>
          <w:p>
            <w:pPr>
              <w:spacing w:after="0"/>
              <w:rPr>
                <w:sz w:val="13"/>
                <w:szCs w:val="13"/>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6"/>
                <w:szCs w:val="16"/>
                <w:color w:val="auto"/>
              </w:rPr>
            </w:pPr>
          </w:p>
        </w:tc>
        <w:tc>
          <w:tcPr>
            <w:tcW w:w="34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Filing Date    Herewith</w:t>
            </w:r>
          </w:p>
        </w:tc>
        <w:tc>
          <w:tcPr>
            <w:tcW w:w="0" w:type="dxa"/>
            <w:vAlign w:val="bottom"/>
          </w:tcPr>
          <w:p>
            <w:pPr>
              <w:spacing w:after="0"/>
              <w:rPr>
                <w:sz w:val="1"/>
                <w:szCs w:val="1"/>
                <w:color w:val="auto"/>
              </w:rPr>
            </w:pPr>
          </w:p>
        </w:tc>
      </w:tr>
      <w:tr>
        <w:trPr>
          <w:trHeight w:val="255"/>
        </w:trPr>
        <w:tc>
          <w:tcPr>
            <w:tcW w:w="4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2"/>
                <w:szCs w:val="22"/>
                <w:color w:val="auto"/>
              </w:rPr>
            </w:pPr>
          </w:p>
        </w:tc>
        <w:tc>
          <w:tcPr>
            <w:tcW w:w="3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100" w:type="dxa"/>
            <w:vAlign w:val="bottom"/>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2</w:t>
              </w:r>
            </w:hyperlink>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Equity Distribution Agreement, dated as of</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001-</w:t>
            </w:r>
          </w:p>
        </w:tc>
        <w:tc>
          <w:tcPr>
            <w:tcW w:w="88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1.1</w:t>
            </w:r>
          </w:p>
        </w:tc>
        <w:tc>
          <w:tcPr>
            <w:tcW w:w="8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5/17/2024</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17, 2024, by and among Tilray Brands,</w:t>
            </w:r>
          </w:p>
        </w:tc>
        <w:tc>
          <w:tcPr>
            <w:tcW w:w="7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38594</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 and TD Securities (USA) LLC and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3.1</w:t>
              </w:r>
            </w:hyperlink>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Fifth Amended and Restated Certificate of</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10-Q</w:t>
            </w:r>
          </w:p>
        </w:tc>
        <w:tc>
          <w:tcPr>
            <w:tcW w:w="86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001-</w:t>
            </w:r>
          </w:p>
        </w:tc>
        <w:tc>
          <w:tcPr>
            <w:tcW w:w="88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8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1/10/2025</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Incorporation of Tilray Brands, Inc., dated as of</w:t>
            </w:r>
          </w:p>
        </w:tc>
        <w:tc>
          <w:tcPr>
            <w:tcW w:w="7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38594</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19, 2024, as currently in effect</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Amended and Restated Bylaws, as of</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001-</w:t>
            </w:r>
          </w:p>
        </w:tc>
        <w:tc>
          <w:tcPr>
            <w:tcW w:w="88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8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1/10/2022</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10, 2022, as currently in effect</w:t>
            </w:r>
          </w:p>
        </w:tc>
        <w:tc>
          <w:tcPr>
            <w:tcW w:w="78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38594</w:t>
            </w: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4.1</w:t>
              </w:r>
            </w:hyperlink>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Indenture, dated May 31, 2023, between Tilray</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001-</w:t>
            </w:r>
          </w:p>
        </w:tc>
        <w:tc>
          <w:tcPr>
            <w:tcW w:w="88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8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5/31/2023</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Brands, Inc. and Computershare Trust</w:t>
            </w:r>
          </w:p>
        </w:tc>
        <w:tc>
          <w:tcPr>
            <w:tcW w:w="7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38594</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N.A.</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4.2</w:t>
              </w:r>
            </w:hyperlink>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First Supplemental Indenture, dated May 31,</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001-</w:t>
            </w:r>
          </w:p>
        </w:tc>
        <w:tc>
          <w:tcPr>
            <w:tcW w:w="88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8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5/31/2023</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between Tilray Brands, Inc. and</w:t>
            </w:r>
          </w:p>
        </w:tc>
        <w:tc>
          <w:tcPr>
            <w:tcW w:w="7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38594</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Computershare Trust Company, N.A.</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of 5.20% Convertible Senior Note due</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001-</w:t>
            </w:r>
          </w:p>
        </w:tc>
        <w:tc>
          <w:tcPr>
            <w:tcW w:w="88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8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5/31/2023</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(included in Exhibit 4.2)</w:t>
            </w:r>
          </w:p>
        </w:tc>
        <w:tc>
          <w:tcPr>
            <w:tcW w:w="78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38594</w:t>
            </w: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Specimen Form of Preferred Stock Certificate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Form of Certificate of Designation of</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of Indenture, between Registrant and one</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 more trustees to be named</w:t>
            </w:r>
          </w:p>
        </w:tc>
        <w:tc>
          <w:tcPr>
            <w:tcW w:w="7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Debt Securities</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of Common Stock Warrant Agreement</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Warrant Certificate</w:t>
            </w:r>
          </w:p>
        </w:tc>
        <w:tc>
          <w:tcPr>
            <w:tcW w:w="7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of Preferred Stock Warrant Agreement</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Warrant Certificate</w:t>
            </w:r>
          </w:p>
        </w:tc>
        <w:tc>
          <w:tcPr>
            <w:tcW w:w="7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Form of Debt Securities Warrant Agreement</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Warrant Certificate</w:t>
            </w:r>
          </w:p>
        </w:tc>
        <w:tc>
          <w:tcPr>
            <w:tcW w:w="7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hyperlink>
          </w:p>
        </w:tc>
        <w:tc>
          <w:tcPr>
            <w:tcW w:w="100" w:type="dxa"/>
            <w:vAlign w:val="bottom"/>
            <w:shd w:val="clear" w:color="auto" w:fill="CCEEFF"/>
          </w:tcPr>
          <w:p>
            <w:pPr>
              <w:spacing w:after="0"/>
              <w:rPr>
                <w:sz w:val="15"/>
                <w:szCs w:val="15"/>
                <w:color w:val="auto"/>
              </w:rPr>
            </w:pPr>
          </w:p>
        </w:tc>
        <w:tc>
          <w:tcPr>
            <w:tcW w:w="35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Warrant Indenture dated August 24, 2021</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001-</w:t>
            </w:r>
          </w:p>
        </w:tc>
        <w:tc>
          <w:tcPr>
            <w:tcW w:w="88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8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6/22/2023</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between HEXO Corp. and TSX Trust Company</w:t>
            </w:r>
          </w:p>
        </w:tc>
        <w:tc>
          <w:tcPr>
            <w:tcW w:w="78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38594</w:t>
            </w: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tbl>
      <w:tblPr>
        <w:tblLayout w:type="fixed"/>
        <w:tblInd w:w="300" w:type="dxa"/>
        <w:tblCellMar>
          <w:top w:w="0" w:type="dxa"/>
          <w:left w:w="0" w:type="dxa"/>
          <w:bottom w:w="0" w:type="dxa"/>
          <w:right w:w="0" w:type="dxa"/>
        </w:tblCellMar>
      </w:tblPr>
      <w:tr>
        <w:trPr>
          <w:trHeight w:val="161"/>
        </w:trPr>
        <w:tc>
          <w:tcPr>
            <w:tcW w:w="41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 by Reference</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60" w:type="dxa"/>
            <w:vAlign w:val="bottom"/>
            <w:gridSpan w:val="4"/>
          </w:tcPr>
          <w:p>
            <w:pPr>
              <w:spacing w:after="0" w:line="151"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3"/>
                <w:szCs w:val="13"/>
                <w:color w:val="auto"/>
              </w:rPr>
            </w:pPr>
          </w:p>
        </w:tc>
        <w:tc>
          <w:tcPr>
            <w:tcW w:w="346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00" w:type="dxa"/>
            <w:vAlign w:val="bottom"/>
            <w:vMerge w:val="restart"/>
          </w:tcPr>
          <w:p>
            <w:pPr>
              <w:spacing w:after="0"/>
              <w:rPr>
                <w:sz w:val="13"/>
                <w:szCs w:val="13"/>
                <w:color w:val="auto"/>
              </w:rPr>
            </w:pPr>
          </w:p>
        </w:tc>
        <w:tc>
          <w:tcPr>
            <w:tcW w:w="7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Schedule</w:t>
            </w:r>
          </w:p>
        </w:tc>
        <w:tc>
          <w:tcPr>
            <w:tcW w:w="100" w:type="dxa"/>
            <w:vAlign w:val="bottom"/>
          </w:tcPr>
          <w:p>
            <w:pPr>
              <w:spacing w:after="0"/>
              <w:rPr>
                <w:sz w:val="13"/>
                <w:szCs w:val="13"/>
                <w:color w:val="auto"/>
              </w:rPr>
            </w:pPr>
          </w:p>
        </w:tc>
        <w:tc>
          <w:tcPr>
            <w:tcW w:w="7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7"/>
              </w:rPr>
              <w:t>File</w:t>
            </w:r>
          </w:p>
        </w:tc>
        <w:tc>
          <w:tcPr>
            <w:tcW w:w="120" w:type="dxa"/>
            <w:vAlign w:val="bottom"/>
          </w:tcPr>
          <w:p>
            <w:pPr>
              <w:spacing w:after="0"/>
              <w:rPr>
                <w:sz w:val="13"/>
                <w:szCs w:val="13"/>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5"/>
        </w:trPr>
        <w:tc>
          <w:tcPr>
            <w:tcW w:w="4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6"/>
                <w:szCs w:val="16"/>
                <w:color w:val="auto"/>
              </w:rPr>
            </w:pPr>
          </w:p>
        </w:tc>
        <w:tc>
          <w:tcPr>
            <w:tcW w:w="346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Filing Date    Herewith</w:t>
            </w:r>
          </w:p>
        </w:tc>
        <w:tc>
          <w:tcPr>
            <w:tcW w:w="0" w:type="dxa"/>
            <w:vAlign w:val="bottom"/>
          </w:tcPr>
          <w:p>
            <w:pPr>
              <w:spacing w:after="0"/>
              <w:rPr>
                <w:sz w:val="1"/>
                <w:szCs w:val="1"/>
                <w:color w:val="auto"/>
              </w:rPr>
            </w:pPr>
          </w:p>
        </w:tc>
      </w:tr>
      <w:tr>
        <w:trPr>
          <w:trHeight w:val="201"/>
        </w:trPr>
        <w:tc>
          <w:tcPr>
            <w:tcW w:w="300" w:type="dxa"/>
            <w:vAlign w:val="bottom"/>
            <w:tcBorders>
              <w:top w:val="single" w:sz="8" w:color="auto"/>
              <w:bottom w:val="single" w:sz="8" w:color="0000EE"/>
            </w:tcBorders>
            <w:gridSpan w:val="3"/>
            <w:shd w:val="clear" w:color="auto" w:fill="CCEEFF"/>
          </w:tcPr>
          <w:p>
            <w:pPr>
              <w:spacing w:after="0" w:line="201" w:lineRule="exact"/>
              <w:rPr>
                <w:rFonts w:ascii="Times New Roman" w:cs="Times New Roman" w:eastAsia="Times New Roman" w:hAnsi="Times New Roman"/>
                <w:sz w:val="18"/>
                <w:szCs w:val="18"/>
                <w:color w:val="0000EE"/>
                <w:w w:val="88"/>
              </w:rPr>
            </w:pPr>
            <w:hyperlink r:id="rId113">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11</w:t>
              </w:r>
            </w:hyperlink>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60" w:type="dxa"/>
            <w:vAlign w:val="bottom"/>
            <w:tcBorders>
              <w:top w:val="single" w:sz="8" w:color="auto"/>
              <w:bottom w:val="single" w:sz="8" w:color="CCEEFF"/>
            </w:tcBorders>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Supplemental Warrant Indenture dated June 22,</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CCEEFF"/>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CCEEFF"/>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w w:val="98"/>
              </w:rPr>
              <w:t>6/22/2023</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among HEXO Corp., Tilray Brands, Inc.</w:t>
            </w:r>
          </w:p>
        </w:tc>
        <w:tc>
          <w:tcPr>
            <w:tcW w:w="7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38594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TSX Trust Company</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8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Opinion of DLA Piper LLP (US)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2580" w:type="dxa"/>
            <w:vAlign w:val="bottom"/>
            <w:tcBorders>
              <w:top w:val="single" w:sz="8" w:color="CCEEFF"/>
            </w:tcBorders>
            <w:gridSpan w:val="2"/>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Opinion of DLA Piper LLP (US)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2580" w:type="dxa"/>
            <w:vAlign w:val="bottom"/>
            <w:tcBorders>
              <w:top w:val="single" w:sz="8" w:color="CCEEFF"/>
            </w:tcBorders>
            <w:gridSpan w:val="2"/>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Opinion of DLA Piper LLP (US)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2580" w:type="dxa"/>
            <w:vAlign w:val="bottom"/>
            <w:tcBorders>
              <w:top w:val="single" w:sz="8" w:color="CCEEFF"/>
            </w:tcBorders>
            <w:gridSpan w:val="2"/>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Opinion of DLA Piper LLP (US)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spacing w:after="0"/>
              <w:rPr>
                <w:sz w:val="19"/>
                <w:szCs w:val="19"/>
                <w:color w:val="auto"/>
              </w:rPr>
            </w:pPr>
          </w:p>
        </w:tc>
        <w:tc>
          <w:tcPr>
            <w:tcW w:w="2580" w:type="dxa"/>
            <w:vAlign w:val="bottom"/>
            <w:tcBorders>
              <w:top w:val="single" w:sz="8" w:color="CCEEFF"/>
            </w:tcBorders>
            <w:gridSpan w:val="2"/>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gridSpan w:val="2"/>
          </w:tcPr>
          <w:p>
            <w:pPr>
              <w:spacing w:after="0"/>
              <w:rPr>
                <w:sz w:val="19"/>
                <w:szCs w:val="19"/>
                <w:color w:val="auto"/>
              </w:rPr>
            </w:pPr>
          </w:p>
        </w:tc>
        <w:tc>
          <w:tcPr>
            <w:tcW w:w="880" w:type="dxa"/>
            <w:vAlign w:val="bottom"/>
            <w:tcBorders>
              <w:top w:val="single" w:sz="8" w:color="CCEEFF"/>
            </w:tcBorders>
            <w:gridSpan w:val="2"/>
          </w:tcPr>
          <w:p>
            <w:pPr>
              <w:spacing w:after="0"/>
              <w:rPr>
                <w:sz w:val="19"/>
                <w:szCs w:val="19"/>
                <w:color w:val="auto"/>
              </w:rPr>
            </w:pPr>
          </w:p>
        </w:tc>
        <w:tc>
          <w:tcPr>
            <w:tcW w:w="880" w:type="dxa"/>
            <w:vAlign w:val="bottom"/>
            <w:tcBorders>
              <w:top w:val="single" w:sz="8" w:color="CCEEFF"/>
            </w:tcBorders>
            <w:gridSpan w:val="2"/>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3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Arrangement Agreement, dated as of April 10,</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001-</w:t>
            </w:r>
          </w:p>
        </w:tc>
        <w:tc>
          <w:tcPr>
            <w:tcW w:w="88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88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w w:val="98"/>
              </w:rPr>
              <w:t>6/22/2023</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by and between Tilray Brands, Inc. and</w:t>
            </w:r>
          </w:p>
        </w:tc>
        <w:tc>
          <w:tcPr>
            <w:tcW w:w="7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38594</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HEXO Corp.</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8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100" w:type="dxa"/>
            <w:vAlign w:val="bottom"/>
            <w:shd w:val="clear" w:color="auto" w:fill="CCEEFF"/>
          </w:tcPr>
          <w:p>
            <w:pPr>
              <w:spacing w:after="0"/>
              <w:rPr>
                <w:sz w:val="15"/>
                <w:szCs w:val="15"/>
                <w:color w:val="auto"/>
              </w:rPr>
            </w:pPr>
          </w:p>
        </w:tc>
        <w:tc>
          <w:tcPr>
            <w:tcW w:w="3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Arrangement Agreement Amendment, dated as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60" w:type="dxa"/>
            <w:vAlign w:val="bottom"/>
            <w:gridSpan w:val="2"/>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001-</w:t>
            </w:r>
          </w:p>
        </w:tc>
        <w:tc>
          <w:tcPr>
            <w:tcW w:w="880" w:type="dxa"/>
            <w:vAlign w:val="bottom"/>
            <w:gridSpan w:val="2"/>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7"/>
              </w:rPr>
              <w:t>2.2</w:t>
            </w:r>
          </w:p>
        </w:tc>
        <w:tc>
          <w:tcPr>
            <w:tcW w:w="88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w w:val="98"/>
              </w:rPr>
              <w:t>6/22/2023</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 June 1, 2023, by and between Tilray Brands,</w:t>
            </w:r>
          </w:p>
        </w:tc>
        <w:tc>
          <w:tcPr>
            <w:tcW w:w="7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38594</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 and HEXO Corp.</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8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0" w:type="dxa"/>
            <w:vAlign w:val="bottom"/>
            <w:shd w:val="clear" w:color="auto" w:fill="CCEEFF"/>
          </w:tcPr>
          <w:p>
            <w:pPr>
              <w:spacing w:after="0"/>
              <w:rPr>
                <w:sz w:val="15"/>
                <w:szCs w:val="15"/>
                <w:color w:val="auto"/>
              </w:rPr>
            </w:pPr>
          </w:p>
        </w:tc>
        <w:tc>
          <w:tcPr>
            <w:tcW w:w="3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PricewaterhouseCoopers LLP,</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Registered Public Accounting</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Firm</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8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100" w:type="dxa"/>
            <w:vAlign w:val="bottom"/>
            <w:shd w:val="clear" w:color="auto" w:fill="CCEEFF"/>
          </w:tcPr>
          <w:p>
            <w:pPr>
              <w:spacing w:after="0"/>
              <w:rPr>
                <w:sz w:val="15"/>
                <w:szCs w:val="15"/>
                <w:color w:val="auto"/>
              </w:rPr>
            </w:pPr>
          </w:p>
        </w:tc>
        <w:tc>
          <w:tcPr>
            <w:tcW w:w="3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DLA Piper LLP (US) (reference is</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5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made to Exhibit 5.1)</w:t>
            </w:r>
          </w:p>
        </w:tc>
        <w:tc>
          <w:tcPr>
            <w:tcW w:w="7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8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3</w:t>
            </w:r>
          </w:p>
        </w:tc>
        <w:tc>
          <w:tcPr>
            <w:tcW w:w="100" w:type="dxa"/>
            <w:vAlign w:val="bottom"/>
            <w:shd w:val="clear" w:color="auto" w:fill="CCEEFF"/>
          </w:tcPr>
          <w:p>
            <w:pPr>
              <w:spacing w:after="0"/>
              <w:rPr>
                <w:sz w:val="15"/>
                <w:szCs w:val="15"/>
                <w:color w:val="auto"/>
              </w:rPr>
            </w:pPr>
          </w:p>
        </w:tc>
        <w:tc>
          <w:tcPr>
            <w:tcW w:w="3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DLA Piper LLP (US) (reference is</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5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made to Exhibit 5.2)</w:t>
            </w:r>
          </w:p>
        </w:tc>
        <w:tc>
          <w:tcPr>
            <w:tcW w:w="7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8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4</w:t>
            </w:r>
          </w:p>
        </w:tc>
        <w:tc>
          <w:tcPr>
            <w:tcW w:w="100" w:type="dxa"/>
            <w:vAlign w:val="bottom"/>
            <w:shd w:val="clear" w:color="auto" w:fill="CCEEFF"/>
          </w:tcPr>
          <w:p>
            <w:pPr>
              <w:spacing w:after="0"/>
              <w:rPr>
                <w:sz w:val="15"/>
                <w:szCs w:val="15"/>
                <w:color w:val="auto"/>
              </w:rPr>
            </w:pPr>
          </w:p>
        </w:tc>
        <w:tc>
          <w:tcPr>
            <w:tcW w:w="3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DLA Piper LLP (US) (reference is</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5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made to Exhibit 5.3)</w:t>
            </w:r>
          </w:p>
        </w:tc>
        <w:tc>
          <w:tcPr>
            <w:tcW w:w="7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8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5</w:t>
            </w:r>
          </w:p>
        </w:tc>
        <w:tc>
          <w:tcPr>
            <w:tcW w:w="100" w:type="dxa"/>
            <w:vAlign w:val="bottom"/>
            <w:shd w:val="clear" w:color="auto" w:fill="CCEEFF"/>
          </w:tcPr>
          <w:p>
            <w:pPr>
              <w:spacing w:after="0"/>
              <w:rPr>
                <w:sz w:val="15"/>
                <w:szCs w:val="15"/>
                <w:color w:val="auto"/>
              </w:rPr>
            </w:pPr>
          </w:p>
        </w:tc>
        <w:tc>
          <w:tcPr>
            <w:tcW w:w="3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DLA Piper LLP (US) (reference is</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5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made to Exhibit 5.4)</w:t>
            </w:r>
          </w:p>
        </w:tc>
        <w:tc>
          <w:tcPr>
            <w:tcW w:w="7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8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100" w:type="dxa"/>
            <w:vAlign w:val="bottom"/>
            <w:shd w:val="clear" w:color="auto" w:fill="CCEEFF"/>
          </w:tcPr>
          <w:p>
            <w:pPr>
              <w:spacing w:after="0"/>
              <w:rPr>
                <w:sz w:val="15"/>
                <w:szCs w:val="15"/>
                <w:color w:val="auto"/>
              </w:rPr>
            </w:pPr>
          </w:p>
        </w:tc>
        <w:tc>
          <w:tcPr>
            <w:tcW w:w="3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Power of Attorney (reference is made to the</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5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 page hereto)</w:t>
            </w:r>
          </w:p>
        </w:tc>
        <w:tc>
          <w:tcPr>
            <w:tcW w:w="7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8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7"/>
                <w:szCs w:val="17"/>
                <w:color w:val="auto"/>
              </w:rPr>
            </w:pPr>
          </w:p>
        </w:tc>
        <w:tc>
          <w:tcPr>
            <w:tcW w:w="35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Statement of Eligibility of Trustee under the</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Indenture (to be filed separately under the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form type 305B2, if applicable)</w:t>
            </w: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80" w:type="dxa"/>
            <w:vAlign w:val="bottom"/>
            <w:gridSpan w:val="2"/>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5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Calculation of Filing Fee Table</w:t>
            </w: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75"/>
        </w:trPr>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4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an exhibit to a Current Report on Form 8-K and incorporated herein by reference, if applicable.</w:t>
      </w:r>
    </w:p>
    <w:p>
      <w:pPr>
        <w:spacing w:after="0" w:line="42" w:lineRule="exact"/>
        <w:rPr>
          <w:sz w:val="20"/>
          <w:szCs w:val="20"/>
          <w:color w:val="auto"/>
        </w:rPr>
      </w:pPr>
    </w:p>
    <w:p>
      <w:pPr>
        <w:ind w:left="640" w:right="419" w:hanging="348"/>
        <w:spacing w:after="0" w:line="261" w:lineRule="auto"/>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have been omitted pursuant to Item 601(b)(2) of Regulation S-K. The registrant will furnish copies of any such schedules to the Securities and Exchange Commission upon request.</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 Financial Statement Schedules.</w:t>
      </w:r>
    </w:p>
    <w:p>
      <w:pPr>
        <w:spacing w:after="0" w:line="121"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are provided because the information called for is not required or is shown either in the financial statements or the notes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21" w:lineRule="exact"/>
        <w:rPr>
          <w:sz w:val="20"/>
          <w:szCs w:val="20"/>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360" w:right="379" w:hanging="348"/>
        <w:spacing w:after="0" w:line="282" w:lineRule="auto"/>
        <w:tabs>
          <w:tab w:leader="none" w:pos="13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720" w:hanging="348"/>
        <w:spacing w:after="0"/>
        <w:tabs>
          <w:tab w:leader="none" w:pos="17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ind w:left="1720" w:right="299" w:hanging="348"/>
        <w:spacing w:after="0" w:line="253" w:lineRule="auto"/>
        <w:tabs>
          <w:tab w:leader="none" w:pos="17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86" w:lineRule="exact"/>
        <w:rPr>
          <w:rFonts w:ascii="Times New Roman" w:cs="Times New Roman" w:eastAsia="Times New Roman" w:hAnsi="Times New Roman"/>
          <w:sz w:val="18"/>
          <w:szCs w:val="18"/>
          <w:color w:val="auto"/>
        </w:rPr>
      </w:pPr>
    </w:p>
    <w:p>
      <w:pPr>
        <w:ind w:left="1720" w:right="879" w:hanging="348"/>
        <w:spacing w:after="0" w:line="266" w:lineRule="auto"/>
        <w:tabs>
          <w:tab w:leader="none" w:pos="17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6"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(a)(1)(ii) and (a)(1)(iii) do not apply if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7" w:lineRule="exact"/>
        <w:rPr>
          <w:sz w:val="20"/>
          <w:szCs w:val="20"/>
          <w:color w:val="auto"/>
        </w:rPr>
      </w:pPr>
    </w:p>
    <w:p>
      <w:pPr>
        <w:ind w:left="1360" w:right="479" w:hanging="348"/>
        <w:spacing w:after="0" w:line="261" w:lineRule="auto"/>
        <w:tabs>
          <w:tab w:leader="none" w:pos="13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ind w:left="1360" w:right="719" w:hanging="348"/>
        <w:spacing w:after="0" w:line="282" w:lineRule="auto"/>
        <w:tabs>
          <w:tab w:leader="none" w:pos="13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7" w:lineRule="exact"/>
        <w:rPr>
          <w:rFonts w:ascii="Times New Roman" w:cs="Times New Roman" w:eastAsia="Times New Roman" w:hAnsi="Times New Roman"/>
          <w:sz w:val="18"/>
          <w:szCs w:val="18"/>
          <w:color w:val="auto"/>
        </w:rPr>
      </w:pPr>
    </w:p>
    <w:p>
      <w:pPr>
        <w:jc w:val="both"/>
        <w:ind w:left="1720" w:right="419" w:hanging="348"/>
        <w:spacing w:after="0" w:line="266" w:lineRule="auto"/>
        <w:tabs>
          <w:tab w:leader="none" w:pos="17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1720" w:right="339" w:hanging="348"/>
        <w:spacing w:after="0" w:line="252" w:lineRule="auto"/>
        <w:tabs>
          <w:tab w:leader="none" w:pos="17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right="379" w:hanging="348"/>
        <w:spacing w:after="0" w:line="255" w:lineRule="auto"/>
        <w:tabs>
          <w:tab w:leader="none" w:pos="13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Times New Roman" w:cs="Times New Roman" w:eastAsia="Times New Roman" w:hAnsi="Times New Roman"/>
          <w:sz w:val="18"/>
          <w:szCs w:val="18"/>
          <w:color w:val="auto"/>
        </w:rPr>
      </w:pPr>
    </w:p>
    <w:p>
      <w:pPr>
        <w:ind w:left="1720" w:right="499" w:hanging="348"/>
        <w:spacing w:after="0" w:line="282" w:lineRule="auto"/>
        <w:tabs>
          <w:tab w:leader="none" w:pos="172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720" w:right="419" w:hanging="348"/>
        <w:spacing w:after="0" w:line="282" w:lineRule="auto"/>
        <w:tabs>
          <w:tab w:leader="none" w:pos="172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720" w:right="679" w:hanging="348"/>
        <w:spacing w:after="0" w:line="266" w:lineRule="auto"/>
        <w:tabs>
          <w:tab w:leader="none" w:pos="172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720" w:right="499" w:hanging="348"/>
        <w:spacing w:after="0" w:line="282" w:lineRule="auto"/>
        <w:tabs>
          <w:tab w:leader="none" w:pos="172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the purpose of determining liability of the registrant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83" w:lineRule="exact"/>
        <w:rPr>
          <w:rFonts w:ascii="Times New Roman" w:cs="Times New Roman" w:eastAsia="Times New Roman" w:hAnsi="Times New Roman"/>
          <w:sz w:val="18"/>
          <w:szCs w:val="18"/>
          <w:color w:val="auto"/>
        </w:rPr>
      </w:pPr>
    </w:p>
    <w:p>
      <w:pPr>
        <w:jc w:val="both"/>
        <w:ind w:left="1000" w:right="599" w:hanging="348"/>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the 9th day of October, 2025.</w:t>
      </w:r>
    </w:p>
    <w:p>
      <w:pPr>
        <w:spacing w:after="0" w:line="21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283" w:lineRule="exact"/>
        <w:rPr>
          <w:sz w:val="20"/>
          <w:szCs w:val="20"/>
          <w:color w:val="auto"/>
        </w:rPr>
      </w:pPr>
    </w:p>
    <w:p>
      <w:pPr>
        <w:ind w:left="4280"/>
        <w:spacing w:after="0"/>
        <w:tabs>
          <w:tab w:leader="none" w:pos="4760" w:val="left"/>
        </w:tabs>
        <w:rPr>
          <w:sz w:val="20"/>
          <w:szCs w:val="20"/>
          <w:color w:val="auto"/>
        </w:rPr>
      </w:pPr>
      <w:r>
        <w:rPr>
          <w:rFonts w:ascii="Times New Roman" w:cs="Times New Roman" w:eastAsia="Times New Roman" w:hAnsi="Times New Roman"/>
          <w:sz w:val="18"/>
          <w:szCs w:val="18"/>
          <w:color w:val="auto"/>
        </w:rPr>
        <w:t>By:</w:t>
        <w:tab/>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34290</wp:posOffset>
            </wp:positionV>
            <wp:extent cx="25031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Irwin D. Simon</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Irwin D. Simon and Mitchell Gendel as his or her true and lawful attorneys-in-fact and agents, each with the full power of substitution, for him in his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that said attorneys-in-fact and agents, or his substitute or substitutes, may lawfully do or cause to be done by virtue hereof.</w:t>
      </w:r>
    </w:p>
    <w:p>
      <w:pPr>
        <w:spacing w:after="0" w:line="80"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19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2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45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 Irwin D. Simon</w:t>
            </w:r>
          </w:p>
        </w:tc>
        <w:tc>
          <w:tcPr>
            <w:tcW w:w="22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9, 2025</w:t>
            </w:r>
          </w:p>
        </w:tc>
        <w:tc>
          <w:tcPr>
            <w:tcW w:w="0" w:type="dxa"/>
            <w:vAlign w:val="bottom"/>
          </w:tcPr>
          <w:p>
            <w:pPr>
              <w:spacing w:after="0"/>
              <w:rPr>
                <w:sz w:val="1"/>
                <w:szCs w:val="1"/>
                <w:color w:val="auto"/>
              </w:rPr>
            </w:pPr>
          </w:p>
        </w:tc>
      </w:tr>
      <w:tr>
        <w:trPr>
          <w:trHeight w:val="45"/>
        </w:trPr>
        <w:tc>
          <w:tcPr>
            <w:tcW w:w="19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Irwin D. Simon</w:t>
            </w:r>
          </w:p>
        </w:tc>
        <w:tc>
          <w:tcPr>
            <w:tcW w:w="220" w:type="dxa"/>
            <w:vAlign w:val="bottom"/>
          </w:tcPr>
          <w:p>
            <w:pPr>
              <w:spacing w:after="0"/>
              <w:rPr>
                <w:sz w:val="19"/>
                <w:szCs w:val="19"/>
                <w:color w:val="auto"/>
              </w:rPr>
            </w:pPr>
          </w:p>
        </w:tc>
        <w:tc>
          <w:tcPr>
            <w:tcW w:w="46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 Carl A. Merton</w:t>
            </w:r>
          </w:p>
        </w:tc>
        <w:tc>
          <w:tcPr>
            <w:tcW w:w="22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9, 2025</w:t>
            </w:r>
          </w:p>
        </w:tc>
        <w:tc>
          <w:tcPr>
            <w:tcW w:w="0" w:type="dxa"/>
            <w:vAlign w:val="bottom"/>
          </w:tcPr>
          <w:p>
            <w:pPr>
              <w:spacing w:after="0"/>
              <w:rPr>
                <w:sz w:val="1"/>
                <w:szCs w:val="1"/>
                <w:color w:val="auto"/>
              </w:rPr>
            </w:pPr>
          </w:p>
        </w:tc>
      </w:tr>
      <w:tr>
        <w:trPr>
          <w:trHeight w:val="45"/>
        </w:trPr>
        <w:tc>
          <w:tcPr>
            <w:tcW w:w="19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4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Carl A. Merton</w:t>
            </w:r>
          </w:p>
        </w:tc>
        <w:tc>
          <w:tcPr>
            <w:tcW w:w="220" w:type="dxa"/>
            <w:vAlign w:val="bottom"/>
          </w:tcPr>
          <w:p>
            <w:pPr>
              <w:spacing w:after="0"/>
              <w:rPr>
                <w:sz w:val="19"/>
                <w:szCs w:val="19"/>
                <w:color w:val="auto"/>
              </w:rPr>
            </w:pPr>
          </w:p>
        </w:tc>
        <w:tc>
          <w:tcPr>
            <w:tcW w:w="46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 Renah Persofksy</w:t>
            </w:r>
          </w:p>
        </w:tc>
        <w:tc>
          <w:tcPr>
            <w:tcW w:w="22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9, 2025</w:t>
            </w:r>
          </w:p>
        </w:tc>
        <w:tc>
          <w:tcPr>
            <w:tcW w:w="0" w:type="dxa"/>
            <w:vAlign w:val="bottom"/>
          </w:tcPr>
          <w:p>
            <w:pPr>
              <w:spacing w:after="0"/>
              <w:rPr>
                <w:sz w:val="1"/>
                <w:szCs w:val="1"/>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Renah Persofksy</w:t>
            </w: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 Steven Cohen</w:t>
            </w:r>
          </w:p>
        </w:tc>
        <w:tc>
          <w:tcPr>
            <w:tcW w:w="22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9, 2025</w:t>
            </w:r>
          </w:p>
        </w:tc>
        <w:tc>
          <w:tcPr>
            <w:tcW w:w="0" w:type="dxa"/>
            <w:vAlign w:val="bottom"/>
          </w:tcPr>
          <w:p>
            <w:pPr>
              <w:spacing w:after="0"/>
              <w:rPr>
                <w:sz w:val="1"/>
                <w:szCs w:val="1"/>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Steven Cohen</w:t>
            </w: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 David Clanachan</w:t>
            </w:r>
          </w:p>
        </w:tc>
        <w:tc>
          <w:tcPr>
            <w:tcW w:w="22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9, 2025</w:t>
            </w:r>
          </w:p>
        </w:tc>
        <w:tc>
          <w:tcPr>
            <w:tcW w:w="0" w:type="dxa"/>
            <w:vAlign w:val="bottom"/>
          </w:tcPr>
          <w:p>
            <w:pPr>
              <w:spacing w:after="0"/>
              <w:rPr>
                <w:sz w:val="1"/>
                <w:szCs w:val="1"/>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David Clanachan</w:t>
            </w: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 John M. Herhalt</w:t>
            </w:r>
          </w:p>
        </w:tc>
        <w:tc>
          <w:tcPr>
            <w:tcW w:w="22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9, 2025</w:t>
            </w:r>
          </w:p>
        </w:tc>
        <w:tc>
          <w:tcPr>
            <w:tcW w:w="0" w:type="dxa"/>
            <w:vAlign w:val="bottom"/>
          </w:tcPr>
          <w:p>
            <w:pPr>
              <w:spacing w:after="0"/>
              <w:rPr>
                <w:sz w:val="1"/>
                <w:szCs w:val="1"/>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John M. Herhalt</w:t>
            </w: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 David Hopkinson</w:t>
            </w:r>
          </w:p>
        </w:tc>
        <w:tc>
          <w:tcPr>
            <w:tcW w:w="22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9, 2025</w:t>
            </w:r>
          </w:p>
        </w:tc>
        <w:tc>
          <w:tcPr>
            <w:tcW w:w="0" w:type="dxa"/>
            <w:vAlign w:val="bottom"/>
          </w:tcPr>
          <w:p>
            <w:pPr>
              <w:spacing w:after="0"/>
              <w:rPr>
                <w:sz w:val="1"/>
                <w:szCs w:val="1"/>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David Hopkinson</w:t>
            </w: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 Thomas Looney</w:t>
            </w:r>
          </w:p>
        </w:tc>
        <w:tc>
          <w:tcPr>
            <w:tcW w:w="22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9, 2025</w:t>
            </w:r>
          </w:p>
        </w:tc>
        <w:tc>
          <w:tcPr>
            <w:tcW w:w="0" w:type="dxa"/>
            <w:vAlign w:val="bottom"/>
          </w:tcPr>
          <w:p>
            <w:pPr>
              <w:spacing w:after="0"/>
              <w:rPr>
                <w:sz w:val="1"/>
                <w:szCs w:val="1"/>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Thomas Looney</w:t>
            </w: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II-6</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3" w:right="1440"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4.5</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TILRAY BRANDS, INC.</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Dated as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814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54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1.01   Definitions of Terms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2 ISSUE, DESCRIPTION, TERMS, EXECUTION, REGISTRATION AND EXCHANGE OF SECURITIES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2.01   Designation and Terms of Securities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2.02   Form of Securities and Trustee’s Certificate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2.03   Denominations: Provisions for Payment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2.04   Execution and Authentications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2.05   Registration of Transfer and Exchange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2.06</w:t>
            </w:r>
          </w:p>
        </w:tc>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Temporary Securities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2.07   Mutilated, Destroyed, Lost or Stolen Securities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2.08</w:t>
            </w:r>
          </w:p>
        </w:tc>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Cancellation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2.09   Benefits of Indenture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2.10</w:t>
            </w:r>
          </w:p>
        </w:tc>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Authenticating Agent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2.11</w:t>
            </w:r>
          </w:p>
        </w:tc>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Global Securities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2.12</w:t>
            </w:r>
          </w:p>
        </w:tc>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CUSIP Numbers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REDEMPTION OF SECURITIES AND SINKING FUND PROVISIONS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3.01</w:t>
            </w:r>
          </w:p>
        </w:tc>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Redemption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3.02   Notice of Redemption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3.03   Payment Upon Redemption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3.04</w:t>
            </w:r>
          </w:p>
        </w:tc>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Sinking Fund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3.05   Satisfaction of Sinking Fund Payments with Securities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3.06   Redemption of Securities for Sinking Fund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58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4.01   Payment of Principal, Premium and Interest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4.03   Paying Agents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4.04   Appointment to Fill Vacancy in Office of Trustee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5 SECURITYHOLDERS’ LISTS AND REPORTS BY THE COMPANY AND THE TRUSTEE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5.01   Company to Furnish Trustee Names and Addresses of Securityholders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5.02   Preservation Of Information; Communications With Securityholders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5.03   Reports by the Company</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5.04   Reports by the Trustee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REMEDIES OF THE TRUSTEE AND SECURITYHOLDERS ON EVENT OF DEFAULT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6.02   Collection of Indebtedness and Suits for Enforcement by Trustee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6.03   Application of Moneys Collected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6.04   Limitation on Suits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6.05   Rights and Remedies Cumulative; Delay or Omission Not Waiver</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6.06   Control by Securityholders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6.07   Undertaking to Pay Costs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7.01   Certain Duties and Responsibilities of Trustee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7.02   Certain Rights of Trustee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7.03   Trustee Not Responsible for Recitals or Issuance or Securities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7.04   May Hold Securities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7.05   Moneys Held in Trust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9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7.06</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7.07</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7.08</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7.09</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7.10</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7.11</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7.12</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7.13</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7.14</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Notice of Default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8 CONCERNING THE SECURITYHOLDERS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8.01</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8.02</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8.03</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Who May be Deemed Owners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8.04</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8.05</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9 SUPPLEMENTAL INDENTURES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9.01</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9.02</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9.03</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9.04</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9.05</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10 SUCCESSOR ENTITY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10.01</w:t>
            </w:r>
          </w:p>
        </w:tc>
        <w:tc>
          <w:tcPr>
            <w:tcW w:w="7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6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10.02  Successor Entity Substituted</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11.01  Satisfaction and Discharge of Indenture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11.02  Discharge of Obligations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11.03  Deposited Moneys to be Held in Trust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11.04  Payment of Moneys Held by Paying Agents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11.05  Repayment to Company</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12 IMMUNITY OF INCORPORATORS, STOCKHOLDERS, OFFICERS AND DIRECTORS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12.01</w:t>
            </w:r>
          </w:p>
        </w:tc>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 Recourse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13 MISCELLANEOUS PROVISIONS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13.01  Effect on Successors and Assigns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13.02  Actions by Successor</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13.03  Surrender of Company Powers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13.04</w:t>
            </w:r>
          </w:p>
        </w:tc>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13.05  Governing Law; Jury Trial Waiver</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13.06  Treatment of Securities as Debt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13.07  Certificates and Opinions as to Conditions Precedent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13.08  Payments on Business Days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13.09  Conflict with Trust Indenture Act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13.10</w:t>
            </w:r>
          </w:p>
        </w:tc>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13.11</w:t>
            </w:r>
          </w:p>
        </w:tc>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Separability</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13.12</w:t>
            </w:r>
          </w:p>
        </w:tc>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Compliance Certificates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13.13</w:t>
            </w:r>
          </w:p>
        </w:tc>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Patriot Act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13.14</w:t>
            </w:r>
          </w:p>
        </w:tc>
        <w:tc>
          <w:tcPr>
            <w:tcW w:w="7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Force Majeure</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Section 13.15  Table of Contents; Headings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162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88" w:name="page89"/>
    <w:bookmarkEnd w:id="8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 20 , among</w:t>
      </w:r>
      <w:r>
        <w:rPr>
          <w:rFonts w:ascii="Times New Roman" w:cs="Times New Roman" w:eastAsia="Times New Roman" w:hAnsi="Times New Roman"/>
          <w:sz w:val="18"/>
          <w:szCs w:val="18"/>
          <w:b w:val="1"/>
          <w:bCs w:val="1"/>
          <w:color w:val="auto"/>
        </w:rPr>
        <w:t xml:space="preserve"> TILRAY BRANDS, INC.</w:t>
      </w:r>
      <w:r>
        <w:rPr>
          <w:rFonts w:ascii="Times New Roman" w:cs="Times New Roman" w:eastAsia="Times New Roman" w:hAnsi="Times New Roman"/>
          <w:sz w:val="18"/>
          <w:szCs w:val="18"/>
          <w:color w:val="auto"/>
        </w:rPr>
        <w:t>, a Delaware corporation (the “Company”), and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trustee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its lawful corporate purposes, the Company has duly authorized the execution and delivery of this Indenture to provide for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of this Indenture; 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things necessary to make this Indenture a valid agreement of the Company, in accordance with its terms, have been done.</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 agreed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 for the equal and ratable benefit of the holders of Securities:</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 Definitions of Terms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the Trustee or an authenticating agent with respect to all or any of the series of Securities appointed by the Trustee pursuant to Section 2.10.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9" w:name="page90"/>
    <w:bookmarkEnd w:id="89"/>
    <w:p>
      <w:pPr>
        <w:ind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Tilray Brands, Inc., a corporation duly organized and existing under the laws of the State of Delaware, and, subject to the provisions of Article Ten, shall also include its successors and assigns.</w:t>
      </w:r>
    </w:p>
    <w:p>
      <w:pPr>
        <w:spacing w:after="0" w:line="15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 office at the date hereof is located at .</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7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6.01, continued for the period of time, if any, therein designated.</w:t>
      </w:r>
    </w:p>
    <w:p>
      <w:pPr>
        <w:spacing w:after="0" w:line="15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given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mailed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notify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sent</w:t>
      </w:r>
      <w:r>
        <w:rPr>
          <w:rFonts w:ascii="Times New Roman" w:cs="Times New Roman" w:eastAsia="Times New Roman" w:hAnsi="Times New Roman"/>
          <w:sz w:val="18"/>
          <w:szCs w:val="18"/>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17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hereof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ind w:right="8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ind w:right="3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any Officer. Each such certificate shall include the statements provided for in Section 13.07, if and to the extent required by the provisions thereof.</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7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Outstanding</w:t>
      </w:r>
      <w:r>
        <w:rPr>
          <w:rFonts w:ascii="Times New Roman" w:cs="Times New Roman" w:eastAsia="Times New Roman" w:hAnsi="Times New Roman"/>
          <w:sz w:val="17"/>
          <w:szCs w:val="17"/>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5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7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Securities Act of 1933, as amended.</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shall have the meanings as set forth in Section 2.05.</w:t>
      </w:r>
    </w:p>
    <w:p>
      <w:pPr>
        <w:spacing w:after="0" w:line="22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“U.S.A. Patriot Act” </w:t>
      </w:r>
      <w:r>
        <w:rPr>
          <w:rFonts w:ascii="Times New Roman" w:cs="Times New Roman" w:eastAsia="Times New Roman" w:hAnsi="Times New Roman"/>
          <w:sz w:val="18"/>
          <w:szCs w:val="18"/>
          <w:color w:val="auto"/>
        </w:rPr>
        <w:t>means the Uniting and Strengthening America by Providing Appropriate Tools Required to Intercept and Obstruct Terrorism Act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2001, Pub. L. 107-56, as amended and signed into law October 26, 2001.</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ISSUE, DESCRIPTION, TERMS, EXECUTION, REGISTRATION AND EXCHANGE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2.01 Designation and Terms of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8"/>
        <w:spacing w:after="0" w:line="261" w:lineRule="auto"/>
        <w:tabs>
          <w:tab w:leader="none" w:pos="255"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80" w:lineRule="exact"/>
        <w:rPr>
          <w:sz w:val="20"/>
          <w:szCs w:val="20"/>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225" w:lineRule="exact"/>
        <w:rPr>
          <w:rFonts w:ascii="Times New Roman" w:cs="Times New Roman" w:eastAsia="Times New Roman" w:hAnsi="Times New Roman"/>
          <w:sz w:val="18"/>
          <w:szCs w:val="18"/>
          <w:b w:val="1"/>
          <w:bCs w:val="1"/>
          <w:color w:val="auto"/>
        </w:rPr>
      </w:pPr>
    </w:p>
    <w:p>
      <w:pPr>
        <w:ind w:right="200" w:firstLine="8"/>
        <w:spacing w:after="0" w:line="282" w:lineRule="auto"/>
        <w:tabs>
          <w:tab w:leader="none" w:pos="255"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61"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maturity date or dates on which the principal of the Securities of the series is payable;</w:t>
      </w:r>
    </w:p>
    <w:p>
      <w:pPr>
        <w:spacing w:after="0" w:line="22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22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applicability of any guarantees;</w:t>
      </w:r>
    </w:p>
    <w:p>
      <w:pPr>
        <w:spacing w:after="0" w:line="22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or not the Securities will be secured or unsecured, and the terms of any secured debt;</w:t>
      </w:r>
    </w:p>
    <w:p>
      <w:pPr>
        <w:spacing w:after="0" w:line="22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Securities rank as senior debt, senior subordinated debt, subordinated debt or any combination thereof, and the terms of any subordination;</w:t>
      </w:r>
    </w:p>
    <w:p>
      <w:pPr>
        <w:spacing w:after="0" w:line="225" w:lineRule="exact"/>
        <w:rPr>
          <w:rFonts w:ascii="Times New Roman" w:cs="Times New Roman" w:eastAsia="Times New Roman" w:hAnsi="Times New Roman"/>
          <w:sz w:val="18"/>
          <w:szCs w:val="18"/>
          <w:b w:val="1"/>
          <w:bCs w:val="1"/>
          <w:color w:val="auto"/>
        </w:rPr>
      </w:pPr>
    </w:p>
    <w:p>
      <w:pPr>
        <w:ind w:right="140" w:firstLine="8"/>
        <w:spacing w:after="0" w:line="289" w:lineRule="auto"/>
        <w:tabs>
          <w:tab w:leader="none" w:pos="255"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2" w:name="page93"/>
    <w:bookmarkEnd w:id="92"/>
    <w:p>
      <w:pPr>
        <w:ind w:left="-8" w:right="420" w:firstLine="8"/>
        <w:spacing w:after="0" w:line="282" w:lineRule="auto"/>
        <w:tabs>
          <w:tab w:leader="none" w:pos="24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61"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right, if any, to defer the payment of interest and the maximum length of any such deferral period;</w:t>
      </w:r>
    </w:p>
    <w:p>
      <w:pPr>
        <w:spacing w:after="0" w:line="225" w:lineRule="exact"/>
        <w:rPr>
          <w:rFonts w:ascii="Times New Roman" w:cs="Times New Roman" w:eastAsia="Times New Roman" w:hAnsi="Times New Roman"/>
          <w:sz w:val="18"/>
          <w:szCs w:val="18"/>
          <w:b w:val="1"/>
          <w:bCs w:val="1"/>
          <w:color w:val="auto"/>
        </w:rPr>
      </w:pPr>
    </w:p>
    <w:p>
      <w:pPr>
        <w:ind w:left="-8" w:right="380" w:firstLine="8"/>
        <w:spacing w:after="0" w:line="282" w:lineRule="auto"/>
        <w:tabs>
          <w:tab w:leader="none" w:pos="32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161" w:lineRule="exact"/>
        <w:rPr>
          <w:rFonts w:ascii="Times New Roman" w:cs="Times New Roman" w:eastAsia="Times New Roman" w:hAnsi="Times New Roman"/>
          <w:sz w:val="18"/>
          <w:szCs w:val="18"/>
          <w:b w:val="1"/>
          <w:bCs w:val="1"/>
          <w:color w:val="auto"/>
        </w:rPr>
      </w:pPr>
    </w:p>
    <w:p>
      <w:pPr>
        <w:jc w:val="both"/>
        <w:ind w:left="-8" w:right="240" w:firstLine="8"/>
        <w:spacing w:after="0" w:line="266" w:lineRule="auto"/>
        <w:tabs>
          <w:tab w:leader="none" w:pos="33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175" w:lineRule="exact"/>
        <w:rPr>
          <w:rFonts w:ascii="Times New Roman" w:cs="Times New Roman" w:eastAsia="Times New Roman" w:hAnsi="Times New Roman"/>
          <w:sz w:val="18"/>
          <w:szCs w:val="18"/>
          <w:b w:val="1"/>
          <w:bCs w:val="1"/>
          <w:color w:val="auto"/>
        </w:rPr>
      </w:pPr>
    </w:p>
    <w:p>
      <w:pPr>
        <w:ind w:left="-8" w:right="380" w:firstLine="8"/>
        <w:spacing w:after="0" w:line="282" w:lineRule="auto"/>
        <w:tabs>
          <w:tab w:leader="none" w:pos="33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denominations in which the Securities of the series shall be issuable, if other than denominations of one thousand U.S. dollars ($1,000) or any integral multiple thereof;</w:t>
      </w:r>
    </w:p>
    <w:p>
      <w:pPr>
        <w:spacing w:after="0" w:line="161" w:lineRule="exact"/>
        <w:rPr>
          <w:rFonts w:ascii="Times New Roman" w:cs="Times New Roman" w:eastAsia="Times New Roman" w:hAnsi="Times New Roman"/>
          <w:sz w:val="18"/>
          <w:szCs w:val="18"/>
          <w:b w:val="1"/>
          <w:bCs w:val="1"/>
          <w:color w:val="auto"/>
        </w:rPr>
      </w:pPr>
    </w:p>
    <w:p>
      <w:pPr>
        <w:jc w:val="both"/>
        <w:ind w:left="-8" w:right="600" w:firstLine="8"/>
        <w:spacing w:after="0" w:line="282" w:lineRule="auto"/>
        <w:tabs>
          <w:tab w:leader="none" w:pos="33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161" w:lineRule="exact"/>
        <w:rPr>
          <w:rFonts w:ascii="Times New Roman" w:cs="Times New Roman" w:eastAsia="Times New Roman" w:hAnsi="Times New Roman"/>
          <w:sz w:val="18"/>
          <w:szCs w:val="18"/>
          <w:b w:val="1"/>
          <w:bCs w:val="1"/>
          <w:color w:val="auto"/>
        </w:rPr>
      </w:pPr>
    </w:p>
    <w:p>
      <w:pPr>
        <w:ind w:left="-8" w:right="200" w:firstLine="8"/>
        <w:spacing w:after="0" w:line="266" w:lineRule="auto"/>
        <w:tabs>
          <w:tab w:leader="none" w:pos="33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75" w:lineRule="exact"/>
        <w:rPr>
          <w:rFonts w:ascii="Times New Roman" w:cs="Times New Roman" w:eastAsia="Times New Roman" w:hAnsi="Times New Roman"/>
          <w:sz w:val="18"/>
          <w:szCs w:val="18"/>
          <w:b w:val="1"/>
          <w:bCs w:val="1"/>
          <w:color w:val="auto"/>
        </w:rPr>
      </w:pPr>
    </w:p>
    <w:p>
      <w:pPr>
        <w:ind w:left="-8" w:right="40" w:firstLine="8"/>
        <w:spacing w:after="0" w:line="281" w:lineRule="auto"/>
        <w:tabs>
          <w:tab w:leader="none" w:pos="337"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64" w:lineRule="exact"/>
        <w:rPr>
          <w:rFonts w:ascii="Times New Roman" w:cs="Times New Roman" w:eastAsia="Times New Roman" w:hAnsi="Times New Roman"/>
          <w:sz w:val="17"/>
          <w:szCs w:val="17"/>
          <w:b w:val="1"/>
          <w:bCs w:val="1"/>
          <w:color w:val="auto"/>
        </w:rPr>
      </w:pPr>
    </w:p>
    <w:p>
      <w:pPr>
        <w:ind w:left="-8" w:firstLine="8"/>
        <w:spacing w:after="0" w:line="282" w:lineRule="auto"/>
        <w:tabs>
          <w:tab w:leader="none" w:pos="33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161" w:lineRule="exact"/>
        <w:rPr>
          <w:rFonts w:ascii="Times New Roman" w:cs="Times New Roman" w:eastAsia="Times New Roman" w:hAnsi="Times New Roman"/>
          <w:sz w:val="18"/>
          <w:szCs w:val="18"/>
          <w:b w:val="1"/>
          <w:bCs w:val="1"/>
          <w:color w:val="auto"/>
        </w:rPr>
      </w:pPr>
    </w:p>
    <w:p>
      <w:pPr>
        <w:ind w:left="-8" w:right="140" w:firstLine="8"/>
        <w:spacing w:after="0" w:line="282" w:lineRule="auto"/>
        <w:tabs>
          <w:tab w:leader="none" w:pos="33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covenants applicable to the series of Securities being issued, including, among others, the consolidation, merger or sale covenant;</w:t>
      </w:r>
    </w:p>
    <w:p>
      <w:pPr>
        <w:spacing w:after="0" w:line="161" w:lineRule="exact"/>
        <w:rPr>
          <w:rFonts w:ascii="Times New Roman" w:cs="Times New Roman" w:eastAsia="Times New Roman" w:hAnsi="Times New Roman"/>
          <w:sz w:val="18"/>
          <w:szCs w:val="18"/>
          <w:b w:val="1"/>
          <w:bCs w:val="1"/>
          <w:color w:val="auto"/>
        </w:rPr>
      </w:pPr>
    </w:p>
    <w:p>
      <w:pPr>
        <w:ind w:left="-8" w:right="460" w:firstLine="8"/>
        <w:spacing w:after="0" w:line="282" w:lineRule="auto"/>
        <w:tabs>
          <w:tab w:leader="none" w:pos="33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161"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225"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provisions relating to satisfaction and discharge of this Indenture;</w:t>
      </w:r>
    </w:p>
    <w:p>
      <w:pPr>
        <w:spacing w:after="0" w:line="225" w:lineRule="exact"/>
        <w:rPr>
          <w:rFonts w:ascii="Times New Roman" w:cs="Times New Roman" w:eastAsia="Times New Roman" w:hAnsi="Times New Roman"/>
          <w:sz w:val="18"/>
          <w:szCs w:val="18"/>
          <w:b w:val="1"/>
          <w:bCs w:val="1"/>
          <w:color w:val="auto"/>
        </w:rPr>
      </w:pPr>
    </w:p>
    <w:p>
      <w:pPr>
        <w:ind w:left="-8" w:right="660" w:firstLine="8"/>
        <w:spacing w:after="0" w:line="282" w:lineRule="auto"/>
        <w:tabs>
          <w:tab w:leader="none" w:pos="33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to or changes in the provisions relating to the modification of this Indenture both with and without the consent of Securityholders of Securities issued under this Indenture;</w:t>
      </w:r>
    </w:p>
    <w:p>
      <w:pPr>
        <w:spacing w:after="0" w:line="161"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currency of payment of Securities if other than U.S. dollars and the manner of determining the equivalent amount in U.S. dollars;</w:t>
      </w:r>
    </w:p>
    <w:p>
      <w:pPr>
        <w:spacing w:after="0" w:line="225" w:lineRule="exact"/>
        <w:rPr>
          <w:rFonts w:ascii="Times New Roman" w:cs="Times New Roman" w:eastAsia="Times New Roman" w:hAnsi="Times New Roman"/>
          <w:sz w:val="18"/>
          <w:szCs w:val="18"/>
          <w:b w:val="1"/>
          <w:bCs w:val="1"/>
          <w:color w:val="auto"/>
        </w:rPr>
      </w:pPr>
    </w:p>
    <w:p>
      <w:pPr>
        <w:ind w:left="-8" w:right="280" w:firstLine="8"/>
        <w:spacing w:after="0" w:line="282" w:lineRule="auto"/>
        <w:tabs>
          <w:tab w:leader="none" w:pos="33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pacing w:after="0" w:line="33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1" w:right="359" w:bottom="1440" w:gutter="0" w:footer="0" w:header="0"/>
        </w:sectPr>
      </w:pPr>
    </w:p>
    <w:bookmarkStart w:id="93" w:name="page94"/>
    <w:bookmarkEnd w:id="93"/>
    <w:p>
      <w:pPr>
        <w:ind w:right="120" w:firstLine="8"/>
        <w:spacing w:after="0" w:line="282" w:lineRule="auto"/>
        <w:tabs>
          <w:tab w:leader="none" w:pos="34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6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restrictions on transfer, sale or assignment of the Securities of the series; and</w:t>
      </w:r>
    </w:p>
    <w:p>
      <w:pPr>
        <w:spacing w:after="0" w:line="225" w:lineRule="exact"/>
        <w:rPr>
          <w:rFonts w:ascii="Times New Roman" w:cs="Times New Roman" w:eastAsia="Times New Roman" w:hAnsi="Times New Roman"/>
          <w:sz w:val="18"/>
          <w:szCs w:val="18"/>
          <w:b w:val="1"/>
          <w:bCs w:val="1"/>
          <w:color w:val="auto"/>
        </w:rPr>
      </w:pPr>
    </w:p>
    <w:p>
      <w:pPr>
        <w:ind w:right="120" w:firstLine="8"/>
        <w:spacing w:after="0" w:line="282" w:lineRule="auto"/>
        <w:tabs>
          <w:tab w:leader="none" w:pos="34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2.02 Form of Securities and Trustee’s Certificate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Denominations: Provisions for Payment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ind w:firstLine="8"/>
        <w:spacing w:after="0" w:line="253" w:lineRule="auto"/>
        <w:tabs>
          <w:tab w:leader="none" w:pos="255"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187" w:lineRule="exact"/>
        <w:rPr>
          <w:rFonts w:ascii="Times New Roman" w:cs="Times New Roman" w:eastAsia="Times New Roman" w:hAnsi="Times New Roman"/>
          <w:sz w:val="18"/>
          <w:szCs w:val="18"/>
          <w:b w:val="1"/>
          <w:bCs w:val="1"/>
          <w:color w:val="auto"/>
        </w:rPr>
      </w:pPr>
    </w:p>
    <w:p>
      <w:pPr>
        <w:ind w:right="20" w:firstLine="8"/>
        <w:spacing w:after="0" w:line="266" w:lineRule="auto"/>
        <w:tabs>
          <w:tab w:leader="none" w:pos="255"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2.04 Execution and Authentications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Officers. Signatures may be in the form of a manual or facsimile signature.</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5" w:name="page96"/>
    <w:bookmarkEnd w:id="95"/>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2.05 Registration of Transfer and Exchange.</w:t>
      </w:r>
    </w:p>
    <w:p>
      <w:pPr>
        <w:spacing w:after="0" w:line="229" w:lineRule="exact"/>
        <w:rPr>
          <w:sz w:val="20"/>
          <w:szCs w:val="20"/>
          <w:color w:val="auto"/>
        </w:rPr>
      </w:pPr>
    </w:p>
    <w:p>
      <w:pPr>
        <w:ind w:firstLine="8"/>
        <w:spacing w:after="0" w:line="258" w:lineRule="auto"/>
        <w:tabs>
          <w:tab w:leader="none" w:pos="25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83" w:lineRule="exact"/>
        <w:rPr>
          <w:rFonts w:ascii="Times New Roman" w:cs="Times New Roman" w:eastAsia="Times New Roman" w:hAnsi="Times New Roman"/>
          <w:sz w:val="18"/>
          <w:szCs w:val="18"/>
          <w:b w:val="1"/>
          <w:bCs w:val="1"/>
          <w:color w:val="auto"/>
        </w:rPr>
      </w:pPr>
    </w:p>
    <w:p>
      <w:pPr>
        <w:ind w:right="280" w:firstLine="8"/>
        <w:spacing w:after="0" w:line="258" w:lineRule="auto"/>
        <w:tabs>
          <w:tab w:leader="none" w:pos="265"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initially appoints the Trustee as initial Security Registrar for each series of Securities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76" w:lineRule="exact"/>
        <w:rPr>
          <w:sz w:val="20"/>
          <w:szCs w:val="20"/>
          <w:color w:val="auto"/>
        </w:rPr>
      </w:pPr>
    </w:p>
    <w:p>
      <w:pPr>
        <w:ind w:right="240" w:firstLine="8"/>
        <w:spacing w:after="0" w:line="258" w:lineRule="auto"/>
        <w:tabs>
          <w:tab w:leader="none" w:pos="245"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83" w:lineRule="exact"/>
        <w:rPr>
          <w:rFonts w:ascii="Times New Roman" w:cs="Times New Roman" w:eastAsia="Times New Roman" w:hAnsi="Times New Roman"/>
          <w:sz w:val="18"/>
          <w:szCs w:val="18"/>
          <w:b w:val="1"/>
          <w:bCs w:val="1"/>
          <w:color w:val="auto"/>
        </w:rPr>
      </w:pPr>
    </w:p>
    <w:p>
      <w:pPr>
        <w:ind w:right="20" w:firstLine="8"/>
        <w:spacing w:after="0" w:line="256" w:lineRule="auto"/>
        <w:tabs>
          <w:tab w:leader="none" w:pos="265"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ind w:right="60"/>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2.06 Temporary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2.07 Mutilated, Destroyed, Lost or Stolen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8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Section 2.08 Cancellation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2.09 Benefits of Indenture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2.10 Authenticating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2.11 Global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8"/>
        <w:spacing w:after="0" w:line="255" w:lineRule="auto"/>
        <w:tabs>
          <w:tab w:leader="none" w:pos="255"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8" w:name="page99"/>
    <w:bookmarkEnd w:id="98"/>
    <w:p>
      <w:pPr>
        <w:ind w:right="80" w:firstLine="8"/>
        <w:spacing w:after="0" w:line="266" w:lineRule="auto"/>
        <w:tabs>
          <w:tab w:leader="none" w:pos="26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5" w:lineRule="exact"/>
        <w:rPr>
          <w:rFonts w:ascii="Times New Roman" w:cs="Times New Roman" w:eastAsia="Times New Roman" w:hAnsi="Times New Roman"/>
          <w:sz w:val="18"/>
          <w:szCs w:val="18"/>
          <w:b w:val="1"/>
          <w:bCs w:val="1"/>
          <w:color w:val="auto"/>
        </w:rPr>
      </w:pPr>
    </w:p>
    <w:p>
      <w:pPr>
        <w:ind w:firstLine="8"/>
        <w:spacing w:after="0" w:line="252" w:lineRule="auto"/>
        <w:tabs>
          <w:tab w:leader="none" w:pos="24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w:t>
      </w:r>
    </w:p>
    <w:p>
      <w:pPr>
        <w:spacing w:after="0" w:line="6" w:lineRule="exact"/>
        <w:rPr>
          <w:rFonts w:ascii="Times New Roman" w:cs="Times New Roman" w:eastAsia="Times New Roman" w:hAnsi="Times New Roman"/>
          <w:sz w:val="18"/>
          <w:szCs w:val="18"/>
          <w:b w:val="1"/>
          <w:bCs w:val="1"/>
          <w:color w:val="auto"/>
        </w:rPr>
      </w:pPr>
    </w:p>
    <w:p>
      <w:pPr>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2.12 CUSIP Numbers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3.01 Redemption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2.01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3.02 Notice of Redemption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8"/>
        <w:spacing w:after="0" w:line="270" w:lineRule="auto"/>
        <w:tabs>
          <w:tab w:leader="none" w:pos="255"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9" w:name="page100"/>
    <w:bookmarkEnd w:id="99"/>
    <w:p>
      <w:pPr>
        <w:ind w:right="160"/>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6" w:lineRule="exact"/>
        <w:rPr>
          <w:sz w:val="20"/>
          <w:szCs w:val="20"/>
          <w:color w:val="auto"/>
        </w:rPr>
      </w:pPr>
    </w:p>
    <w:p>
      <w:pPr>
        <w:ind w:right="20" w:firstLine="8"/>
        <w:spacing w:after="0" w:line="253" w:lineRule="auto"/>
        <w:tabs>
          <w:tab w:leader="none" w:pos="26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3.03 Payment Upon Redemption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8"/>
        <w:spacing w:after="0" w:line="254" w:lineRule="auto"/>
        <w:tabs>
          <w:tab w:leader="none" w:pos="255"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91" w:lineRule="exact"/>
        <w:rPr>
          <w:rFonts w:ascii="Times New Roman" w:cs="Times New Roman" w:eastAsia="Times New Roman" w:hAnsi="Times New Roman"/>
          <w:sz w:val="18"/>
          <w:szCs w:val="18"/>
          <w:b w:val="1"/>
          <w:bCs w:val="1"/>
          <w:color w:val="auto"/>
        </w:rPr>
      </w:pPr>
    </w:p>
    <w:p>
      <w:pPr>
        <w:ind w:right="120" w:firstLine="8"/>
        <w:spacing w:after="0" w:line="266" w:lineRule="auto"/>
        <w:tabs>
          <w:tab w:leader="none" w:pos="265"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Section 3.04 Sinking Fund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3.05 Satisfaction of Sinking Fund Payments with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3.06 Redemption of Securities for Sinking Fund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4.01 Payment of Principal, Premium and Interest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Section 4.02 Maintenance of Office or Agency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4.03 Paying Agents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8"/>
        <w:spacing w:after="0" w:line="282" w:lineRule="auto"/>
        <w:tabs>
          <w:tab w:leader="none" w:pos="255"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62" w:lineRule="exact"/>
        <w:rPr>
          <w:sz w:val="20"/>
          <w:szCs w:val="20"/>
          <w:color w:val="auto"/>
        </w:rPr>
      </w:pPr>
    </w:p>
    <w:p>
      <w:pPr>
        <w:ind w:right="160" w:firstLine="8"/>
        <w:spacing w:after="0" w:line="282" w:lineRule="auto"/>
        <w:tabs>
          <w:tab w:leader="none" w:pos="255"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61" w:lineRule="exact"/>
        <w:rPr>
          <w:rFonts w:ascii="Times New Roman" w:cs="Times New Roman" w:eastAsia="Times New Roman" w:hAnsi="Times New Roman"/>
          <w:sz w:val="18"/>
          <w:szCs w:val="18"/>
          <w:b w:val="1"/>
          <w:bCs w:val="1"/>
          <w:color w:val="auto"/>
        </w:rPr>
      </w:pPr>
    </w:p>
    <w:p>
      <w:pPr>
        <w:ind w:right="240" w:firstLine="8"/>
        <w:spacing w:after="0" w:line="282" w:lineRule="auto"/>
        <w:tabs>
          <w:tab w:leader="none" w:pos="255"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1" w:lineRule="exact"/>
        <w:rPr>
          <w:rFonts w:ascii="Times New Roman" w:cs="Times New Roman" w:eastAsia="Times New Roman" w:hAnsi="Times New Roman"/>
          <w:sz w:val="18"/>
          <w:szCs w:val="18"/>
          <w:b w:val="1"/>
          <w:bCs w:val="1"/>
          <w:color w:val="auto"/>
        </w:rPr>
      </w:pPr>
    </w:p>
    <w:p>
      <w:pPr>
        <w:ind w:right="20" w:firstLine="8"/>
        <w:spacing w:after="0" w:line="282" w:lineRule="auto"/>
        <w:tabs>
          <w:tab w:leader="none" w:pos="255"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1"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225" w:lineRule="exact"/>
        <w:rPr>
          <w:sz w:val="20"/>
          <w:szCs w:val="20"/>
          <w:color w:val="auto"/>
        </w:rPr>
      </w:pPr>
    </w:p>
    <w:p>
      <w:pPr>
        <w:ind w:right="20" w:firstLine="8"/>
        <w:spacing w:after="0" w:line="254" w:lineRule="auto"/>
        <w:tabs>
          <w:tab w:leader="none" w:pos="265"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91" w:lineRule="exact"/>
        <w:rPr>
          <w:rFonts w:ascii="Times New Roman" w:cs="Times New Roman" w:eastAsia="Times New Roman" w:hAnsi="Times New Roman"/>
          <w:sz w:val="18"/>
          <w:szCs w:val="18"/>
          <w:b w:val="1"/>
          <w:bCs w:val="1"/>
          <w:color w:val="auto"/>
        </w:rPr>
      </w:pPr>
    </w:p>
    <w:p>
      <w:pPr>
        <w:ind w:firstLine="8"/>
        <w:spacing w:after="0" w:line="258" w:lineRule="auto"/>
        <w:tabs>
          <w:tab w:leader="none" w:pos="245"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Section 4.04 Appointment to Fill Vacancy in Office of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 AND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5.01 Company to Furnish Trustee Names and Addresses of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5.02 Preservation Of Information; Communications With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20" w:firstLine="8"/>
        <w:spacing w:after="0" w:line="266" w:lineRule="auto"/>
        <w:tabs>
          <w:tab w:leader="none" w:pos="255"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7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225" w:lineRule="exact"/>
        <w:rPr>
          <w:rFonts w:ascii="Times New Roman" w:cs="Times New Roman" w:eastAsia="Times New Roman" w:hAnsi="Times New Roman"/>
          <w:sz w:val="18"/>
          <w:szCs w:val="18"/>
          <w:b w:val="1"/>
          <w:bCs w:val="1"/>
          <w:color w:val="auto"/>
        </w:rPr>
      </w:pPr>
    </w:p>
    <w:p>
      <w:pPr>
        <w:jc w:val="both"/>
        <w:ind w:firstLine="8"/>
        <w:spacing w:after="0" w:line="266" w:lineRule="auto"/>
        <w:tabs>
          <w:tab w:leader="none" w:pos="245"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5.03 Reports by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8"/>
        <w:spacing w:after="0" w:line="253" w:lineRule="auto"/>
        <w:tabs>
          <w:tab w:leader="none" w:pos="255"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ind w:right="60" w:firstLine="8"/>
        <w:spacing w:after="0" w:line="255" w:lineRule="auto"/>
        <w:tabs>
          <w:tab w:leader="none" w:pos="265"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5.04 Reports by the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0" w:firstLine="8"/>
        <w:spacing w:after="0" w:line="282" w:lineRule="auto"/>
        <w:tabs>
          <w:tab w:leader="none" w:pos="25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16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225" w:lineRule="exact"/>
        <w:rPr>
          <w:rFonts w:ascii="Times New Roman" w:cs="Times New Roman" w:eastAsia="Times New Roman" w:hAnsi="Times New Roman"/>
          <w:sz w:val="18"/>
          <w:szCs w:val="18"/>
          <w:b w:val="1"/>
          <w:bCs w:val="1"/>
          <w:color w:val="auto"/>
        </w:rPr>
      </w:pPr>
    </w:p>
    <w:p>
      <w:pPr>
        <w:ind w:right="140" w:firstLine="8"/>
        <w:spacing w:after="0" w:line="266" w:lineRule="auto"/>
        <w:tabs>
          <w:tab w:leader="none" w:pos="24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 EVENT OF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6.01 Events of Default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500" w:firstLine="8"/>
        <w:spacing w:after="0" w:line="282" w:lineRule="auto"/>
        <w:tabs>
          <w:tab w:leader="none" w:pos="255"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162" w:lineRule="exact"/>
        <w:rPr>
          <w:sz w:val="20"/>
          <w:szCs w:val="20"/>
          <w:color w:val="auto"/>
        </w:rPr>
      </w:pPr>
    </w:p>
    <w:p>
      <w:pPr>
        <w:ind w:firstLine="8"/>
        <w:spacing w:after="0" w:line="266" w:lineRule="auto"/>
        <w:tabs>
          <w:tab w:leader="none" w:pos="25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75" w:lineRule="exact"/>
        <w:rPr>
          <w:rFonts w:ascii="Times New Roman" w:cs="Times New Roman" w:eastAsia="Times New Roman" w:hAnsi="Times New Roman"/>
          <w:sz w:val="18"/>
          <w:szCs w:val="18"/>
          <w:b w:val="1"/>
          <w:bCs w:val="1"/>
          <w:color w:val="auto"/>
        </w:rPr>
      </w:pPr>
    </w:p>
    <w:p>
      <w:pPr>
        <w:ind w:right="60" w:firstLine="8"/>
        <w:spacing w:after="0" w:line="261" w:lineRule="auto"/>
        <w:tabs>
          <w:tab w:leader="none" w:pos="25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79" w:lineRule="exact"/>
        <w:rPr>
          <w:rFonts w:ascii="Times New Roman" w:cs="Times New Roman" w:eastAsia="Times New Roman" w:hAnsi="Times New Roman"/>
          <w:sz w:val="18"/>
          <w:szCs w:val="18"/>
          <w:b w:val="1"/>
          <w:bCs w:val="1"/>
          <w:color w:val="auto"/>
        </w:rPr>
      </w:pPr>
    </w:p>
    <w:p>
      <w:pPr>
        <w:ind w:right="60" w:firstLine="8"/>
        <w:spacing w:after="0" w:line="256" w:lineRule="auto"/>
        <w:tabs>
          <w:tab w:leader="none" w:pos="25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87" w:lineRule="exact"/>
        <w:rPr>
          <w:rFonts w:ascii="Times New Roman" w:cs="Times New Roman" w:eastAsia="Times New Roman" w:hAnsi="Times New Roman"/>
          <w:sz w:val="18"/>
          <w:szCs w:val="18"/>
          <w:b w:val="1"/>
          <w:bCs w:val="1"/>
          <w:color w:val="auto"/>
        </w:rPr>
      </w:pPr>
    </w:p>
    <w:p>
      <w:pPr>
        <w:ind w:right="80" w:firstLine="8"/>
        <w:spacing w:after="0" w:line="266" w:lineRule="auto"/>
        <w:tabs>
          <w:tab w:leader="none" w:pos="255"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ind w:right="520" w:firstLine="8"/>
        <w:spacing w:after="0" w:line="266" w:lineRule="auto"/>
        <w:tabs>
          <w:tab w:leader="none" w:pos="255"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76" w:lineRule="exact"/>
        <w:rPr>
          <w:sz w:val="20"/>
          <w:szCs w:val="20"/>
          <w:color w:val="auto"/>
        </w:rPr>
      </w:pPr>
    </w:p>
    <w:p>
      <w:pPr>
        <w:ind w:firstLine="8"/>
        <w:spacing w:after="0" w:line="255" w:lineRule="auto"/>
        <w:tabs>
          <w:tab w:leader="none" w:pos="265"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8" w:lineRule="exact"/>
        <w:rPr>
          <w:rFonts w:ascii="Times New Roman" w:cs="Times New Roman" w:eastAsia="Times New Roman" w:hAnsi="Times New Roman"/>
          <w:sz w:val="18"/>
          <w:szCs w:val="18"/>
          <w:b w:val="1"/>
          <w:bCs w:val="1"/>
          <w:color w:val="auto"/>
        </w:rPr>
      </w:pPr>
    </w:p>
    <w:p>
      <w:pPr>
        <w:ind w:right="60" w:firstLine="8"/>
        <w:spacing w:after="0" w:line="253" w:lineRule="auto"/>
        <w:tabs>
          <w:tab w:leader="none" w:pos="245"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ind w:right="80" w:firstLine="8"/>
        <w:spacing w:after="0" w:line="258" w:lineRule="auto"/>
        <w:tabs>
          <w:tab w:leader="none" w:pos="265"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6.02 Collection of Indebtedness and Suits for Enforcement by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8"/>
        <w:spacing w:after="0" w:line="254" w:lineRule="auto"/>
        <w:tabs>
          <w:tab w:leader="none" w:pos="255"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5" w:name="page106"/>
    <w:bookmarkEnd w:id="105"/>
    <w:p>
      <w:pPr>
        <w:ind w:right="140" w:firstLine="8"/>
        <w:spacing w:after="0" w:line="258" w:lineRule="auto"/>
        <w:tabs>
          <w:tab w:leader="none" w:pos="26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83" w:lineRule="exact"/>
        <w:rPr>
          <w:rFonts w:ascii="Times New Roman" w:cs="Times New Roman" w:eastAsia="Times New Roman" w:hAnsi="Times New Roman"/>
          <w:sz w:val="18"/>
          <w:szCs w:val="18"/>
          <w:b w:val="1"/>
          <w:bCs w:val="1"/>
          <w:color w:val="auto"/>
        </w:rPr>
      </w:pPr>
    </w:p>
    <w:p>
      <w:pPr>
        <w:ind w:right="180" w:firstLine="8"/>
        <w:spacing w:after="0" w:line="271" w:lineRule="auto"/>
        <w:tabs>
          <w:tab w:leader="none" w:pos="245"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73" w:lineRule="exact"/>
        <w:rPr>
          <w:rFonts w:ascii="Times New Roman" w:cs="Times New Roman" w:eastAsia="Times New Roman" w:hAnsi="Times New Roman"/>
          <w:sz w:val="17"/>
          <w:szCs w:val="17"/>
          <w:b w:val="1"/>
          <w:bCs w:val="1"/>
          <w:color w:val="auto"/>
        </w:rPr>
      </w:pPr>
    </w:p>
    <w:p>
      <w:pPr>
        <w:ind w:right="40" w:firstLine="8"/>
        <w:spacing w:after="0" w:line="261" w:lineRule="auto"/>
        <w:tabs>
          <w:tab w:leader="none" w:pos="26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6.03 Application of Moneys Collected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To the payment of costs and expenses of collection and of all amounts payable to the Trustee under Section 7.06;</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 or any other Person lawfully entitled thereto.</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Section 6.04 Limitation on Suits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6.05 Rights and Remedies Cumulative; Delay or Omission Not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40" w:firstLine="8"/>
        <w:spacing w:after="0" w:line="261" w:lineRule="auto"/>
        <w:tabs>
          <w:tab w:leader="none" w:pos="255"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9" w:lineRule="exact"/>
        <w:rPr>
          <w:rFonts w:ascii="Times New Roman" w:cs="Times New Roman" w:eastAsia="Times New Roman" w:hAnsi="Times New Roman"/>
          <w:sz w:val="18"/>
          <w:szCs w:val="18"/>
          <w:b w:val="1"/>
          <w:bCs w:val="1"/>
          <w:color w:val="auto"/>
        </w:rPr>
      </w:pPr>
    </w:p>
    <w:p>
      <w:pPr>
        <w:ind w:right="20" w:firstLine="8"/>
        <w:spacing w:after="0" w:line="261" w:lineRule="auto"/>
        <w:tabs>
          <w:tab w:leader="none" w:pos="265"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6.06 Control by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Section 6.07 Undertaking to Pay Costs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7.01 Certain Duties and Responsibilities of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8"/>
        <w:spacing w:after="0" w:line="256" w:lineRule="auto"/>
        <w:tabs>
          <w:tab w:leader="none" w:pos="255"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187" w:lineRule="exact"/>
        <w:rPr>
          <w:rFonts w:ascii="Times New Roman" w:cs="Times New Roman" w:eastAsia="Times New Roman" w:hAnsi="Times New Roman"/>
          <w:sz w:val="18"/>
          <w:szCs w:val="18"/>
          <w:b w:val="1"/>
          <w:bCs w:val="1"/>
          <w:color w:val="auto"/>
        </w:rPr>
      </w:pPr>
    </w:p>
    <w:p>
      <w:pPr>
        <w:ind w:right="120" w:firstLine="8"/>
        <w:spacing w:after="0" w:line="282" w:lineRule="auto"/>
        <w:tabs>
          <w:tab w:leader="none" w:pos="265"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2" w:lineRule="exact"/>
        <w:rPr>
          <w:sz w:val="20"/>
          <w:szCs w:val="20"/>
          <w:color w:val="auto"/>
        </w:rPr>
      </w:pPr>
    </w:p>
    <w:p>
      <w:pPr>
        <w:ind w:right="100" w:firstLine="8"/>
        <w:spacing w:after="0" w:line="282" w:lineRule="auto"/>
        <w:tabs>
          <w:tab w:leader="none" w:pos="21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62" w:lineRule="exact"/>
        <w:rPr>
          <w:sz w:val="20"/>
          <w:szCs w:val="20"/>
          <w:color w:val="auto"/>
        </w:rPr>
      </w:pPr>
    </w:p>
    <w:p>
      <w:pPr>
        <w:ind w:right="240" w:firstLine="8"/>
        <w:spacing w:after="0" w:line="266" w:lineRule="auto"/>
        <w:tabs>
          <w:tab w:leader="none" w:pos="295"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75" w:lineRule="exact"/>
        <w:rPr>
          <w:rFonts w:ascii="Times New Roman" w:cs="Times New Roman" w:eastAsia="Times New Roman" w:hAnsi="Times New Roman"/>
          <w:sz w:val="18"/>
          <w:szCs w:val="18"/>
          <w:b w:val="1"/>
          <w:bCs w:val="1"/>
          <w:color w:val="auto"/>
        </w:rPr>
      </w:pPr>
    </w:p>
    <w:p>
      <w:pPr>
        <w:ind w:firstLine="8"/>
        <w:spacing w:after="0" w:line="261" w:lineRule="auto"/>
        <w:tabs>
          <w:tab w:leader="none" w:pos="285"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ind w:right="300" w:firstLine="8"/>
        <w:spacing w:after="0" w:line="282" w:lineRule="auto"/>
        <w:tabs>
          <w:tab w:leader="none" w:pos="265"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161" w:lineRule="exact"/>
        <w:rPr>
          <w:rFonts w:ascii="Times New Roman" w:cs="Times New Roman" w:eastAsia="Times New Roman" w:hAnsi="Times New Roman"/>
          <w:sz w:val="18"/>
          <w:szCs w:val="18"/>
          <w:b w:val="1"/>
          <w:bCs w:val="1"/>
          <w:color w:val="auto"/>
        </w:rPr>
      </w:pPr>
    </w:p>
    <w:p>
      <w:pPr>
        <w:ind w:right="20" w:firstLine="8"/>
        <w:spacing w:after="0" w:line="261" w:lineRule="auto"/>
        <w:tabs>
          <w:tab w:leader="none" w:pos="315"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79" w:lineRule="exact"/>
        <w:rPr>
          <w:rFonts w:ascii="Times New Roman" w:cs="Times New Roman" w:eastAsia="Times New Roman" w:hAnsi="Times New Roman"/>
          <w:sz w:val="18"/>
          <w:szCs w:val="18"/>
          <w:b w:val="1"/>
          <w:bCs w:val="1"/>
          <w:color w:val="auto"/>
        </w:rPr>
      </w:pPr>
    </w:p>
    <w:p>
      <w:pPr>
        <w:jc w:val="both"/>
        <w:ind w:firstLine="8"/>
        <w:spacing w:after="0" w:line="289" w:lineRule="auto"/>
        <w:tabs>
          <w:tab w:leader="none" w:pos="305"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57" w:lineRule="exact"/>
        <w:rPr>
          <w:rFonts w:ascii="Times New Roman" w:cs="Times New Roman" w:eastAsia="Times New Roman" w:hAnsi="Times New Roman"/>
          <w:sz w:val="17"/>
          <w:szCs w:val="17"/>
          <w:b w:val="1"/>
          <w:bCs w:val="1"/>
          <w:color w:val="auto"/>
        </w:rPr>
      </w:pPr>
    </w:p>
    <w:p>
      <w:pPr>
        <w:ind w:left="260" w:hanging="252"/>
        <w:spacing w:after="0"/>
        <w:tabs>
          <w:tab w:leader="none" w:pos="2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or duties hereunder;</w:t>
      </w:r>
    </w:p>
    <w:p>
      <w:pPr>
        <w:spacing w:after="0" w:line="225"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permissive right of the Trustee to do things enumerated in this Indenture shall not be construed as a duty of the Trustee; and</w:t>
      </w:r>
    </w:p>
    <w:p>
      <w:pPr>
        <w:spacing w:after="0" w:line="225"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Trustee shall have any duty or responsibility for any act or omission of any other Trustee appointed with respect to a series of Securities hereunder.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7.02 Certain Rights of Trustee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225" w:lineRule="exact"/>
        <w:rPr>
          <w:sz w:val="20"/>
          <w:szCs w:val="20"/>
          <w:color w:val="auto"/>
        </w:rPr>
      </w:pPr>
    </w:p>
    <w:p>
      <w:pPr>
        <w:ind w:right="60" w:firstLine="8"/>
        <w:spacing w:after="0" w:line="266" w:lineRule="auto"/>
        <w:tabs>
          <w:tab w:leader="none" w:pos="255"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signed in the name of the Company by any authorized Officer of the Company (unless other evidence in respect thereof is specifically prescribed herein);</w:t>
      </w:r>
    </w:p>
    <w:p>
      <w:pPr>
        <w:spacing w:after="0" w:line="206" w:lineRule="exact"/>
        <w:rPr>
          <w:rFonts w:ascii="Times New Roman" w:cs="Times New Roman" w:eastAsia="Times New Roman" w:hAnsi="Times New Roman"/>
          <w:sz w:val="18"/>
          <w:szCs w:val="18"/>
          <w:b w:val="1"/>
          <w:bCs w:val="1"/>
          <w:color w:val="auto"/>
        </w:rPr>
      </w:pPr>
    </w:p>
    <w:p>
      <w:pPr>
        <w:ind w:right="500" w:firstLine="8"/>
        <w:spacing w:after="0" w:line="282" w:lineRule="auto"/>
        <w:tabs>
          <w:tab w:leader="none" w:pos="245"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161" w:lineRule="exact"/>
        <w:rPr>
          <w:rFonts w:ascii="Times New Roman" w:cs="Times New Roman" w:eastAsia="Times New Roman" w:hAnsi="Times New Roman"/>
          <w:sz w:val="18"/>
          <w:szCs w:val="18"/>
          <w:b w:val="1"/>
          <w:bCs w:val="1"/>
          <w:color w:val="auto"/>
        </w:rPr>
      </w:pPr>
    </w:p>
    <w:p>
      <w:pPr>
        <w:ind w:right="80" w:firstLine="8"/>
        <w:spacing w:after="0" w:line="256" w:lineRule="auto"/>
        <w:tabs>
          <w:tab w:leader="none" w:pos="265"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87" w:lineRule="exact"/>
        <w:rPr>
          <w:rFonts w:ascii="Times New Roman" w:cs="Times New Roman" w:eastAsia="Times New Roman" w:hAnsi="Times New Roman"/>
          <w:sz w:val="18"/>
          <w:szCs w:val="18"/>
          <w:b w:val="1"/>
          <w:bCs w:val="1"/>
          <w:color w:val="auto"/>
        </w:rPr>
      </w:pPr>
    </w:p>
    <w:p>
      <w:pPr>
        <w:ind w:right="100" w:firstLine="8"/>
        <w:spacing w:after="0" w:line="282" w:lineRule="auto"/>
        <w:tabs>
          <w:tab w:leader="none" w:pos="245"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ind w:left="240" w:hanging="232"/>
        <w:spacing w:after="0"/>
        <w:tabs>
          <w:tab w:leader="none" w:pos="2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w:t>
      </w:r>
    </w:p>
    <w:p>
      <w:pPr>
        <w:spacing w:after="0" w:line="27" w:lineRule="exact"/>
        <w:rPr>
          <w:rFonts w:ascii="Times New Roman" w:cs="Times New Roman" w:eastAsia="Times New Roman" w:hAnsi="Times New Roman"/>
          <w:sz w:val="18"/>
          <w:szCs w:val="18"/>
          <w:b w:val="1"/>
          <w:bCs w:val="1"/>
          <w:color w:val="auto"/>
        </w:rPr>
      </w:pPr>
    </w:p>
    <w:p>
      <w:pPr>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188" w:lineRule="exact"/>
        <w:rPr>
          <w:rFonts w:ascii="Times New Roman" w:cs="Times New Roman" w:eastAsia="Times New Roman" w:hAnsi="Times New Roman"/>
          <w:sz w:val="18"/>
          <w:szCs w:val="18"/>
          <w:b w:val="1"/>
          <w:bCs w:val="1"/>
          <w:color w:val="auto"/>
        </w:rPr>
      </w:pPr>
    </w:p>
    <w:p>
      <w:pPr>
        <w:ind w:right="60" w:firstLine="8"/>
        <w:spacing w:after="0" w:line="282" w:lineRule="auto"/>
        <w:tabs>
          <w:tab w:leader="none" w:pos="255"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61" w:lineRule="exact"/>
        <w:rPr>
          <w:rFonts w:ascii="Times New Roman" w:cs="Times New Roman" w:eastAsia="Times New Roman" w:hAnsi="Times New Roman"/>
          <w:sz w:val="18"/>
          <w:szCs w:val="18"/>
          <w:b w:val="1"/>
          <w:bCs w:val="1"/>
          <w:color w:val="auto"/>
        </w:rPr>
      </w:pPr>
    </w:p>
    <w:p>
      <w:pPr>
        <w:ind w:right="60" w:firstLine="8"/>
        <w:spacing w:after="0" w:line="258" w:lineRule="auto"/>
        <w:tabs>
          <w:tab w:leader="none" w:pos="265"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3" w:lineRule="exact"/>
        <w:rPr>
          <w:rFonts w:ascii="Times New Roman" w:cs="Times New Roman" w:eastAsia="Times New Roman" w:hAnsi="Times New Roman"/>
          <w:sz w:val="18"/>
          <w:szCs w:val="18"/>
          <w:b w:val="1"/>
          <w:bCs w:val="1"/>
          <w:color w:val="auto"/>
        </w:rPr>
      </w:pPr>
    </w:p>
    <w:p>
      <w:pPr>
        <w:ind w:right="20" w:firstLine="8"/>
        <w:spacing w:after="0" w:line="266" w:lineRule="auto"/>
        <w:tabs>
          <w:tab w:leader="none" w:pos="215"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175" w:lineRule="exact"/>
        <w:rPr>
          <w:rFonts w:ascii="Times New Roman" w:cs="Times New Roman" w:eastAsia="Times New Roman" w:hAnsi="Times New Roman"/>
          <w:sz w:val="18"/>
          <w:szCs w:val="18"/>
          <w:b w:val="1"/>
          <w:bCs w:val="1"/>
          <w:color w:val="auto"/>
        </w:rPr>
      </w:pPr>
    </w:p>
    <w:p>
      <w:pPr>
        <w:ind w:right="20" w:firstLine="8"/>
        <w:spacing w:after="0" w:line="253" w:lineRule="auto"/>
        <w:tabs>
          <w:tab w:leader="none" w:pos="225"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194" w:lineRule="exact"/>
        <w:rPr>
          <w:rFonts w:ascii="Times New Roman" w:cs="Times New Roman" w:eastAsia="Times New Roman" w:hAnsi="Times New Roman"/>
          <w:sz w:val="18"/>
          <w:szCs w:val="18"/>
          <w:b w:val="1"/>
          <w:bCs w:val="1"/>
          <w:color w:val="auto"/>
        </w:rPr>
      </w:pPr>
    </w:p>
    <w:p>
      <w:pPr>
        <w:ind w:right="20" w:firstLine="8"/>
        <w:spacing w:after="0" w:line="266" w:lineRule="auto"/>
        <w:tabs>
          <w:tab w:leader="none" w:pos="265"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w:t>
      </w:r>
    </w:p>
    <w:p>
      <w:pPr>
        <w:spacing w:after="0" w:line="175" w:lineRule="exact"/>
        <w:rPr>
          <w:rFonts w:ascii="Times New Roman" w:cs="Times New Roman" w:eastAsia="Times New Roman" w:hAnsi="Times New Roman"/>
          <w:sz w:val="18"/>
          <w:szCs w:val="18"/>
          <w:b w:val="1"/>
          <w:bCs w:val="1"/>
          <w:color w:val="auto"/>
        </w:rPr>
      </w:pPr>
    </w:p>
    <w:p>
      <w:pPr>
        <w:ind w:firstLine="8"/>
        <w:spacing w:after="0" w:line="266" w:lineRule="auto"/>
        <w:tabs>
          <w:tab w:leader="none" w:pos="215"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7.03 Trustee Not Responsible for Recitals or Issuance or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8"/>
        <w:spacing w:after="0" w:line="289" w:lineRule="auto"/>
        <w:tabs>
          <w:tab w:leader="none" w:pos="255"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0" w:name="page111"/>
    <w:bookmarkEnd w:id="110"/>
    <w:p>
      <w:pPr>
        <w:ind w:left="280" w:hanging="272"/>
        <w:spacing w:after="0"/>
        <w:tabs>
          <w:tab w:leader="none" w:pos="28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25" w:lineRule="exact"/>
        <w:rPr>
          <w:rFonts w:ascii="Times New Roman" w:cs="Times New Roman" w:eastAsia="Times New Roman" w:hAnsi="Times New Roman"/>
          <w:sz w:val="18"/>
          <w:szCs w:val="18"/>
          <w:b w:val="1"/>
          <w:bCs w:val="1"/>
          <w:color w:val="auto"/>
        </w:rPr>
      </w:pPr>
    </w:p>
    <w:p>
      <w:pPr>
        <w:ind w:right="60" w:firstLine="8"/>
        <w:spacing w:after="0" w:line="266" w:lineRule="auto"/>
        <w:tabs>
          <w:tab w:leader="none" w:pos="245"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7.04 May Hold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7.05 Moneys Held in Trust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7.06 Compensation and Reimbursement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120" w:firstLine="8"/>
        <w:spacing w:after="0" w:line="261" w:lineRule="auto"/>
        <w:tabs>
          <w:tab w:leader="none" w:pos="255"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79" w:lineRule="exact"/>
        <w:rPr>
          <w:rFonts w:ascii="Times New Roman" w:cs="Times New Roman" w:eastAsia="Times New Roman" w:hAnsi="Times New Roman"/>
          <w:sz w:val="18"/>
          <w:szCs w:val="18"/>
          <w:b w:val="1"/>
          <w:bCs w:val="1"/>
          <w:color w:val="auto"/>
        </w:rPr>
      </w:pPr>
    </w:p>
    <w:p>
      <w:pPr>
        <w:ind w:firstLine="8"/>
        <w:spacing w:after="0" w:line="255" w:lineRule="auto"/>
        <w:tabs>
          <w:tab w:leader="none" w:pos="265"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88" w:lineRule="exact"/>
        <w:rPr>
          <w:rFonts w:ascii="Times New Roman" w:cs="Times New Roman" w:eastAsia="Times New Roman" w:hAnsi="Times New Roman"/>
          <w:sz w:val="18"/>
          <w:szCs w:val="18"/>
          <w:b w:val="1"/>
          <w:bCs w:val="1"/>
          <w:color w:val="auto"/>
        </w:rPr>
      </w:pPr>
    </w:p>
    <w:p>
      <w:pPr>
        <w:ind w:right="220" w:firstLine="8"/>
        <w:spacing w:after="0" w:line="282" w:lineRule="auto"/>
        <w:tabs>
          <w:tab w:leader="none" w:pos="245"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need not reimburse any expense or indemnify against any loss or liability incurred by the Trustee or by any officer, director, employee, shareholder or agent of the Trustee through negligence or bad faith.</w:t>
      </w:r>
    </w:p>
    <w:p>
      <w:pPr>
        <w:spacing w:after="0" w:line="161" w:lineRule="exact"/>
        <w:rPr>
          <w:rFonts w:ascii="Times New Roman" w:cs="Times New Roman" w:eastAsia="Times New Roman" w:hAnsi="Times New Roman"/>
          <w:sz w:val="18"/>
          <w:szCs w:val="18"/>
          <w:b w:val="1"/>
          <w:bCs w:val="1"/>
          <w:color w:val="auto"/>
        </w:rPr>
      </w:pPr>
    </w:p>
    <w:p>
      <w:pPr>
        <w:ind w:right="60" w:firstLine="8"/>
        <w:spacing w:after="0" w:line="258" w:lineRule="auto"/>
        <w:tabs>
          <w:tab w:leader="none" w:pos="265"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Section 7.07 Reliance on Officer’s Certificate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7.08 Disqualification; Conflicting Interests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7.09 Corporate Trustee Required; Eligibility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7.10 Resignation and Removal; Appointment of Successor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8"/>
        <w:spacing w:after="0" w:line="254" w:lineRule="auto"/>
        <w:tabs>
          <w:tab w:leader="none" w:pos="255"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9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at any time any one of the following shall occur:</w:t>
      </w:r>
    </w:p>
    <w:p>
      <w:pPr>
        <w:spacing w:after="0" w:line="225" w:lineRule="exact"/>
        <w:rPr>
          <w:sz w:val="20"/>
          <w:szCs w:val="20"/>
          <w:color w:val="auto"/>
        </w:rPr>
      </w:pPr>
    </w:p>
    <w:p>
      <w:pPr>
        <w:ind w:firstLine="8"/>
        <w:spacing w:after="0" w:line="282" w:lineRule="auto"/>
        <w:tabs>
          <w:tab w:leader="none" w:pos="215"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61" w:lineRule="exact"/>
        <w:rPr>
          <w:rFonts w:ascii="Times New Roman" w:cs="Times New Roman" w:eastAsia="Times New Roman" w:hAnsi="Times New Roman"/>
          <w:sz w:val="18"/>
          <w:szCs w:val="18"/>
          <w:b w:val="1"/>
          <w:bCs w:val="1"/>
          <w:color w:val="auto"/>
        </w:rPr>
      </w:pPr>
    </w:p>
    <w:p>
      <w:pPr>
        <w:ind w:right="500" w:firstLine="8"/>
        <w:spacing w:after="0" w:line="282" w:lineRule="auto"/>
        <w:tabs>
          <w:tab w:leader="none" w:pos="265"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161" w:lineRule="exact"/>
        <w:rPr>
          <w:rFonts w:ascii="Times New Roman" w:cs="Times New Roman" w:eastAsia="Times New Roman" w:hAnsi="Times New Roman"/>
          <w:sz w:val="18"/>
          <w:szCs w:val="18"/>
          <w:b w:val="1"/>
          <w:bCs w:val="1"/>
          <w:color w:val="auto"/>
        </w:rPr>
      </w:pPr>
    </w:p>
    <w:p>
      <w:pPr>
        <w:ind w:right="460" w:firstLine="8"/>
        <w:spacing w:after="0" w:line="266" w:lineRule="auto"/>
        <w:tabs>
          <w:tab w:leader="none" w:pos="315"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2" w:name="page113"/>
    <w:bookmarkEnd w:id="112"/>
    <w:p>
      <w:pPr>
        <w:ind w:right="20"/>
        <w:spacing w:after="0" w:line="258" w:lineRule="auto"/>
        <w:rPr>
          <w:sz w:val="20"/>
          <w:szCs w:val="20"/>
          <w:color w:val="auto"/>
        </w:rPr>
      </w:pPr>
      <w:r>
        <w:rPr>
          <w:rFonts w:ascii="Times New Roman" w:cs="Times New Roman" w:eastAsia="Times New Roman" w:hAnsi="Times New Roman"/>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3" w:lineRule="exact"/>
        <w:rPr>
          <w:sz w:val="20"/>
          <w:szCs w:val="20"/>
          <w:color w:val="auto"/>
        </w:rPr>
      </w:pPr>
    </w:p>
    <w:p>
      <w:pPr>
        <w:ind w:right="80" w:firstLine="8"/>
        <w:spacing w:after="0" w:line="312" w:lineRule="auto"/>
        <w:tabs>
          <w:tab w:leader="none" w:pos="245"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39" w:lineRule="exact"/>
        <w:rPr>
          <w:rFonts w:ascii="Times New Roman" w:cs="Times New Roman" w:eastAsia="Times New Roman" w:hAnsi="Times New Roman"/>
          <w:sz w:val="17"/>
          <w:szCs w:val="17"/>
          <w:b w:val="1"/>
          <w:bCs w:val="1"/>
          <w:color w:val="auto"/>
        </w:rPr>
      </w:pPr>
    </w:p>
    <w:p>
      <w:pPr>
        <w:ind w:right="600" w:firstLine="8"/>
        <w:spacing w:after="0" w:line="282" w:lineRule="auto"/>
        <w:tabs>
          <w:tab w:leader="none" w:pos="265"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61" w:lineRule="exact"/>
        <w:rPr>
          <w:rFonts w:ascii="Times New Roman" w:cs="Times New Roman" w:eastAsia="Times New Roman" w:hAnsi="Times New Roman"/>
          <w:sz w:val="18"/>
          <w:szCs w:val="18"/>
          <w:b w:val="1"/>
          <w:bCs w:val="1"/>
          <w:color w:val="auto"/>
        </w:rPr>
      </w:pPr>
    </w:p>
    <w:p>
      <w:pPr>
        <w:ind w:right="120" w:firstLine="8"/>
        <w:spacing w:after="0" w:line="282" w:lineRule="auto"/>
        <w:tabs>
          <w:tab w:leader="none" w:pos="245"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7.11 Acceptance of Appointment By Successor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8"/>
        <w:spacing w:after="0" w:line="255" w:lineRule="auto"/>
        <w:tabs>
          <w:tab w:leader="none" w:pos="255"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8" w:lineRule="exact"/>
        <w:rPr>
          <w:rFonts w:ascii="Times New Roman" w:cs="Times New Roman" w:eastAsia="Times New Roman" w:hAnsi="Times New Roman"/>
          <w:sz w:val="18"/>
          <w:szCs w:val="18"/>
          <w:b w:val="1"/>
          <w:bCs w:val="1"/>
          <w:color w:val="auto"/>
        </w:rPr>
      </w:pPr>
    </w:p>
    <w:p>
      <w:pPr>
        <w:ind w:right="20" w:firstLine="8"/>
        <w:spacing w:after="0" w:line="252" w:lineRule="auto"/>
        <w:tabs>
          <w:tab w:leader="none" w:pos="265"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ind w:firstLine="8"/>
        <w:spacing w:after="0" w:line="282" w:lineRule="auto"/>
        <w:tabs>
          <w:tab w:leader="none" w:pos="245"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1" w:lineRule="exact"/>
        <w:rPr>
          <w:rFonts w:ascii="Times New Roman" w:cs="Times New Roman" w:eastAsia="Times New Roman" w:hAnsi="Times New Roman"/>
          <w:sz w:val="18"/>
          <w:szCs w:val="18"/>
          <w:b w:val="1"/>
          <w:bCs w:val="1"/>
          <w:color w:val="auto"/>
        </w:rPr>
      </w:pPr>
    </w:p>
    <w:p>
      <w:pPr>
        <w:ind w:right="140" w:firstLine="8"/>
        <w:spacing w:after="0" w:line="282" w:lineRule="auto"/>
        <w:tabs>
          <w:tab w:leader="none" w:pos="265"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1" w:lineRule="exact"/>
        <w:rPr>
          <w:rFonts w:ascii="Times New Roman" w:cs="Times New Roman" w:eastAsia="Times New Roman" w:hAnsi="Times New Roman"/>
          <w:sz w:val="18"/>
          <w:szCs w:val="18"/>
          <w:b w:val="1"/>
          <w:bCs w:val="1"/>
          <w:color w:val="auto"/>
        </w:rPr>
      </w:pPr>
    </w:p>
    <w:p>
      <w:pPr>
        <w:ind w:right="60" w:firstLine="8"/>
        <w:spacing w:after="0" w:line="266" w:lineRule="auto"/>
        <w:tabs>
          <w:tab w:leader="none" w:pos="245"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acceptance of appointment by a successor trustee as provided in this Section, the Company shall send notice of the succession of such trustee hereunder to the Securityholders. If the Company fails to transmit such notice within ten days after acceptance of appointment by the successor trustee, the successor trustee shall cause such notice to be transmitted at the expense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7.12 Merger, Conversion, Consolidation or Succession to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7.13 Preferential Collection of Claims Against the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7.14 Notice of Default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8.01 Evidence of Action by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4" w:name="page115"/>
    <w:bookmarkEnd w:id="114"/>
    <w:p>
      <w:pPr>
        <w:ind w:right="80"/>
        <w:spacing w:after="0" w:line="254"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8.02 Proof of Execution by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162" w:lineRule="exact"/>
        <w:rPr>
          <w:sz w:val="20"/>
          <w:szCs w:val="20"/>
          <w:color w:val="auto"/>
        </w:rPr>
      </w:pPr>
    </w:p>
    <w:p>
      <w:pPr>
        <w:ind w:left="260" w:hanging="252"/>
        <w:spacing w:after="0"/>
        <w:tabs>
          <w:tab w:leader="none" w:pos="2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 Trustee.</w:t>
      </w:r>
    </w:p>
    <w:p>
      <w:pPr>
        <w:spacing w:after="0" w:line="22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 thereof.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may require such additional proof of any matter referred to in this Section as it shall deem necessary.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8.03 Who May be Deemed Owners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8.04 Certain Securities Owned by Company Disregarded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Section 8.05 Actions Binding on Future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9.01 Supplemental Indentures Without the Consent of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76" w:lineRule="exact"/>
        <w:rPr>
          <w:sz w:val="20"/>
          <w:szCs w:val="20"/>
          <w:color w:val="auto"/>
        </w:rPr>
      </w:pPr>
    </w:p>
    <w:p>
      <w:pPr>
        <w:ind w:left="260" w:hanging="252"/>
        <w:spacing w:after="0"/>
        <w:tabs>
          <w:tab w:leader="none" w:pos="2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22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comply with Article Ten;</w:t>
      </w:r>
    </w:p>
    <w:p>
      <w:pPr>
        <w:spacing w:after="0" w:line="225"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b w:val="1"/>
          <w:bCs w:val="1"/>
          <w:color w:val="auto"/>
        </w:rPr>
      </w:pPr>
    </w:p>
    <w:p>
      <w:pPr>
        <w:ind w:firstLine="8"/>
        <w:spacing w:after="0" w:line="258" w:lineRule="auto"/>
        <w:tabs>
          <w:tab w:leader="none" w:pos="265"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83" w:lineRule="exact"/>
        <w:rPr>
          <w:rFonts w:ascii="Times New Roman" w:cs="Times New Roman" w:eastAsia="Times New Roman" w:hAnsi="Times New Roman"/>
          <w:sz w:val="18"/>
          <w:szCs w:val="18"/>
          <w:b w:val="1"/>
          <w:bCs w:val="1"/>
          <w:color w:val="auto"/>
        </w:rPr>
      </w:pPr>
    </w:p>
    <w:p>
      <w:pPr>
        <w:ind w:right="240" w:firstLine="8"/>
        <w:spacing w:after="0" w:line="282" w:lineRule="auto"/>
        <w:tabs>
          <w:tab w:leader="none" w:pos="245"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61"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225" w:lineRule="exact"/>
        <w:rPr>
          <w:rFonts w:ascii="Times New Roman" w:cs="Times New Roman" w:eastAsia="Times New Roman" w:hAnsi="Times New Roman"/>
          <w:sz w:val="18"/>
          <w:szCs w:val="18"/>
          <w:b w:val="1"/>
          <w:bCs w:val="1"/>
          <w:color w:val="auto"/>
        </w:rPr>
      </w:pPr>
    </w:p>
    <w:p>
      <w:pPr>
        <w:jc w:val="both"/>
        <w:ind w:right="20" w:firstLine="8"/>
        <w:spacing w:after="0" w:line="266" w:lineRule="auto"/>
        <w:tabs>
          <w:tab w:leader="none" w:pos="255"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75"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evidence and provide for the acceptance of appointment hereunder by a successor trustee; or</w:t>
      </w:r>
    </w:p>
    <w:p>
      <w:pPr>
        <w:spacing w:after="0" w:line="225" w:lineRule="exact"/>
        <w:rPr>
          <w:rFonts w:ascii="Times New Roman" w:cs="Times New Roman" w:eastAsia="Times New Roman" w:hAnsi="Times New Roman"/>
          <w:sz w:val="18"/>
          <w:szCs w:val="18"/>
          <w:b w:val="1"/>
          <w:bCs w:val="1"/>
          <w:color w:val="auto"/>
        </w:rPr>
      </w:pPr>
    </w:p>
    <w:p>
      <w:pPr>
        <w:ind w:right="260" w:firstLine="8"/>
        <w:spacing w:after="0" w:line="282" w:lineRule="auto"/>
        <w:tabs>
          <w:tab w:leader="none" w:pos="215"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 Trust Indenture Act.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6" w:name="page117"/>
    <w:bookmarkEnd w:id="116"/>
    <w:p>
      <w:pPr>
        <w:ind w:right="46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9.02 Supplemental Indentures With Consent of Securityholders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8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9.03 Effect of Supplemental Indentures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9.04 Securities Affected by Supplemental Indentures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9.05 Execution of Supplemental Indentures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10.01 Company May Consolidate, Etc.</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10.02 Successor Entity Substituted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8"/>
        <w:spacing w:after="0" w:line="258" w:lineRule="auto"/>
        <w:tabs>
          <w:tab w:leader="none" w:pos="255"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3" w:lineRule="exact"/>
        <w:rPr>
          <w:rFonts w:ascii="Times New Roman" w:cs="Times New Roman" w:eastAsia="Times New Roman" w:hAnsi="Times New Roman"/>
          <w:sz w:val="18"/>
          <w:szCs w:val="18"/>
          <w:b w:val="1"/>
          <w:bCs w:val="1"/>
          <w:color w:val="auto"/>
        </w:rPr>
      </w:pPr>
    </w:p>
    <w:p>
      <w:pPr>
        <w:ind w:right="140" w:firstLine="8"/>
        <w:spacing w:after="0" w:line="282" w:lineRule="auto"/>
        <w:tabs>
          <w:tab w:leader="none" w:pos="265"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b w:val="1"/>
          <w:bCs w:val="1"/>
          <w:color w:val="auto"/>
        </w:rPr>
      </w:pPr>
    </w:p>
    <w:p>
      <w:pPr>
        <w:ind w:right="260" w:firstLine="8"/>
        <w:spacing w:after="0" w:line="266" w:lineRule="auto"/>
        <w:tabs>
          <w:tab w:leader="none" w:pos="245"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11.01 Satisfaction and Discharge of Indenture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11.02 Discharge of 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 Sections 7.06 and 11.05 shall survive.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11.03 Deposited Moneys to be Held in Trust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11.04 Payment of Moneys Held by Paying Agents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Section 11.05 Repayment to 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 AND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12.01 No Recourse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13.01 Effect on Successors and Assigns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13.02 Actions by Successor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13.03 Surrender of Company Powers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Section 13.04 Notices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13.05 Governing Law; Jury Trial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Indenture and each Security shall be governed by, and construed in accordance with, the internal laws of the State of New York, except to the extent that the Trust Indenture Act is applicable.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13.06 Treatment of Securities as Debt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13.07 Certificates and Opinions as to Conditions Precedent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8"/>
        <w:spacing w:after="0" w:line="256" w:lineRule="auto"/>
        <w:tabs>
          <w:tab w:leader="none" w:pos="255"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7"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Indenture (other than the certificate to be delivered pursuant to Section 13.12 of this Indenture or Section 314(a)(1) of the Trust Indenture Act) shall include</w:t>
      </w:r>
    </w:p>
    <w:p>
      <w:pPr>
        <w:spacing w:after="0" w:line="9" w:lineRule="exact"/>
        <w:rPr>
          <w:rFonts w:ascii="Times New Roman" w:cs="Times New Roman" w:eastAsia="Times New Roman" w:hAnsi="Times New Roman"/>
          <w:sz w:val="18"/>
          <w:szCs w:val="18"/>
          <w:b w:val="1"/>
          <w:bCs w:val="1"/>
          <w:color w:val="auto"/>
        </w:rPr>
      </w:pPr>
    </w:p>
    <w:p>
      <w:pPr>
        <w:ind w:firstLine="8"/>
        <w:spacing w:after="0" w:line="253" w:lineRule="auto"/>
        <w:tabs>
          <w:tab w:leader="none" w:pos="2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13.08 Payments on Business Days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Section 13.09 Conflict with Trust Indenture Act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 318(c) of the Trust Indenture Act, such imposed duties shall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13.10 Counterparts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13.11 Separability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13.12 Compliance Certificates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13.13 U.S.A Patriot Act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13.14 Force Majeure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13.15 Table of Contents; Headings.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Indenture to be duly executed all as of the day and year first above written.</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Trustee</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3206115" cy="171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CROSS-REFERENCE TABLE (1)</w:t>
            </w:r>
          </w:p>
        </w:tc>
        <w:tc>
          <w:tcPr>
            <w:tcW w:w="13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10"/>
        </w:trPr>
        <w:tc>
          <w:tcPr>
            <w:tcW w:w="11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Section of</w:t>
            </w:r>
          </w:p>
        </w:tc>
      </w:tr>
      <w:tr>
        <w:trPr>
          <w:trHeight w:val="245"/>
        </w:trPr>
        <w:tc>
          <w:tcPr>
            <w:tcW w:w="648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Section of Trust Indenture Act of 1939, as Amended</w:t>
            </w:r>
          </w:p>
        </w:tc>
        <w:tc>
          <w:tcPr>
            <w:tcW w:w="1380" w:type="dxa"/>
            <w:vAlign w:val="bottom"/>
          </w:tcPr>
          <w:p>
            <w:pPr>
              <w:spacing w:after="0"/>
              <w:rPr>
                <w:sz w:val="21"/>
                <w:szCs w:val="21"/>
                <w:color w:val="auto"/>
              </w:rPr>
            </w:pPr>
          </w:p>
        </w:tc>
        <w:tc>
          <w:tcPr>
            <w:tcW w:w="226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Indenture</w:t>
            </w:r>
          </w:p>
        </w:tc>
      </w:tr>
      <w:tr>
        <w:trPr>
          <w:trHeight w:val="216"/>
        </w:trPr>
        <w:tc>
          <w:tcPr>
            <w:tcW w:w="114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310(a)</w:t>
            </w:r>
          </w:p>
        </w:tc>
        <w:tc>
          <w:tcPr>
            <w:tcW w:w="138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310(b)</w:t>
            </w: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114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310(c)</w:t>
            </w: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1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311(a)</w:t>
            </w:r>
          </w:p>
        </w:tc>
        <w:tc>
          <w:tcPr>
            <w:tcW w:w="36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311(b)</w:t>
            </w: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1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311(c)</w:t>
            </w:r>
          </w:p>
        </w:tc>
        <w:tc>
          <w:tcPr>
            <w:tcW w:w="36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114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5.02(a)</w:t>
            </w:r>
          </w:p>
        </w:tc>
      </w:tr>
      <w:tr>
        <w:trPr>
          <w:trHeight w:val="216"/>
        </w:trPr>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312(b)</w:t>
            </w: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5.02(c)</w:t>
            </w:r>
          </w:p>
        </w:tc>
      </w:tr>
      <w:tr>
        <w:trPr>
          <w:trHeight w:val="216"/>
        </w:trPr>
        <w:tc>
          <w:tcPr>
            <w:tcW w:w="1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312(c)</w:t>
            </w:r>
          </w:p>
        </w:tc>
        <w:tc>
          <w:tcPr>
            <w:tcW w:w="36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5.02(c)</w:t>
            </w:r>
          </w:p>
        </w:tc>
      </w:tr>
      <w:tr>
        <w:trPr>
          <w:trHeight w:val="216"/>
        </w:trPr>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5.04(a)</w:t>
            </w:r>
          </w:p>
        </w:tc>
      </w:tr>
      <w:tr>
        <w:trPr>
          <w:trHeight w:val="216"/>
        </w:trPr>
        <w:tc>
          <w:tcPr>
            <w:tcW w:w="1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313(b)</w:t>
            </w:r>
          </w:p>
        </w:tc>
        <w:tc>
          <w:tcPr>
            <w:tcW w:w="36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5.04(b)</w:t>
            </w:r>
          </w:p>
        </w:tc>
      </w:tr>
      <w:tr>
        <w:trPr>
          <w:trHeight w:val="216"/>
        </w:trPr>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313(c)</w:t>
            </w: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5.04(a)</w:t>
            </w:r>
          </w:p>
        </w:tc>
      </w:tr>
      <w:tr>
        <w:trPr>
          <w:trHeight w:val="216"/>
        </w:trPr>
        <w:tc>
          <w:tcPr>
            <w:tcW w:w="114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5.04(b)</w:t>
            </w:r>
          </w:p>
        </w:tc>
      </w:tr>
      <w:tr>
        <w:trPr>
          <w:trHeight w:val="216"/>
        </w:trPr>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313(d)</w:t>
            </w: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5.04(c)</w:t>
            </w:r>
          </w:p>
        </w:tc>
      </w:tr>
      <w:tr>
        <w:trPr>
          <w:trHeight w:val="216"/>
        </w:trPr>
        <w:tc>
          <w:tcPr>
            <w:tcW w:w="1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314(a)</w:t>
            </w:r>
          </w:p>
        </w:tc>
        <w:tc>
          <w:tcPr>
            <w:tcW w:w="36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11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13.12</w:t>
            </w:r>
          </w:p>
        </w:tc>
      </w:tr>
      <w:tr>
        <w:trPr>
          <w:trHeight w:val="216"/>
        </w:trPr>
        <w:tc>
          <w:tcPr>
            <w:tcW w:w="1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314(b)</w:t>
            </w:r>
          </w:p>
        </w:tc>
        <w:tc>
          <w:tcPr>
            <w:tcW w:w="36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314(c)</w:t>
            </w: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13.07(a)</w:t>
            </w:r>
          </w:p>
        </w:tc>
      </w:tr>
      <w:tr>
        <w:trPr>
          <w:trHeight w:val="216"/>
        </w:trPr>
        <w:tc>
          <w:tcPr>
            <w:tcW w:w="1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314(d)</w:t>
            </w:r>
          </w:p>
        </w:tc>
        <w:tc>
          <w:tcPr>
            <w:tcW w:w="36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314(e)</w:t>
            </w: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13.07(b)</w:t>
            </w:r>
          </w:p>
        </w:tc>
      </w:tr>
      <w:tr>
        <w:trPr>
          <w:trHeight w:val="216"/>
        </w:trPr>
        <w:tc>
          <w:tcPr>
            <w:tcW w:w="1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314(f)</w:t>
            </w:r>
          </w:p>
        </w:tc>
        <w:tc>
          <w:tcPr>
            <w:tcW w:w="36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7.01(a)</w:t>
            </w:r>
          </w:p>
        </w:tc>
      </w:tr>
      <w:tr>
        <w:trPr>
          <w:trHeight w:val="216"/>
        </w:trPr>
        <w:tc>
          <w:tcPr>
            <w:tcW w:w="114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7.01(b)</w:t>
            </w:r>
          </w:p>
        </w:tc>
      </w:tr>
      <w:tr>
        <w:trPr>
          <w:trHeight w:val="216"/>
        </w:trPr>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315(b)</w:t>
            </w: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1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315(c)</w:t>
            </w:r>
          </w:p>
        </w:tc>
        <w:tc>
          <w:tcPr>
            <w:tcW w:w="36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315(d)</w:t>
            </w: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7.01(b)</w:t>
            </w:r>
          </w:p>
        </w:tc>
      </w:tr>
      <w:tr>
        <w:trPr>
          <w:trHeight w:val="216"/>
        </w:trPr>
        <w:tc>
          <w:tcPr>
            <w:tcW w:w="1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315(e)</w:t>
            </w:r>
          </w:p>
        </w:tc>
        <w:tc>
          <w:tcPr>
            <w:tcW w:w="36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316(a)</w:t>
            </w: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114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316(b)</w:t>
            </w: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1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316(c)</w:t>
            </w:r>
          </w:p>
        </w:tc>
        <w:tc>
          <w:tcPr>
            <w:tcW w:w="36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11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317(a)</w:t>
            </w: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114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317(b)</w:t>
            </w:r>
          </w:p>
        </w:tc>
        <w:tc>
          <w:tcPr>
            <w:tcW w:w="36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4.03</w:t>
            </w:r>
          </w:p>
        </w:tc>
      </w:tr>
      <w:tr>
        <w:trPr>
          <w:trHeight w:val="234"/>
        </w:trPr>
        <w:tc>
          <w:tcPr>
            <w:tcW w:w="114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318(a)</w:t>
            </w:r>
          </w:p>
        </w:tc>
        <w:tc>
          <w:tcPr>
            <w:tcW w:w="36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13.09</w:t>
            </w:r>
          </w:p>
        </w:tc>
      </w:tr>
    </w:tbl>
    <w:p>
      <w:pPr>
        <w:spacing w:after="0" w:line="179" w:lineRule="exact"/>
        <w:rPr>
          <w:sz w:val="20"/>
          <w:szCs w:val="20"/>
          <w:color w:val="auto"/>
        </w:rPr>
      </w:pPr>
    </w:p>
    <w:p>
      <w:pPr>
        <w:ind w:left="500" w:hanging="492"/>
        <w:spacing w:after="0" w:line="282" w:lineRule="auto"/>
        <w:tabs>
          <w:tab w:leader="none" w:pos="5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37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7" w:right="85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AS WARRANT AGENT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 FORM OF COMMON STOCK WARRANT AGREEMENT</w:t>
      </w:r>
    </w:p>
    <w:p>
      <w:pPr>
        <w:spacing w:after="0" w:line="2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COMMON STOCK WARRANT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 between</w:t>
      </w:r>
      <w:r>
        <w:rPr>
          <w:rFonts w:ascii="Times New Roman" w:cs="Times New Roman" w:eastAsia="Times New Roman" w:hAnsi="Times New Roman"/>
          <w:sz w:val="18"/>
          <w:szCs w:val="18"/>
          <w:b w:val="1"/>
          <w:bCs w:val="1"/>
          <w:color w:val="auto"/>
        </w:rPr>
        <w:t xml:space="preserve"> TILRAY BRANDS, INC.</w:t>
      </w:r>
      <w:r>
        <w:rPr>
          <w:rFonts w:ascii="Times New Roman" w:cs="Times New Roman" w:eastAsia="Times New Roman" w:hAnsi="Times New Roman"/>
          <w:sz w:val="18"/>
          <w:szCs w:val="18"/>
          <w:color w:val="auto"/>
        </w:rPr>
        <w:t>,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proposes to sell [If Warrants are sold with other securities -[title of such other securities being offered] (the “</w:t>
      </w:r>
      <w:r>
        <w:rPr>
          <w:rFonts w:ascii="Times New Roman" w:cs="Times New Roman" w:eastAsia="Times New Roman" w:hAnsi="Times New Roman"/>
          <w:sz w:val="18"/>
          <w:szCs w:val="18"/>
          <w:b w:val="1"/>
          <w:bCs w:val="1"/>
          <w:i w:val="1"/>
          <w:iCs w:val="1"/>
          <w:color w:val="auto"/>
        </w:rPr>
        <w:t>Other 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warrant certificates evidencing one or more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or, individually, a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representing the right to purchase common stock of the Company,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with the shares of Common Stock issuable upon exercise of the Warrants being referred to herein as the “</w:t>
      </w:r>
      <w:r>
        <w:rPr>
          <w:rFonts w:ascii="Times New Roman" w:cs="Times New Roman" w:eastAsia="Times New Roman" w:hAnsi="Times New Roman"/>
          <w:sz w:val="18"/>
          <w:szCs w:val="18"/>
          <w:b w:val="1"/>
          <w:bCs w:val="1"/>
          <w:i w:val="1"/>
          <w:iCs w:val="1"/>
          <w:color w:val="auto"/>
        </w:rPr>
        <w:t>Warrant Securities</w:t>
      </w:r>
      <w:r>
        <w:rPr>
          <w:rFonts w:ascii="Times New Roman" w:cs="Times New Roman" w:eastAsia="Times New Roman" w:hAnsi="Times New Roman"/>
          <w:sz w:val="18"/>
          <w:szCs w:val="18"/>
          <w:color w:val="auto"/>
        </w:rPr>
        <w:t>”), such warrant certificates and other warrant certificates issued pursuant to this Agreement being herein called the “</w:t>
      </w:r>
      <w:r>
        <w:rPr>
          <w:rFonts w:ascii="Times New Roman" w:cs="Times New Roman" w:eastAsia="Times New Roman" w:hAnsi="Times New Roman"/>
          <w:sz w:val="18"/>
          <w:szCs w:val="18"/>
          <w:b w:val="1"/>
          <w:bCs w:val="1"/>
          <w:i w:val="1"/>
          <w:iCs w:val="1"/>
          <w:color w:val="auto"/>
        </w:rPr>
        <w:t>Warrant Certificates</w:t>
      </w:r>
      <w:r>
        <w:rPr>
          <w:rFonts w:ascii="Times New Roman" w:cs="Times New Roman" w:eastAsia="Times New Roman" w:hAnsi="Times New Roman"/>
          <w:sz w:val="18"/>
          <w:szCs w:val="18"/>
          <w:color w:val="auto"/>
        </w:rPr>
        <w:t>”; and</w:t>
      </w:r>
    </w:p>
    <w:p>
      <w:pPr>
        <w:spacing w:after="0" w:line="17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desires the Warrant Agent to act on behalf of the Company, and the Warrant Agent is willing so to act,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premises and of the mutual agreements herein contained, the parties hereto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ISSUANCE OF WARRANTS AND EXECUTION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WARRANT CERTIFICATES</w:t>
      </w:r>
    </w:p>
    <w:p>
      <w:pPr>
        <w:spacing w:after="0" w:line="20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 Issuance of 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If Warrants alone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issuance, each Warrant Certificate shall evidence one or more Warrants.] [</w:t>
      </w:r>
      <w:r>
        <w:rPr>
          <w:rFonts w:ascii="Times New Roman" w:cs="Times New Roman" w:eastAsia="Times New Roman" w:hAnsi="Times New Roman"/>
          <w:sz w:val="18"/>
          <w:szCs w:val="18"/>
          <w:b w:val="1"/>
          <w:bCs w:val="1"/>
          <w:i w:val="1"/>
          <w:iCs w:val="1"/>
          <w:color w:val="auto"/>
        </w:rPr>
        <w:t>If Other Securities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-Warrant Certificates will be issued in connection with the issuance of the Other Securities but shall be separately transferable and each Warrant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shall evidence one or more Warrants.] Each Warrant evidenced thereby shall represent the right, subject to the provisions contained herein and therein, to purchase one Warrant Security. [</w:t>
      </w:r>
      <w:r>
        <w:rPr>
          <w:rFonts w:ascii="Times New Roman" w:cs="Times New Roman" w:eastAsia="Times New Roman" w:hAnsi="Times New Roman"/>
          <w:sz w:val="18"/>
          <w:szCs w:val="18"/>
          <w:b w:val="1"/>
          <w:bCs w:val="1"/>
          <w:i w:val="1"/>
          <w:iCs w:val="1"/>
          <w:color w:val="auto"/>
        </w:rPr>
        <w:t>If Other Securities and Warrants</w:t>
      </w:r>
      <w:r>
        <w:rPr>
          <w:rFonts w:ascii="Times New Roman" w:cs="Times New Roman" w:eastAsia="Times New Roman" w:hAnsi="Times New Roman"/>
          <w:sz w:val="18"/>
          <w:szCs w:val="18"/>
          <w:color w:val="auto"/>
        </w:rPr>
        <w:t xml:space="preserve"> -Warrant Certificates will be issued with the Other Securities and each Warrant Certificate will evidence [●] Warrants for each [$[●] principal amount] [[●] shares] of Other Securities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25" w:name="page126"/>
    <w:bookmarkEnd w:id="125"/>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 Execution and Delivery of Warrant Certificates. </w:t>
      </w:r>
      <w:r>
        <w:rPr>
          <w:rFonts w:ascii="Times New Roman" w:cs="Times New Roman" w:eastAsia="Times New Roman" w:hAnsi="Times New Roman"/>
          <w:sz w:val="18"/>
          <w:szCs w:val="18"/>
          <w:color w:val="auto"/>
        </w:rPr>
        <w:t>Each Warrant Certificate, whenever issued, shall be in registered form substantially in the form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holder of a Warrant Certificate</w:t>
      </w:r>
      <w:r>
        <w:rPr>
          <w:rFonts w:ascii="Times New Roman" w:cs="Times New Roman" w:eastAsia="Times New Roman" w:hAnsi="Times New Roman"/>
          <w:sz w:val="18"/>
          <w:szCs w:val="18"/>
          <w:color w:val="auto"/>
        </w:rPr>
        <w:t>” as used herein shall mean any person in whose name at the time any Warrant Certificate shall be registered upon the books to be maintained by the Warrant Agent for that purpose.</w:t>
      </w:r>
    </w:p>
    <w:p>
      <w:pPr>
        <w:spacing w:after="0" w:line="15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 Issuance of Warrant Certificates. </w:t>
      </w:r>
      <w:r>
        <w:rPr>
          <w:rFonts w:ascii="Times New Roman" w:cs="Times New Roman" w:eastAsia="Times New Roman" w:hAnsi="Times New Roman"/>
          <w:sz w:val="18"/>
          <w:szCs w:val="18"/>
          <w:color w:val="auto"/>
        </w:rPr>
        <w:t>Warrant Certificates evidencing the right to purchase Warrant Securities may be executed by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 PRICE, DURATION AND EXERCISE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2.1 Warrant Price. </w:t>
      </w:r>
      <w:r>
        <w:rPr>
          <w:rFonts w:ascii="Times New Roman" w:cs="Times New Roman" w:eastAsia="Times New Roman" w:hAnsi="Times New Roman"/>
          <w:sz w:val="18"/>
          <w:szCs w:val="18"/>
          <w:color w:val="auto"/>
        </w:rPr>
        <w:t>During the period specified in Section 2.2, each Warrant shall, subject to the terms of this Agreement and the applicable Warrant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entitle the holder thereof to purchase the number of Warrant Securities specified in the applicable Warrant Certificate at an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per Warrant Security, subject to adjustment upon the occurrence of certain events, as hereinafter provided. Such purchase price per Warrant Security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in this Agreement as the “</w:t>
      </w:r>
      <w:r>
        <w:rPr>
          <w:rFonts w:ascii="Times New Roman" w:cs="Times New Roman" w:eastAsia="Times New Roman" w:hAnsi="Times New Roman"/>
          <w:sz w:val="18"/>
          <w:szCs w:val="18"/>
          <w:b w:val="1"/>
          <w:bCs w:val="1"/>
          <w:i w:val="1"/>
          <w:iCs w:val="1"/>
          <w:color w:val="auto"/>
        </w:rPr>
        <w:t>Warrant Price.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2.2 Duration of Warrants. </w:t>
      </w:r>
      <w:r>
        <w:rPr>
          <w:rFonts w:ascii="Times New Roman" w:cs="Times New Roman" w:eastAsia="Times New Roman" w:hAnsi="Times New Roman"/>
          <w:sz w:val="18"/>
          <w:szCs w:val="18"/>
          <w:color w:val="auto"/>
        </w:rPr>
        <w:t>Each Warrant may be exercised in whole or in part at any time, as specified herein, on or after [the date thereof] [●] and at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Each Warrant not exercised at or before [●] p.m., [City] time, on the Expiration Date shall become void, and all rights of the holder of the Warrant Certificate evidencing such Warrant under this Agreement shall cease.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2.3 Exercise of Warrants.</w:t>
      </w:r>
    </w:p>
    <w:p>
      <w:pPr>
        <w:spacing w:after="0" w:line="229" w:lineRule="exact"/>
        <w:rPr>
          <w:sz w:val="20"/>
          <w:szCs w:val="20"/>
          <w:color w:val="auto"/>
        </w:rPr>
      </w:pPr>
    </w:p>
    <w:p>
      <w:pPr>
        <w:ind w:firstLine="8"/>
        <w:spacing w:after="0" w:line="252" w:lineRule="auto"/>
        <w:tabs>
          <w:tab w:leader="none" w:pos="255"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93" w:lineRule="exact"/>
        <w:rPr>
          <w:rFonts w:ascii="Times New Roman" w:cs="Times New Roman" w:eastAsia="Times New Roman" w:hAnsi="Times New Roman"/>
          <w:sz w:val="18"/>
          <w:szCs w:val="18"/>
          <w:b w:val="1"/>
          <w:bCs w:val="1"/>
          <w:color w:val="auto"/>
        </w:rPr>
      </w:pPr>
    </w:p>
    <w:p>
      <w:pPr>
        <w:jc w:val="both"/>
        <w:ind w:right="120" w:firstLine="8"/>
        <w:spacing w:after="0" w:line="261" w:lineRule="auto"/>
        <w:tabs>
          <w:tab w:leader="none" w:pos="265"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79" w:lineRule="exact"/>
        <w:rPr>
          <w:rFonts w:ascii="Times New Roman" w:cs="Times New Roman" w:eastAsia="Times New Roman" w:hAnsi="Times New Roman"/>
          <w:sz w:val="18"/>
          <w:szCs w:val="18"/>
          <w:b w:val="1"/>
          <w:bCs w:val="1"/>
          <w:color w:val="auto"/>
        </w:rPr>
      </w:pPr>
    </w:p>
    <w:p>
      <w:pPr>
        <w:ind w:right="160" w:firstLine="8"/>
        <w:spacing w:after="0" w:line="258" w:lineRule="auto"/>
        <w:tabs>
          <w:tab w:leader="none" w:pos="245"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83" w:lineRule="exact"/>
        <w:rPr>
          <w:rFonts w:ascii="Times New Roman" w:cs="Times New Roman" w:eastAsia="Times New Roman" w:hAnsi="Times New Roman"/>
          <w:sz w:val="18"/>
          <w:szCs w:val="18"/>
          <w:b w:val="1"/>
          <w:bCs w:val="1"/>
          <w:color w:val="auto"/>
        </w:rPr>
      </w:pPr>
    </w:p>
    <w:p>
      <w:pPr>
        <w:ind w:right="20" w:firstLine="8"/>
        <w:spacing w:after="0" w:line="261" w:lineRule="auto"/>
        <w:tabs>
          <w:tab w:leader="none" w:pos="265"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79" w:lineRule="exact"/>
        <w:rPr>
          <w:rFonts w:ascii="Times New Roman" w:cs="Times New Roman" w:eastAsia="Times New Roman" w:hAnsi="Times New Roman"/>
          <w:sz w:val="18"/>
          <w:szCs w:val="18"/>
          <w:b w:val="1"/>
          <w:bCs w:val="1"/>
          <w:color w:val="auto"/>
        </w:rPr>
      </w:pPr>
    </w:p>
    <w:p>
      <w:pPr>
        <w:ind w:right="120" w:firstLine="8"/>
        <w:spacing w:after="0" w:line="282" w:lineRule="auto"/>
        <w:tabs>
          <w:tab w:leader="none" w:pos="245"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PROVISIONS RELATING TO RIGHTS OF HOLDERS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 CERTIFICATES</w:t>
      </w:r>
    </w:p>
    <w:p>
      <w:pPr>
        <w:spacing w:after="0" w:line="20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 No Rights as Warrant Securityholder Conferred by Warrants or Warrant Certificates. </w:t>
      </w:r>
      <w:r>
        <w:rPr>
          <w:rFonts w:ascii="Times New Roman" w:cs="Times New Roman" w:eastAsia="Times New Roman" w:hAnsi="Times New Roman"/>
          <w:sz w:val="18"/>
          <w:szCs w:val="18"/>
          <w:color w:val="auto"/>
        </w:rPr>
        <w:t>No Warrant Certificate or Warrant evidenced thereby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3.2 Lost, Stolen, Mutilated or Destroyed Warrant Certificates. </w:t>
      </w:r>
      <w:r>
        <w:rPr>
          <w:rFonts w:ascii="Times New Roman" w:cs="Times New Roman" w:eastAsia="Times New Roman" w:hAnsi="Times New Roman"/>
          <w:sz w:val="18"/>
          <w:szCs w:val="18"/>
          <w:color w:val="auto"/>
        </w:rPr>
        <w:t>Upon receipt by the Warrant Agent of evidence reasonably satisfactory to it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 Holder of Warrant Certificate May Enforce Rights. </w:t>
      </w:r>
      <w:r>
        <w:rPr>
          <w:rFonts w:ascii="Times New Roman" w:cs="Times New Roman" w:eastAsia="Times New Roman" w:hAnsi="Times New Roman"/>
          <w:sz w:val="18"/>
          <w:szCs w:val="18"/>
          <w:color w:val="auto"/>
        </w:rPr>
        <w:t>Notwithstanding any of the provisions of this Agreement, any holder of a Warrant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 Adjustments.</w:t>
      </w:r>
    </w:p>
    <w:p>
      <w:pPr>
        <w:spacing w:after="0" w:line="229" w:lineRule="exact"/>
        <w:rPr>
          <w:sz w:val="20"/>
          <w:szCs w:val="20"/>
          <w:color w:val="auto"/>
        </w:rPr>
      </w:pPr>
    </w:p>
    <w:p>
      <w:pPr>
        <w:ind w:right="260" w:firstLine="8"/>
        <w:spacing w:after="0" w:line="258" w:lineRule="auto"/>
        <w:tabs>
          <w:tab w:leader="none" w:pos="255"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the Company shall at any time subdivide its outstanding shares of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183" w:lineRule="exact"/>
        <w:rPr>
          <w:rFonts w:ascii="Times New Roman" w:cs="Times New Roman" w:eastAsia="Times New Roman" w:hAnsi="Times New Roman"/>
          <w:sz w:val="18"/>
          <w:szCs w:val="18"/>
          <w:b w:val="1"/>
          <w:bCs w:val="1"/>
          <w:color w:val="auto"/>
        </w:rPr>
      </w:pPr>
    </w:p>
    <w:p>
      <w:pPr>
        <w:ind w:right="180" w:firstLine="8"/>
        <w:spacing w:after="0" w:line="282" w:lineRule="auto"/>
        <w:tabs>
          <w:tab w:leader="none" w:pos="265"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or from time to time the holders of Common Stock (or any shares of stock or other securities at the time receivable upon the exercise of the Warrants) shall have received or become entitled to receive, without payment therefor,</w:t>
      </w:r>
    </w:p>
    <w:p>
      <w:pPr>
        <w:spacing w:after="0" w:line="162" w:lineRule="exact"/>
        <w:rPr>
          <w:sz w:val="20"/>
          <w:szCs w:val="20"/>
          <w:color w:val="auto"/>
        </w:rPr>
      </w:pPr>
    </w:p>
    <w:p>
      <w:pPr>
        <w:ind w:right="440" w:firstLine="8"/>
        <w:spacing w:after="0" w:line="282" w:lineRule="auto"/>
        <w:tabs>
          <w:tab w:leader="none" w:pos="215"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w:t>
      </w:r>
    </w:p>
    <w:p>
      <w:pPr>
        <w:spacing w:after="0" w:line="16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cash paid or payable otherwise than as a cash dividend paid or payable out of the Company’s current or retained earnings;</w:t>
      </w:r>
    </w:p>
    <w:p>
      <w:pPr>
        <w:spacing w:after="0" w:line="225"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evidence of the Company’s indebtedness or rights to subscribe for or purchase the Company’s indebtedness;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8" w:name="page129"/>
    <w:bookmarkEnd w:id="128"/>
    <w:p>
      <w:pPr>
        <w:ind w:left="-8" w:right="20" w:firstLine="8"/>
        <w:spacing w:after="0" w:line="255" w:lineRule="auto"/>
        <w:tabs>
          <w:tab w:leader="none" w:pos="297"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Common Stock or 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Common Stock received or became entitled to receive such shares or all other additional stock and other securities and property.</w:t>
      </w:r>
    </w:p>
    <w:p>
      <w:pPr>
        <w:spacing w:after="0" w:line="189" w:lineRule="exact"/>
        <w:rPr>
          <w:sz w:val="20"/>
          <w:szCs w:val="20"/>
          <w:color w:val="auto"/>
        </w:rPr>
      </w:pPr>
    </w:p>
    <w:p>
      <w:pPr>
        <w:ind w:left="-8" w:firstLine="8"/>
        <w:spacing w:after="0" w:line="251" w:lineRule="auto"/>
        <w:tabs>
          <w:tab w:leader="none" w:pos="237"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(i) any reclassification, capital reorganization, or change in the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Common Stock other than the issuance of additional shares of Common Stock) or (iii)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8"/>
          <w:szCs w:val="18"/>
          <w:b w:val="1"/>
          <w:bCs w:val="1"/>
          <w:i w:val="1"/>
          <w:iCs w:val="1"/>
          <w:color w:val="auto"/>
        </w:rPr>
        <w:t>Reorganization Event</w:t>
      </w:r>
      <w:r>
        <w:rPr>
          <w:rFonts w:ascii="Times New Roman" w:cs="Times New Roman" w:eastAsia="Times New Roman" w:hAnsi="Times New Roman"/>
          <w:sz w:val="18"/>
          <w:szCs w:val="18"/>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205" w:lineRule="exact"/>
        <w:rPr>
          <w:rFonts w:ascii="Times New Roman" w:cs="Times New Roman" w:eastAsia="Times New Roman" w:hAnsi="Times New Roman"/>
          <w:sz w:val="18"/>
          <w:szCs w:val="18"/>
          <w:b w:val="1"/>
          <w:bCs w:val="1"/>
          <w:color w:val="auto"/>
        </w:rPr>
      </w:pPr>
    </w:p>
    <w:p>
      <w:pPr>
        <w:ind w:left="-8" w:right="140" w:firstLine="8"/>
        <w:spacing w:after="0" w:line="266" w:lineRule="auto"/>
        <w:tabs>
          <w:tab w:leader="none" w:pos="257"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75" w:lineRule="exact"/>
        <w:rPr>
          <w:rFonts w:ascii="Times New Roman" w:cs="Times New Roman" w:eastAsia="Times New Roman" w:hAnsi="Times New Roman"/>
          <w:sz w:val="18"/>
          <w:szCs w:val="18"/>
          <w:b w:val="1"/>
          <w:bCs w:val="1"/>
          <w:color w:val="auto"/>
        </w:rPr>
      </w:pPr>
    </w:p>
    <w:p>
      <w:pPr>
        <w:jc w:val="both"/>
        <w:ind w:left="-8" w:right="40" w:firstLine="8"/>
        <w:spacing w:after="0" w:line="266" w:lineRule="auto"/>
        <w:tabs>
          <w:tab w:leader="none" w:pos="237"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herein otherwise expressly provided, no adjustment in the Warrant Price shall be made by reason of the issuance of shares of Common Stock, or securities convertible into or exchangeable for shares of Common Stock, or securities carrying the right to purchase any of the foregoing or for any other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29" w:name="page130"/>
    <w:bookmarkEnd w:id="129"/>
    <w:p>
      <w:pPr>
        <w:ind w:firstLine="8"/>
        <w:spacing w:after="0" w:line="253" w:lineRule="auto"/>
        <w:tabs>
          <w:tab w:leader="none" w:pos="225"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cs="Times New Roman" w:eastAsia="Times New Roman" w:hAnsi="Times New Roman"/>
          <w:sz w:val="18"/>
          <w:szCs w:val="18"/>
          <w:b w:val="1"/>
          <w:bCs w:val="1"/>
          <w:i w:val="1"/>
          <w:iCs w:val="1"/>
          <w:color w:val="auto"/>
        </w:rPr>
        <w:t>OTC Bulletin Board</w:t>
      </w:r>
      <w:r>
        <w:rPr>
          <w:rFonts w:ascii="Times New Roman" w:cs="Times New Roman" w:eastAsia="Times New Roman" w:hAnsi="Times New Roman"/>
          <w:sz w:val="18"/>
          <w:szCs w:val="18"/>
          <w:color w:val="auto"/>
        </w:rPr>
        <w:t>”) operated by the Financial Industry Regulatory Authority, Inc.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87" w:lineRule="exact"/>
        <w:rPr>
          <w:rFonts w:ascii="Times New Roman" w:cs="Times New Roman" w:eastAsia="Times New Roman" w:hAnsi="Times New Roman"/>
          <w:sz w:val="18"/>
          <w:szCs w:val="18"/>
          <w:b w:val="1"/>
          <w:bCs w:val="1"/>
          <w:color w:val="auto"/>
        </w:rPr>
      </w:pPr>
    </w:p>
    <w:p>
      <w:pPr>
        <w:ind w:right="540" w:firstLine="8"/>
        <w:spacing w:after="0" w:line="266" w:lineRule="auto"/>
        <w:tabs>
          <w:tab w:leader="none" w:pos="255"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75" w:lineRule="exact"/>
        <w:rPr>
          <w:rFonts w:ascii="Times New Roman" w:cs="Times New Roman" w:eastAsia="Times New Roman" w:hAnsi="Times New Roman"/>
          <w:sz w:val="18"/>
          <w:szCs w:val="18"/>
          <w:b w:val="1"/>
          <w:bCs w:val="1"/>
          <w:color w:val="auto"/>
        </w:rPr>
      </w:pPr>
    </w:p>
    <w:p>
      <w:pPr>
        <w:ind w:right="220" w:firstLine="8"/>
        <w:spacing w:after="0" w:line="282" w:lineRule="auto"/>
        <w:tabs>
          <w:tab w:leader="none" w:pos="265"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herein, in no event shall the Warrant Price, as adjusted in accordance with the terms hereof, be less than the par value per share of Common Stock.</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3.5 Notice to Warrantholders. </w:t>
      </w:r>
      <w:r>
        <w:rPr>
          <w:rFonts w:ascii="Times New Roman" w:cs="Times New Roman" w:eastAsia="Times New Roman" w:hAnsi="Times New Roman"/>
          <w:sz w:val="18"/>
          <w:szCs w:val="18"/>
          <w:color w:val="auto"/>
        </w:rPr>
        <w:t>In case the Company shall (a) effect any dividend or distribution described in Section 3.4(b), (b) effect any 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(c) make any distribution on or in respect of the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Common Stock that will be entitled to such dividend or distribution are to be determined, (y) the date on which such Reorganization Event, dissolution, liquidation or winding up is expected to become effective, and the date as of which it is expected that holders of Common Stock of record shall be entitled to exchange their shares of Common Stock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color w:val="auto"/>
        </w:rPr>
        <w:t>[If the Warrants are Subject to Acceleration by the Company, Insert - Acceleration of Warrants by the Company.</w:t>
      </w:r>
    </w:p>
    <w:p>
      <w:pPr>
        <w:spacing w:after="0" w:line="229" w:lineRule="exact"/>
        <w:rPr>
          <w:sz w:val="20"/>
          <w:szCs w:val="20"/>
          <w:color w:val="auto"/>
        </w:rPr>
      </w:pPr>
    </w:p>
    <w:p>
      <w:pPr>
        <w:ind w:right="20" w:firstLine="8"/>
        <w:spacing w:after="0" w:line="258" w:lineRule="auto"/>
        <w:tabs>
          <w:tab w:leader="none" w:pos="255"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on or after [●], the Company shall have the right to accelerate any or all Warrants at any time by causing them to expire at the close of business on the day next preceding a specified date (the “</w:t>
      </w:r>
      <w:r>
        <w:rPr>
          <w:rFonts w:ascii="Times New Roman" w:cs="Times New Roman" w:eastAsia="Times New Roman" w:hAnsi="Times New Roman"/>
          <w:sz w:val="18"/>
          <w:szCs w:val="18"/>
          <w:b w:val="1"/>
          <w:bCs w:val="1"/>
          <w:i w:val="1"/>
          <w:iCs w:val="1"/>
          <w:color w:val="auto"/>
        </w:rPr>
        <w:t>Acceleration Date</w:t>
      </w:r>
      <w:r>
        <w:rPr>
          <w:rFonts w:ascii="Times New Roman" w:cs="Times New Roman" w:eastAsia="Times New Roman" w:hAnsi="Times New Roman"/>
          <w:sz w:val="18"/>
          <w:szCs w:val="18"/>
          <w:color w:val="auto"/>
        </w:rPr>
        <w:t>”), if the Market Price (as hereinafter defined) of the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79" w:lineRule="exact"/>
        <w:rPr>
          <w:rFonts w:ascii="Times New Roman" w:cs="Times New Roman" w:eastAsia="Times New Roman" w:hAnsi="Times New Roman"/>
          <w:sz w:val="18"/>
          <w:szCs w:val="18"/>
          <w:b w:val="1"/>
          <w:bCs w:val="1"/>
          <w:color w:val="auto"/>
        </w:rPr>
      </w:pPr>
    </w:p>
    <w:p>
      <w:pPr>
        <w:ind w:firstLine="8"/>
        <w:spacing w:after="0" w:line="253" w:lineRule="auto"/>
        <w:tabs>
          <w:tab w:leader="none" w:pos="265"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 Price</w:t>
      </w:r>
      <w:r>
        <w:rPr>
          <w:rFonts w:ascii="Times New Roman" w:cs="Times New Roman" w:eastAsia="Times New Roman" w:hAnsi="Times New Roman"/>
          <w:sz w:val="18"/>
          <w:szCs w:val="18"/>
          <w:color w:val="auto"/>
        </w:rPr>
        <w:t>” for each Trading Day shall be, if the Common Stock is listed or admitted to trading on any registered national securities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last reported sale price, regular way (or, if no such price is reported, the average of the reported closing bid and asked prices, regular way) of Common Stock, in either case as reported on the principal registered national securities exchange on which the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0" w:name="page131"/>
    <w:bookmarkEnd w:id="130"/>
    <w:p>
      <w:pPr>
        <w:ind w:right="20" w:firstLine="8"/>
        <w:spacing w:after="0" w:line="258" w:lineRule="auto"/>
        <w:tabs>
          <w:tab w:leader="none" w:pos="245"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83" w:lineRule="exact"/>
        <w:rPr>
          <w:rFonts w:ascii="Times New Roman" w:cs="Times New Roman" w:eastAsia="Times New Roman" w:hAnsi="Times New Roman"/>
          <w:sz w:val="18"/>
          <w:szCs w:val="18"/>
          <w:b w:val="1"/>
          <w:bCs w:val="1"/>
          <w:color w:val="auto"/>
        </w:rPr>
      </w:pPr>
    </w:p>
    <w:p>
      <w:pPr>
        <w:ind w:right="380" w:firstLine="8"/>
        <w:spacing w:after="0" w:line="282" w:lineRule="auto"/>
        <w:tabs>
          <w:tab w:leader="none" w:pos="265"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Warrant accelerated may be exercised until [●] p.m., [City] time, on the business day next preceding the Acceleration Date. The Warrant Price shall be payable as provided in Section 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AND TRANSFER OF WARRANT CERTIFICATES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4.1 </w:t>
      </w:r>
      <w:r>
        <w:rPr>
          <w:rFonts w:ascii="Times New Roman" w:cs="Times New Roman" w:eastAsia="Times New Roman" w:hAnsi="Times New Roman"/>
          <w:sz w:val="17"/>
          <w:szCs w:val="17"/>
          <w:color w:val="auto"/>
        </w:rPr>
        <w:t>Exchange and Transfer of Warrant Certificates. Upon surrender at the corporate trust office of the Warrant Agent, Warrant Certificates evidencing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82"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 Treatment of Holders of Warrant Certificates. </w:t>
      </w:r>
      <w:r>
        <w:rPr>
          <w:rFonts w:ascii="Times New Roman" w:cs="Times New Roman" w:eastAsia="Times New Roman" w:hAnsi="Times New Roman"/>
          <w:sz w:val="18"/>
          <w:szCs w:val="18"/>
          <w:color w:val="auto"/>
        </w:rPr>
        <w:t>The Company, the Warrant Agent and all other persons may treat the registered holder of a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as the absolute owner thereof for any purpose and as the person entitled to exercise the rights represented by the Warrants evidenced thereby, any notice to the contrary notwithstanding.</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4.3 Cancellation of Warrant Certificates. </w:t>
      </w:r>
      <w:r>
        <w:rPr>
          <w:rFonts w:ascii="Times New Roman" w:cs="Times New Roman" w:eastAsia="Times New Roman" w:hAnsi="Times New Roman"/>
          <w:sz w:val="18"/>
          <w:szCs w:val="18"/>
          <w:color w:val="auto"/>
        </w:rPr>
        <w:t>Any Warrant Certificate surrendered for exchange, registration of transfer or exercise of the Warrants evidenced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CONCERNING THE WARRANT AGENT</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 Warrant Agent. </w:t>
      </w:r>
      <w:r>
        <w:rPr>
          <w:rFonts w:ascii="Times New Roman" w:cs="Times New Roman" w:eastAsia="Times New Roman" w:hAnsi="Times New Roman"/>
          <w:sz w:val="18"/>
          <w:szCs w:val="18"/>
          <w:color w:val="auto"/>
        </w:rPr>
        <w:t>The Company hereby appoints [●] as Warrant Agent of the Company in respect of the Warrants and the Warrant Certificates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79" w:lineRule="exact"/>
        <w:rPr>
          <w:sz w:val="20"/>
          <w:szCs w:val="20"/>
          <w:color w:val="auto"/>
        </w:rPr>
      </w:pPr>
    </w:p>
    <w:p>
      <w:pPr>
        <w:jc w:val="both"/>
        <w:ind w:right="6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5.2 Conditions of Warrant Agent’s Obligations. </w:t>
      </w:r>
      <w:r>
        <w:rPr>
          <w:rFonts w:ascii="Times New Roman" w:cs="Times New Roman" w:eastAsia="Times New Roman" w:hAnsi="Times New Roman"/>
          <w:sz w:val="18"/>
          <w:szCs w:val="18"/>
          <w:color w:val="auto"/>
        </w:rPr>
        <w:t>The Warrant Agent accepts its obligations herein set forth upon the terms and conditions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following to all of which the Company agrees and to all of which the rights hereunder of the holders from time to time of the Warrant Certificates shall be subject:</w:t>
      </w:r>
    </w:p>
    <w:p>
      <w:pPr>
        <w:spacing w:after="0" w:line="171" w:lineRule="exact"/>
        <w:rPr>
          <w:sz w:val="20"/>
          <w:szCs w:val="20"/>
          <w:color w:val="auto"/>
        </w:rPr>
      </w:pPr>
    </w:p>
    <w:p>
      <w:pPr>
        <w:ind w:right="40" w:firstLine="8"/>
        <w:spacing w:after="0" w:line="257" w:lineRule="auto"/>
        <w:tabs>
          <w:tab w:leader="none" w:pos="255"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Compensation and Indemnification. </w:t>
      </w:r>
      <w:r>
        <w:rPr>
          <w:rFonts w:ascii="Times New Roman" w:cs="Times New Roman" w:eastAsia="Times New Roman" w:hAnsi="Times New Roman"/>
          <w:sz w:val="18"/>
          <w:szCs w:val="18"/>
          <w:color w:val="auto"/>
        </w:rPr>
        <w:t>The Company agrees promptly to pay the Warrant Agent the compensation to be agreed upon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82" w:lineRule="exact"/>
        <w:rPr>
          <w:rFonts w:ascii="Times New Roman" w:cs="Times New Roman" w:eastAsia="Times New Roman" w:hAnsi="Times New Roman"/>
          <w:sz w:val="18"/>
          <w:szCs w:val="18"/>
          <w:b w:val="1"/>
          <w:bCs w:val="1"/>
          <w:color w:val="auto"/>
        </w:rPr>
      </w:pPr>
    </w:p>
    <w:p>
      <w:pPr>
        <w:ind w:firstLine="8"/>
        <w:spacing w:after="0" w:line="268" w:lineRule="auto"/>
        <w:tabs>
          <w:tab w:leader="none" w:pos="265"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Agent for the Company. </w:t>
      </w:r>
      <w:r>
        <w:rPr>
          <w:rFonts w:ascii="Times New Roman" w:cs="Times New Roman" w:eastAsia="Times New Roman" w:hAnsi="Times New Roman"/>
          <w:sz w:val="18"/>
          <w:szCs w:val="18"/>
          <w:color w:val="auto"/>
        </w:rPr>
        <w:t>In acting under this Agreement and in connection with the Warrant Certificates, the Warrant Agent is acting solely as agent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does not assume any obligations or relationship of agency or trust for or with any of the holders of Warrant Certificates or beneficial owners of Warrants.</w:t>
      </w:r>
    </w:p>
    <w:p>
      <w:pPr>
        <w:spacing w:after="0" w:line="170" w:lineRule="exact"/>
        <w:rPr>
          <w:rFonts w:ascii="Times New Roman" w:cs="Times New Roman" w:eastAsia="Times New Roman" w:hAnsi="Times New Roman"/>
          <w:sz w:val="18"/>
          <w:szCs w:val="18"/>
          <w:b w:val="1"/>
          <w:bCs w:val="1"/>
          <w:color w:val="auto"/>
        </w:rPr>
      </w:pPr>
    </w:p>
    <w:p>
      <w:pPr>
        <w:ind w:right="240" w:firstLine="8"/>
        <w:spacing w:after="0" w:line="268" w:lineRule="auto"/>
        <w:tabs>
          <w:tab w:leader="none" w:pos="244"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Counsel. </w:t>
      </w:r>
      <w:r>
        <w:rPr>
          <w:rFonts w:ascii="Times New Roman" w:cs="Times New Roman" w:eastAsia="Times New Roman" w:hAnsi="Times New Roman"/>
          <w:sz w:val="18"/>
          <w:szCs w:val="18"/>
          <w:color w:val="auto"/>
        </w:rPr>
        <w:t>The Warrant Agent may consult with counsel satisfactory to it, which may include counsel for the Company, and the written advice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shall be full and complete authorization and protection in respect of any action taken, suffered or omitted by it hereunder in good faith and in accordance with the advice of such counsel.</w:t>
      </w:r>
    </w:p>
    <w:p>
      <w:pPr>
        <w:spacing w:after="0" w:line="170" w:lineRule="exact"/>
        <w:rPr>
          <w:rFonts w:ascii="Times New Roman" w:cs="Times New Roman" w:eastAsia="Times New Roman" w:hAnsi="Times New Roman"/>
          <w:sz w:val="18"/>
          <w:szCs w:val="18"/>
          <w:b w:val="1"/>
          <w:bCs w:val="1"/>
          <w:color w:val="auto"/>
        </w:rPr>
      </w:pPr>
    </w:p>
    <w:p>
      <w:pPr>
        <w:ind w:right="80" w:firstLine="8"/>
        <w:spacing w:after="0" w:line="268" w:lineRule="auto"/>
        <w:tabs>
          <w:tab w:leader="none" w:pos="265"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Documents. </w:t>
      </w:r>
      <w:r>
        <w:rPr>
          <w:rFonts w:ascii="Times New Roman" w:cs="Times New Roman" w:eastAsia="Times New Roman" w:hAnsi="Times New Roman"/>
          <w:sz w:val="18"/>
          <w:szCs w:val="18"/>
          <w:color w:val="auto"/>
        </w:rPr>
        <w:t>The Warrant Agent shall be protected and shall incur no liability for or in respect of any action taken or omitted by it in reliance upon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Certificate, notice, direction, consent, certificate, affidavit, statement or other paper or document reasonably believed by it to be genuine and to have been presented or signed by the proper parties.</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59" w:lineRule="auto"/>
        <w:tabs>
          <w:tab w:leader="none" w:pos="244"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Transactions. </w:t>
      </w:r>
      <w:r>
        <w:rPr>
          <w:rFonts w:ascii="Times New Roman" w:cs="Times New Roman" w:eastAsia="Times New Roman" w:hAnsi="Times New Roman"/>
          <w:sz w:val="18"/>
          <w:szCs w:val="18"/>
          <w:color w:val="auto"/>
        </w:rPr>
        <w:t>The Warrant Agent, and its officers, directors and employees, may become the owner of, or acquire any interest in,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179" w:lineRule="exact"/>
        <w:rPr>
          <w:rFonts w:ascii="Times New Roman" w:cs="Times New Roman" w:eastAsia="Times New Roman" w:hAnsi="Times New Roman"/>
          <w:sz w:val="18"/>
          <w:szCs w:val="18"/>
          <w:b w:val="1"/>
          <w:bCs w:val="1"/>
          <w:color w:val="auto"/>
        </w:rPr>
      </w:pPr>
    </w:p>
    <w:p>
      <w:pPr>
        <w:ind w:right="160" w:firstLine="8"/>
        <w:spacing w:after="0" w:line="286" w:lineRule="auto"/>
        <w:tabs>
          <w:tab w:leader="none" w:pos="225"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Liability for Interest. </w:t>
      </w:r>
      <w:r>
        <w:rPr>
          <w:rFonts w:ascii="Times New Roman" w:cs="Times New Roman" w:eastAsia="Times New Roman" w:hAnsi="Times New Roman"/>
          <w:sz w:val="18"/>
          <w:szCs w:val="18"/>
          <w:color w:val="auto"/>
        </w:rPr>
        <w:t>Unless otherwise agreed with the Company, the Warrant Agent shall have no liability for interest on any monies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by it pursuant to any of the provisions of this Agreement or of the Warrant Certificates.</w:t>
      </w:r>
    </w:p>
    <w:p>
      <w:pPr>
        <w:spacing w:after="0" w:line="154" w:lineRule="exact"/>
        <w:rPr>
          <w:rFonts w:ascii="Times New Roman" w:cs="Times New Roman" w:eastAsia="Times New Roman" w:hAnsi="Times New Roman"/>
          <w:sz w:val="18"/>
          <w:szCs w:val="18"/>
          <w:b w:val="1"/>
          <w:bCs w:val="1"/>
          <w:color w:val="auto"/>
        </w:rPr>
      </w:pPr>
    </w:p>
    <w:p>
      <w:pPr>
        <w:ind w:right="840" w:firstLine="8"/>
        <w:spacing w:after="0" w:line="286" w:lineRule="auto"/>
        <w:tabs>
          <w:tab w:leader="none" w:pos="255"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Liability for Invalidity. </w:t>
      </w:r>
      <w:r>
        <w:rPr>
          <w:rFonts w:ascii="Times New Roman" w:cs="Times New Roman" w:eastAsia="Times New Roman" w:hAnsi="Times New Roman"/>
          <w:sz w:val="18"/>
          <w:szCs w:val="18"/>
          <w:color w:val="auto"/>
        </w:rPr>
        <w:t>The Warrant Agent shall have no liability with respect to any invalidity of this Agreement or any of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(except as to the Warrant Agent’s countersignature thereon).</w:t>
      </w:r>
    </w:p>
    <w:p>
      <w:pPr>
        <w:spacing w:after="0" w:line="154" w:lineRule="exact"/>
        <w:rPr>
          <w:rFonts w:ascii="Times New Roman" w:cs="Times New Roman" w:eastAsia="Times New Roman" w:hAnsi="Times New Roman"/>
          <w:sz w:val="18"/>
          <w:szCs w:val="18"/>
          <w:b w:val="1"/>
          <w:bCs w:val="1"/>
          <w:color w:val="auto"/>
        </w:rPr>
      </w:pPr>
    </w:p>
    <w:p>
      <w:pPr>
        <w:ind w:right="160" w:firstLine="8"/>
        <w:spacing w:after="0" w:line="286" w:lineRule="auto"/>
        <w:tabs>
          <w:tab w:leader="none" w:pos="265"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Responsibility for Representations. </w:t>
      </w:r>
      <w:r>
        <w:rPr>
          <w:rFonts w:ascii="Times New Roman" w:cs="Times New Roman" w:eastAsia="Times New Roman" w:hAnsi="Times New Roman"/>
          <w:sz w:val="18"/>
          <w:szCs w:val="18"/>
          <w:color w:val="auto"/>
        </w:rPr>
        <w:t>The Warrant Agent shall not be responsible for any of the recitals or representations herein or in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(except as to the Warrant Agent’s countersignature thereon), all of which are made solely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2" w:name="page133"/>
    <w:bookmarkEnd w:id="132"/>
    <w:p>
      <w:pPr>
        <w:ind w:right="40" w:firstLine="8"/>
        <w:spacing w:after="0" w:line="254" w:lineRule="auto"/>
        <w:tabs>
          <w:tab w:leader="none" w:pos="215"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Implied Obligations. </w:t>
      </w:r>
      <w:r>
        <w:rPr>
          <w:rFonts w:ascii="Times New Roman" w:cs="Times New Roman" w:eastAsia="Times New Roman" w:hAnsi="Times New Roman"/>
          <w:sz w:val="18"/>
          <w:szCs w:val="18"/>
          <w:color w:val="auto"/>
        </w:rPr>
        <w:t>The Warrant Agent shall be obligated to perform only such duties as are herein and in the Warrant Certificates specifically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 Resignation, Removal and Appointment of Successors.</w:t>
      </w:r>
    </w:p>
    <w:p>
      <w:pPr>
        <w:spacing w:after="0" w:line="229" w:lineRule="exact"/>
        <w:rPr>
          <w:sz w:val="20"/>
          <w:szCs w:val="20"/>
          <w:color w:val="auto"/>
        </w:rPr>
      </w:pPr>
    </w:p>
    <w:p>
      <w:pPr>
        <w:ind w:right="600" w:firstLine="8"/>
        <w:spacing w:after="0" w:line="282" w:lineRule="auto"/>
        <w:tabs>
          <w:tab w:leader="none" w:pos="255"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61" w:lineRule="exact"/>
        <w:rPr>
          <w:rFonts w:ascii="Times New Roman" w:cs="Times New Roman" w:eastAsia="Times New Roman" w:hAnsi="Times New Roman"/>
          <w:sz w:val="18"/>
          <w:szCs w:val="18"/>
          <w:b w:val="1"/>
          <w:bCs w:val="1"/>
          <w:color w:val="auto"/>
        </w:rPr>
      </w:pPr>
    </w:p>
    <w:p>
      <w:pPr>
        <w:ind w:right="20" w:firstLine="8"/>
        <w:spacing w:after="0" w:line="254" w:lineRule="auto"/>
        <w:tabs>
          <w:tab w:leader="none" w:pos="265"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91" w:lineRule="exact"/>
        <w:rPr>
          <w:rFonts w:ascii="Times New Roman" w:cs="Times New Roman" w:eastAsia="Times New Roman" w:hAnsi="Times New Roman"/>
          <w:sz w:val="18"/>
          <w:szCs w:val="18"/>
          <w:b w:val="1"/>
          <w:bCs w:val="1"/>
          <w:color w:val="auto"/>
        </w:rPr>
      </w:pPr>
    </w:p>
    <w:p>
      <w:pPr>
        <w:ind w:firstLine="8"/>
        <w:spacing w:after="0" w:line="255" w:lineRule="auto"/>
        <w:tabs>
          <w:tab w:leader="none" w:pos="245"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87" w:lineRule="exact"/>
        <w:rPr>
          <w:sz w:val="20"/>
          <w:szCs w:val="20"/>
          <w:color w:val="auto"/>
        </w:rPr>
      </w:pPr>
    </w:p>
    <w:p>
      <w:pPr>
        <w:ind w:left="280" w:hanging="272"/>
        <w:spacing w:after="0"/>
        <w:tabs>
          <w:tab w:leader="none" w:pos="28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successor Warrant Agent appointed hereunder shall execute, acknowledge and deliver to its predecessor and to the Company an instrument</w:t>
      </w:r>
    </w:p>
    <w:p>
      <w:pPr>
        <w:spacing w:after="0" w:line="27" w:lineRule="exact"/>
        <w:rPr>
          <w:rFonts w:ascii="Times New Roman" w:cs="Times New Roman" w:eastAsia="Times New Roman" w:hAnsi="Times New Roman"/>
          <w:sz w:val="18"/>
          <w:szCs w:val="18"/>
          <w:b w:val="1"/>
          <w:bCs w:val="1"/>
          <w:color w:val="auto"/>
        </w:rPr>
      </w:pPr>
    </w:p>
    <w:p>
      <w:pPr>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3" w:name="page134"/>
    <w:bookmarkEnd w:id="133"/>
    <w:p>
      <w:pPr>
        <w:ind w:right="60" w:firstLine="8"/>
        <w:spacing w:after="0" w:line="258" w:lineRule="auto"/>
        <w:tabs>
          <w:tab w:leader="none" w:pos="245"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 Amendment. </w:t>
      </w:r>
      <w:r>
        <w:rPr>
          <w:rFonts w:ascii="Times New Roman" w:cs="Times New Roman" w:eastAsia="Times New Roman" w:hAnsi="Times New Roman"/>
          <w:sz w:val="18"/>
          <w:szCs w:val="18"/>
          <w:color w:val="auto"/>
        </w:rPr>
        <w:t>This Agreement may be amended by the parties hereto, without the consent of the holder of any Warrant Certificate, for the purpose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7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6.2 Notices and Demands to the Company and Warrant Agent. </w:t>
      </w:r>
      <w:r>
        <w:rPr>
          <w:rFonts w:ascii="Times New Roman" w:cs="Times New Roman" w:eastAsia="Times New Roman" w:hAnsi="Times New Roman"/>
          <w:sz w:val="18"/>
          <w:szCs w:val="18"/>
          <w:color w:val="auto"/>
        </w:rPr>
        <w:t>If the Warrant Agent shall receive any notice or demand addressed to the Company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a Warrant Certificate pursuant to the provisions of the Warrant Certificates, the Warrant Agent shall promptly forward such notice or demand to the Company.</w:t>
      </w:r>
    </w:p>
    <w:p>
      <w:pPr>
        <w:spacing w:after="0" w:line="17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6.3 Addresses. </w:t>
      </w:r>
      <w:r>
        <w:rPr>
          <w:rFonts w:ascii="Times New Roman" w:cs="Times New Roman" w:eastAsia="Times New Roman" w:hAnsi="Times New Roman"/>
          <w:sz w:val="18"/>
          <w:szCs w:val="18"/>
          <w:color w:val="auto"/>
        </w:rPr>
        <w:t>Any communication from the Company to the Warrant Agent with respect to this Agreement shall be addressed to [●], Attention: [●]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communication from the Warrant Agent to the Company with respect to this Agreement shall be addressed to Tilray Brands, Inc. 1100 Maughan Road, Nanaimo, BC, Canada, V9X IJ2, Attention: [●] (or such other address as shall be specified in writing by the Warrant Agent or by the Company).</w:t>
      </w:r>
    </w:p>
    <w:p>
      <w:pPr>
        <w:spacing w:after="0" w:line="1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6.4 Governing Law. </w:t>
      </w:r>
      <w:r>
        <w:rPr>
          <w:rFonts w:ascii="Times New Roman" w:cs="Times New Roman" w:eastAsia="Times New Roman" w:hAnsi="Times New Roman"/>
          <w:sz w:val="18"/>
          <w:szCs w:val="18"/>
          <w:color w:val="auto"/>
        </w:rPr>
        <w:t>This Agreement and each Warrant Certificate issued hereunder shall be governed by and construed in accordance with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New York.</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6.5 Delivery of Prospectus. </w:t>
      </w:r>
      <w:r>
        <w:rPr>
          <w:rFonts w:ascii="Times New Roman" w:cs="Times New Roman" w:eastAsia="Times New Roman" w:hAnsi="Times New Roman"/>
          <w:sz w:val="18"/>
          <w:szCs w:val="18"/>
          <w:color w:val="auto"/>
        </w:rPr>
        <w:t>The Company shall furnish to the Warrant Agent sufficient copies of a prospectus meeting the requirements of 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1933, as amended, relating to the Warrant Securities deliverable upon exercise of the Warrants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7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6.6 Obtaining of Governmental Approvals. </w:t>
      </w:r>
      <w:r>
        <w:rPr>
          <w:rFonts w:ascii="Times New Roman" w:cs="Times New Roman" w:eastAsia="Times New Roman" w:hAnsi="Times New Roman"/>
          <w:sz w:val="18"/>
          <w:szCs w:val="18"/>
          <w:color w:val="auto"/>
        </w:rPr>
        <w:t>The Company will from time to time take all action which may be necessary to obtain and keep effective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6.7 Persons Having Rights Under the Agreement. </w:t>
      </w:r>
      <w:r>
        <w:rPr>
          <w:rFonts w:ascii="Times New Roman" w:cs="Times New Roman" w:eastAsia="Times New Roman" w:hAnsi="Times New Roman"/>
          <w:sz w:val="18"/>
          <w:szCs w:val="18"/>
          <w:color w:val="auto"/>
        </w:rPr>
        <w:t>Nothing in this Agreement shall give to any person other than the Company, the Warrant Agent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the Warrant Certificates any right, remedy or claim under or by reason of this Agreement.</w:t>
      </w:r>
    </w:p>
    <w:p>
      <w:pPr>
        <w:spacing w:after="0" w:line="15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6.8 Headings. </w:t>
      </w:r>
      <w:r>
        <w:rPr>
          <w:rFonts w:ascii="Times New Roman" w:cs="Times New Roman" w:eastAsia="Times New Roman" w:hAnsi="Times New Roman"/>
          <w:sz w:val="18"/>
          <w:szCs w:val="18"/>
          <w:color w:val="auto"/>
        </w:rPr>
        <w:t>The descriptive headings of the several Articles and Sections of this Agreement are inserted for convenience only and shall not control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meaning or construction of any of the provisions hereof.</w:t>
      </w:r>
    </w:p>
    <w:p>
      <w:pPr>
        <w:spacing w:after="0" w:line="15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6.9 Counterparts. </w:t>
      </w:r>
      <w:r>
        <w:rPr>
          <w:rFonts w:ascii="Times New Roman" w:cs="Times New Roman" w:eastAsia="Times New Roman" w:hAnsi="Times New Roman"/>
          <w:sz w:val="18"/>
          <w:szCs w:val="18"/>
          <w:color w:val="auto"/>
        </w:rPr>
        <w:t>This Agreement may be executed in any number of counterparts, each of which as so executed shall be deemed to be an original,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counterparts shall together constitute but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6.10 Inspection of Agreement. </w:t>
      </w:r>
      <w:r>
        <w:rPr>
          <w:rFonts w:ascii="Times New Roman" w:cs="Times New Roman" w:eastAsia="Times New Roman" w:hAnsi="Times New Roman"/>
          <w:sz w:val="18"/>
          <w:szCs w:val="18"/>
          <w:color w:val="auto"/>
        </w:rPr>
        <w:t>A copy of this Agreement shall be available at all reasonable times at the principal corporate trust office of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for inspection by the holder of any Warrant Certificate. The Warrant Agent may require such holder to submit such holder’s Warrant Certificate for inspection by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caused this Agreement to be duly executed as of the day and year first above written.</w:t>
      </w:r>
    </w:p>
    <w:p>
      <w:pPr>
        <w:spacing w:after="0" w:line="24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Tilray Brands, Inc., as Company</w:t>
      </w:r>
    </w:p>
    <w:p>
      <w:pPr>
        <w:spacing w:after="0" w:line="2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17145</wp:posOffset>
            </wp:positionV>
            <wp:extent cx="24599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2459990" cy="17145"/>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26035</wp:posOffset>
            </wp:positionV>
            <wp:extent cx="245999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2459990" cy="171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-127635</wp:posOffset>
            </wp:positionV>
            <wp:extent cx="245999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2459990" cy="17145"/>
                    </a:xfrm>
                    <a:prstGeom prst="rect">
                      <a:avLst/>
                    </a:prstGeom>
                    <a:noFill/>
                  </pic:spPr>
                </pic:pic>
              </a:graphicData>
            </a:graphic>
          </wp:anchor>
        </w:drawing>
      </w:r>
    </w:p>
    <w:p>
      <w:pPr>
        <w:spacing w:after="0" w:line="2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173990</wp:posOffset>
            </wp:positionV>
            <wp:extent cx="24599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2459990" cy="171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19685</wp:posOffset>
            </wp:positionV>
            <wp:extent cx="245999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245999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Countersigned</w:t>
      </w:r>
    </w:p>
    <w:p>
      <w:pPr>
        <w:spacing w:after="0" w:line="2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Warrant Agent</w:t>
      </w:r>
    </w:p>
    <w:p>
      <w:pPr>
        <w:spacing w:after="0" w:line="22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17145</wp:posOffset>
            </wp:positionV>
            <wp:extent cx="24599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2459990" cy="17145"/>
                    </a:xfrm>
                    <a:prstGeom prst="rect">
                      <a:avLst/>
                    </a:prstGeom>
                    <a:noFill/>
                  </pic:spPr>
                </pic:pic>
              </a:graphicData>
            </a:graphic>
          </wp:anchor>
        </w:drawing>
      </w:r>
    </w:p>
    <w:p>
      <w:pPr>
        <w:spacing w:after="0" w:line="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26035</wp:posOffset>
            </wp:positionV>
            <wp:extent cx="24599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2459990" cy="171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-127635</wp:posOffset>
            </wp:positionV>
            <wp:extent cx="24599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2459990" cy="17145"/>
                    </a:xfrm>
                    <a:prstGeom prst="rect">
                      <a:avLst/>
                    </a:prstGeom>
                    <a:noFill/>
                  </pic:spPr>
                </pic:pic>
              </a:graphicData>
            </a:graphic>
          </wp:anchor>
        </w:drawing>
      </w:r>
    </w:p>
    <w:p>
      <w:pPr>
        <w:spacing w:after="0" w:line="2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173990</wp:posOffset>
            </wp:positionV>
            <wp:extent cx="245999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2459990" cy="171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19685</wp:posOffset>
            </wp:positionV>
            <wp:extent cx="245999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2459990"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TILRAY BRANDS, INC. C</w:t>
      </w:r>
      <w:r>
        <w:rPr>
          <w:rFonts w:ascii="Times New Roman" w:cs="Times New Roman" w:eastAsia="Times New Roman" w:hAnsi="Times New Roman"/>
          <w:sz w:val="14"/>
          <w:szCs w:val="14"/>
          <w:color w:val="auto"/>
        </w:rPr>
        <w:t>OMMON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FORM OF WARRANT CERTIFICATE</w:t>
      </w:r>
    </w:p>
    <w:p>
      <w:pPr>
        <w:spacing w:after="0" w:line="4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[FACE OF WARRANT CERTIFICATE]</w:t>
      </w: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Form of Legend if Warrants are not immediately exercisable.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[Prior to [●], Warrants evidenced by this Warrant Certificate cannot be exercised.]</w:t>
      </w:r>
    </w:p>
    <w:p>
      <w:pPr>
        <w:spacing w:after="0" w:line="162" w:lineRule="exact"/>
        <w:rPr>
          <w:sz w:val="20"/>
          <w:szCs w:val="20"/>
          <w:color w:val="auto"/>
        </w:rPr>
      </w:pPr>
    </w:p>
    <w:p>
      <w:pPr>
        <w:sectPr>
          <w:pgSz w:w="11900" w:h="16838" w:orient="portrait"/>
          <w:cols w:equalWidth="0" w:num="2">
            <w:col w:w="4900" w:space="720"/>
            <w:col w:w="5620"/>
          </w:cols>
          <w:pgMar w:left="320" w:top="11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EXERCISABLE ONLY IF COUNTERSIGNED BY THE WARRANT AGENT AS PROVIDED HEREIN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VOID AFTER [●] P.M., [City] time, ON [●].</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7" w:lineRule="exact"/>
        <w:rPr>
          <w:sz w:val="20"/>
          <w:szCs w:val="20"/>
          <w:color w:val="auto"/>
        </w:rPr>
      </w:pPr>
    </w:p>
    <w:p>
      <w:pPr>
        <w:spacing w:after="0"/>
        <w:tabs>
          <w:tab w:leader="none" w:pos="10300" w:val="left"/>
        </w:tabs>
        <w:rPr>
          <w:sz w:val="20"/>
          <w:szCs w:val="20"/>
          <w:color w:val="auto"/>
        </w:rPr>
      </w:pPr>
      <w:r>
        <w:rPr>
          <w:rFonts w:ascii="Times New Roman" w:cs="Times New Roman" w:eastAsia="Times New Roman" w:hAnsi="Times New Roman"/>
          <w:sz w:val="18"/>
          <w:szCs w:val="18"/>
          <w:color w:val="auto"/>
        </w:rPr>
        <w:t>No. [●]</w:t>
      </w:r>
      <w:r>
        <w:rPr>
          <w:sz w:val="20"/>
          <w:szCs w:val="20"/>
          <w:color w:val="auto"/>
        </w:rPr>
        <w:tab/>
      </w:r>
      <w:r>
        <w:rPr>
          <w:rFonts w:ascii="Times New Roman" w:cs="Times New Roman" w:eastAsia="Times New Roman" w:hAnsi="Times New Roman"/>
          <w:sz w:val="17"/>
          <w:szCs w:val="17"/>
          <w:color w:val="auto"/>
        </w:rPr>
        <w:t>[●] Warrants</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certifies that [●] or registered assigns is the registered owner of the above indicated number of Warrants, each Warrant entitling such owner to purchase, at any time [after [●] p.m., [City] time, [on [●] and] on or before [●] p.m., [City] time, on [●], [●] shares of common stock, par value $0.0001 per share (the “</w:t>
      </w:r>
      <w:r>
        <w:rPr>
          <w:rFonts w:ascii="Times New Roman" w:cs="Times New Roman" w:eastAsia="Times New Roman" w:hAnsi="Times New Roman"/>
          <w:sz w:val="18"/>
          <w:szCs w:val="18"/>
          <w:b w:val="1"/>
          <w:bCs w:val="1"/>
          <w:i w:val="1"/>
          <w:iCs w:val="1"/>
          <w:color w:val="auto"/>
        </w:rPr>
        <w:t>Warrant Securities</w:t>
      </w:r>
      <w:r>
        <w:rPr>
          <w:rFonts w:ascii="Times New Roman" w:cs="Times New Roman" w:eastAsia="Times New Roman" w:hAnsi="Times New Roman"/>
          <w:sz w:val="18"/>
          <w:szCs w:val="18"/>
          <w:color w:val="auto"/>
        </w:rPr>
        <w:t>”), of Tilray Brands,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the following basis: during the period from [●], through and including [●], the exercise price per Warrant Security will be $[●], subject to adjustment as provided in the Warrant Agreement (as hereinafter defined) (the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 The Holder may exercise the Warrants evidenced hereby by providing certain information set forth on the back hereof and by paying in full,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which is, on the date hereof, at the address specified on the reverse hereof, and upon compliance with and subject to the conditions set forth herein and in the Warrant Agreement (as hereinafter defined).</w:t>
      </w:r>
    </w:p>
    <w:p>
      <w:pPr>
        <w:spacing w:after="0" w:line="19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5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72"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7"/>
          <w:szCs w:val="17"/>
          <w:color w:val="auto"/>
        </w:rPr>
        <w:t>This Warrant Certificate is issued under and in accordance with the Warrant Agreement dated as of [●] (the “</w:t>
      </w:r>
      <w:r>
        <w:rPr>
          <w:rFonts w:ascii="Times New Roman" w:cs="Times New Roman" w:eastAsia="Times New Roman" w:hAnsi="Times New Roman"/>
          <w:sz w:val="17"/>
          <w:szCs w:val="17"/>
          <w:b w:val="1"/>
          <w:bCs w:val="1"/>
          <w:i w:val="1"/>
          <w:iCs w:val="1"/>
          <w:color w:val="auto"/>
        </w:rPr>
        <w:t>Warrant Agreement</w:t>
      </w:r>
      <w:r>
        <w:rPr>
          <w:rFonts w:ascii="Times New Roman" w:cs="Times New Roman" w:eastAsia="Times New Roman" w:hAnsi="Times New Roman"/>
          <w:sz w:val="17"/>
          <w:szCs w:val="17"/>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7" w:name="page138"/>
    <w:bookmarkEnd w:id="137"/>
    <w:p>
      <w:pPr>
        <w:ind w:right="500"/>
        <w:spacing w:after="0" w:line="282" w:lineRule="auto"/>
        <w:rPr>
          <w:sz w:val="20"/>
          <w:szCs w:val="20"/>
          <w:color w:val="auto"/>
        </w:rPr>
      </w:pPr>
      <w:r>
        <w:rPr>
          <w:rFonts w:ascii="Times New Roman" w:cs="Times New Roman" w:eastAsia="Times New Roman" w:hAnsi="Times New Roman"/>
          <w:sz w:val="18"/>
          <w:szCs w:val="18"/>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Warrant Certificate set forth on the reverse hereof, which further provisions shall for all purposes have the same effect as if set forth at this place.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Certificate shall not be valid or obligatory for any purpose until countersigned by the Warrant Agent.</w:t>
      </w:r>
    </w:p>
    <w:p>
      <w:pPr>
        <w:spacing w:after="0" w:line="22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Warrant to be executed in its name and on its behalf by the facsimile signatures of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Tilray Brands, Inc.</w:t>
      </w:r>
      <w:r>
        <w:rPr>
          <w:rFonts w:ascii="Times New Roman" w:cs="Times New Roman" w:eastAsia="Times New Roman" w:hAnsi="Times New Roman"/>
          <w:sz w:val="18"/>
          <w:szCs w:val="18"/>
          <w:color w:val="auto"/>
        </w:rPr>
        <w:t>, as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-127635</wp:posOffset>
            </wp:positionV>
            <wp:extent cx="244284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24428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26035</wp:posOffset>
            </wp:positionV>
            <wp:extent cx="244284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2442845"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-127635</wp:posOffset>
            </wp:positionV>
            <wp:extent cx="244284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2442845" cy="1714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182880</wp:posOffset>
            </wp:positionV>
            <wp:extent cx="244284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2442845"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28575</wp:posOffset>
            </wp:positionV>
            <wp:extent cx="244284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24428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COUNTERSIGNED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Warrant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-127635</wp:posOffset>
            </wp:positionV>
            <wp:extent cx="245999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24599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26035</wp:posOffset>
            </wp:positionV>
            <wp:extent cx="245999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2459990"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-127635</wp:posOffset>
            </wp:positionV>
            <wp:extent cx="24599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2459990" cy="1714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182880</wp:posOffset>
            </wp:positionV>
            <wp:extent cx="245999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2459990"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28575</wp:posOffset>
            </wp:positionV>
            <wp:extent cx="24599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24599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[REVERSE OF WARRANT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(Instructions for Exercise of Warrant)</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upon exercise of Warrants)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undersigned hereby irrevocably elects to exercise Warrants, evidenced by this Warrant Certificate, to purchase shares of the Common Stock, par value $0.0001 per share (the “</w:t>
      </w:r>
      <w:r>
        <w:rPr>
          <w:rFonts w:ascii="Times New Roman" w:cs="Times New Roman" w:eastAsia="Times New Roman" w:hAnsi="Times New Roman"/>
          <w:sz w:val="18"/>
          <w:szCs w:val="18"/>
          <w:b w:val="1"/>
          <w:bCs w:val="1"/>
          <w:i w:val="1"/>
          <w:iCs w:val="1"/>
          <w:color w:val="auto"/>
        </w:rPr>
        <w:t>Warrant Securities</w:t>
      </w:r>
      <w:r>
        <w:rPr>
          <w:rFonts w:ascii="Times New Roman" w:cs="Times New Roman" w:eastAsia="Times New Roman" w:hAnsi="Times New Roman"/>
          <w:sz w:val="18"/>
          <w:szCs w:val="18"/>
          <w:color w:val="auto"/>
        </w:rPr>
        <w:t>”), of Tilray Brands,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Tilray Brands, Inc., c/o [insert name and address of Warrant Agent], in the amount of $ in 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6543675</wp:posOffset>
            </wp:positionH>
            <wp:positionV relativeFrom="paragraph">
              <wp:posOffset>-306070</wp:posOffset>
            </wp:positionV>
            <wp:extent cx="285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1" w:lineRule="exact"/>
        <w:rPr>
          <w:sz w:val="20"/>
          <w:szCs w:val="20"/>
          <w:color w:val="auto"/>
        </w:rPr>
      </w:pPr>
    </w:p>
    <w:p>
      <w:pPr>
        <w:spacing w:after="0"/>
        <w:tabs>
          <w:tab w:leader="none" w:pos="42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5715</wp:posOffset>
            </wp:positionV>
            <wp:extent cx="40633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4063365" cy="17145"/>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Social Security or Other Identifying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Signature</w:t>
      </w:r>
    </w:p>
    <w:p>
      <w:pPr>
        <w:spacing w:after="0" w:line="9"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this Warrant Certificate and must bear a signature guarantee by a FINRA member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may be exercised at the following addresses: By hand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mail at: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[Instructions as to form and delivery of Warrant Securities and, if applicable, Warrant Certificates evidencing Warrants for the number of Warrant Securities remaining unexercised-complete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[Form of assignment to be executed if Warrant Holder desires to transfer Warrant]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FOR VALUE RECEIVED, </w:t>
      </w:r>
      <w:r>
        <w:rPr>
          <w:rFonts w:ascii="Times New Roman" w:cs="Times New Roman" w:eastAsia="Times New Roman" w:hAnsi="Times New Roman"/>
          <w:sz w:val="18"/>
          <w:szCs w:val="18"/>
          <w:color w:val="auto"/>
        </w:rPr>
        <w:t>hereby sells, assigns and transfers unto:</w:t>
      </w:r>
    </w:p>
    <w:p>
      <w:pPr>
        <w:spacing w:after="0" w:line="229" w:lineRule="exact"/>
        <w:rPr>
          <w:sz w:val="20"/>
          <w:szCs w:val="20"/>
          <w:color w:val="auto"/>
        </w:rPr>
      </w:pPr>
    </w:p>
    <w:p>
      <w:pPr>
        <w:spacing w:after="0"/>
        <w:tabs>
          <w:tab w:leader="none" w:pos="5280" w:val="left"/>
        </w:tabs>
        <w:rPr>
          <w:sz w:val="20"/>
          <w:szCs w:val="20"/>
          <w:color w:val="auto"/>
        </w:rPr>
      </w:pPr>
      <w:r>
        <w:rPr>
          <w:rFonts w:ascii="Times New Roman" w:cs="Times New Roman" w:eastAsia="Times New Roman" w:hAnsi="Times New Roman"/>
          <w:sz w:val="18"/>
          <w:szCs w:val="18"/>
          <w:color w:val="auto"/>
        </w:rPr>
        <w:t>(Please print name and address including zip code)</w:t>
      </w:r>
      <w:r>
        <w:rPr>
          <w:sz w:val="20"/>
          <w:szCs w:val="20"/>
          <w:color w:val="auto"/>
        </w:rPr>
        <w:tab/>
      </w:r>
      <w:r>
        <w:rPr>
          <w:rFonts w:ascii="Times New Roman" w:cs="Times New Roman" w:eastAsia="Times New Roman" w:hAnsi="Times New Roman"/>
          <w:sz w:val="17"/>
          <w:szCs w:val="17"/>
          <w:color w:val="auto"/>
        </w:rPr>
        <w:t>Please print Social Security or other identifying number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right represented by the within Warrant to purchase shares of [Title of Warrant Securities] of Tilray Brands, Inc. to which the within Warrant relates and appoints attorney to transfer such right on the books of the Warrant Agent with full power of substitution in the premises.</w:t>
      </w:r>
    </w:p>
    <w:p>
      <w:pPr>
        <w:spacing w:after="0" w:line="162"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color w:val="auto"/>
        </w:rPr>
        <w:t>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4.8</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AS WARRANT AGENT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PREFERRED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 FORM OF PREFERRED STOCK WARRANT AGREEMENT</w:t>
      </w:r>
    </w:p>
    <w:p>
      <w:pPr>
        <w:spacing w:after="0" w:line="2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PREFERRED STOCK WARRANT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 between</w:t>
      </w:r>
      <w:r>
        <w:rPr>
          <w:rFonts w:ascii="Times New Roman" w:cs="Times New Roman" w:eastAsia="Times New Roman" w:hAnsi="Times New Roman"/>
          <w:sz w:val="18"/>
          <w:szCs w:val="18"/>
          <w:b w:val="1"/>
          <w:bCs w:val="1"/>
          <w:color w:val="auto"/>
        </w:rPr>
        <w:t xml:space="preserve"> TILRAY BRANDS, INC.</w:t>
      </w:r>
      <w:r>
        <w:rPr>
          <w:rFonts w:ascii="Times New Roman" w:cs="Times New Roman" w:eastAsia="Times New Roman" w:hAnsi="Times New Roman"/>
          <w:sz w:val="18"/>
          <w:szCs w:val="18"/>
          <w:color w:val="auto"/>
        </w:rPr>
        <w:t>,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proposes to sell [</w:t>
      </w:r>
      <w:r>
        <w:rPr>
          <w:rFonts w:ascii="Times New Roman" w:cs="Times New Roman" w:eastAsia="Times New Roman" w:hAnsi="Times New Roman"/>
          <w:sz w:val="18"/>
          <w:szCs w:val="18"/>
          <w:b w:val="1"/>
          <w:bCs w:val="1"/>
          <w:i w:val="1"/>
          <w:iCs w:val="1"/>
          <w:color w:val="auto"/>
        </w:rPr>
        <w:t>If Warrants are sold with other securities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[title of such other securities being offered] (the “</w:t>
      </w: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with] warrant certificates evidencing one or more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or, individually, a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representing the right to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[title of Preferred Stock purchasable through exercise of Warrants] of the Company, par value $0.0001 per share (the “</w:t>
      </w:r>
      <w:r>
        <w:rPr>
          <w:rFonts w:ascii="Times New Roman" w:cs="Times New Roman" w:eastAsia="Times New Roman" w:hAnsi="Times New Roman"/>
          <w:sz w:val="18"/>
          <w:szCs w:val="18"/>
          <w:b w:val="1"/>
          <w:bCs w:val="1"/>
          <w:i w:val="1"/>
          <w:iCs w:val="1"/>
          <w:color w:val="auto"/>
        </w:rPr>
        <w:t>Warrant Securities</w:t>
      </w:r>
      <w:r>
        <w:rPr>
          <w:rFonts w:ascii="Times New Roman" w:cs="Times New Roman" w:eastAsia="Times New Roman" w:hAnsi="Times New Roman"/>
          <w:sz w:val="18"/>
          <w:szCs w:val="18"/>
          <w:color w:val="auto"/>
        </w:rPr>
        <w:t>”), such warrant certificates and other warrant certificates issued pursuant to this Agreement being herein called the “</w:t>
      </w:r>
      <w:r>
        <w:rPr>
          <w:rFonts w:ascii="Times New Roman" w:cs="Times New Roman" w:eastAsia="Times New Roman" w:hAnsi="Times New Roman"/>
          <w:sz w:val="18"/>
          <w:szCs w:val="18"/>
          <w:b w:val="1"/>
          <w:bCs w:val="1"/>
          <w:i w:val="1"/>
          <w:iCs w:val="1"/>
          <w:color w:val="auto"/>
        </w:rPr>
        <w:t>Warrant Certificates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desires the Warrant Agent to act on behalf of the Company, and the Warrant Agent is willing so to act,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premises and of the mutual agreements herein contained, the parties hereto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ISSUANCE OF WARRANTS AND EXECUTION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WARRANT CERTIFICATES</w:t>
      </w:r>
    </w:p>
    <w:p>
      <w:pPr>
        <w:spacing w:after="0" w:line="20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 Issuance of 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If Warrants alone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issuance, each Warrant Certificate shall evidence one or more Warrants.] [</w:t>
      </w:r>
      <w:r>
        <w:rPr>
          <w:rFonts w:ascii="Times New Roman" w:cs="Times New Roman" w:eastAsia="Times New Roman" w:hAnsi="Times New Roman"/>
          <w:sz w:val="18"/>
          <w:szCs w:val="18"/>
          <w:b w:val="1"/>
          <w:bCs w:val="1"/>
          <w:i w:val="1"/>
          <w:iCs w:val="1"/>
          <w:color w:val="auto"/>
        </w:rPr>
        <w:t>If Other Securities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-Warrant Certificates will be issued in connection with the issuance of the Other Securities but shall be separately transferable and each Warrant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shall evidence one or more Warrants.] Each Warrant evidenced thereby shall represent the right, subject to the provisions contained herein and therein, to purchase one Warrant Security. [</w:t>
      </w:r>
      <w:r>
        <w:rPr>
          <w:rFonts w:ascii="Times New Roman" w:cs="Times New Roman" w:eastAsia="Times New Roman" w:hAnsi="Times New Roman"/>
          <w:sz w:val="18"/>
          <w:szCs w:val="18"/>
          <w:b w:val="1"/>
          <w:bCs w:val="1"/>
          <w:i w:val="1"/>
          <w:iCs w:val="1"/>
          <w:color w:val="auto"/>
        </w:rPr>
        <w:t>If Other Securities and Warrants</w:t>
      </w:r>
      <w:r>
        <w:rPr>
          <w:rFonts w:ascii="Times New Roman" w:cs="Times New Roman" w:eastAsia="Times New Roman" w:hAnsi="Times New Roman"/>
          <w:sz w:val="18"/>
          <w:szCs w:val="18"/>
          <w:color w:val="auto"/>
        </w:rPr>
        <w:t xml:space="preserve"> -Warrant Certificates will be issued with the Other Securities and each Warrant Certificate will evidence [●] Warrants for each [$[●] principal amount] [[●] shares] of Other Securities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41" w:name="page142"/>
    <w:bookmarkEnd w:id="141"/>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 Execution and Delivery of Warrant Certificates. </w:t>
      </w:r>
      <w:r>
        <w:rPr>
          <w:rFonts w:ascii="Times New Roman" w:cs="Times New Roman" w:eastAsia="Times New Roman" w:hAnsi="Times New Roman"/>
          <w:sz w:val="18"/>
          <w:szCs w:val="18"/>
          <w:color w:val="auto"/>
        </w:rPr>
        <w:t>Each Warrant Certificate, whenever issued, shall be in registered form substantially in the form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holder of a Warrant Certificate</w:t>
      </w:r>
      <w:r>
        <w:rPr>
          <w:rFonts w:ascii="Times New Roman" w:cs="Times New Roman" w:eastAsia="Times New Roman" w:hAnsi="Times New Roman"/>
          <w:sz w:val="18"/>
          <w:szCs w:val="18"/>
          <w:color w:val="auto"/>
        </w:rPr>
        <w:t>” as used herein shall mean any person in whose name at the time any Warrant Certificate shall be registered upon the books to be maintained by the Warrant Agent for that purpose.</w:t>
      </w:r>
    </w:p>
    <w:p>
      <w:pPr>
        <w:spacing w:after="0" w:line="15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 Issuance of Warrant Certificates. </w:t>
      </w:r>
      <w:r>
        <w:rPr>
          <w:rFonts w:ascii="Times New Roman" w:cs="Times New Roman" w:eastAsia="Times New Roman" w:hAnsi="Times New Roman"/>
          <w:sz w:val="18"/>
          <w:szCs w:val="18"/>
          <w:color w:val="auto"/>
        </w:rPr>
        <w:t>Warrant Certificates evidencing the right to purchase Warrant Securities may be executed by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 PRICE, DURATION AND EXERCISE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2.1 Warrant Price. </w:t>
      </w:r>
      <w:r>
        <w:rPr>
          <w:rFonts w:ascii="Times New Roman" w:cs="Times New Roman" w:eastAsia="Times New Roman" w:hAnsi="Times New Roman"/>
          <w:sz w:val="18"/>
          <w:szCs w:val="18"/>
          <w:color w:val="auto"/>
        </w:rPr>
        <w:t>During the period specified in Section 2.2, each Warrant shall, subject to the terms of this Agreement and the applicable Warrant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entitle the holder thereof to purchase the number of Warrant Securities specified in the applicable Warrant Certificate at an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per Warrant Security, subject to adjustment upon the occurrence of certain events, as hereinafter provided. Such purchase price per Warrant Security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in this Agreement as the “</w:t>
      </w:r>
      <w:r>
        <w:rPr>
          <w:rFonts w:ascii="Times New Roman" w:cs="Times New Roman" w:eastAsia="Times New Roman" w:hAnsi="Times New Roman"/>
          <w:sz w:val="18"/>
          <w:szCs w:val="18"/>
          <w:b w:val="1"/>
          <w:bCs w:val="1"/>
          <w:i w:val="1"/>
          <w:iCs w:val="1"/>
          <w:color w:val="auto"/>
        </w:rPr>
        <w:t>Warrant Price.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2.2 Duration of Warrants. </w:t>
      </w:r>
      <w:r>
        <w:rPr>
          <w:rFonts w:ascii="Times New Roman" w:cs="Times New Roman" w:eastAsia="Times New Roman" w:hAnsi="Times New Roman"/>
          <w:sz w:val="18"/>
          <w:szCs w:val="18"/>
          <w:color w:val="auto"/>
        </w:rPr>
        <w:t>Each Warrant may be exercised in whole or in part at any time, as specified herein, on or after [the date thereof] [●] and at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Each Warrant not exercised at or before [●] p.m., [City] time, on the Expiration Date shall become void, and all rights of the holder of the Warrant Certificate evidencing such Warrant under this Agreement shall cease.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2.3 Exercise of Warrants.</w:t>
      </w:r>
    </w:p>
    <w:p>
      <w:pPr>
        <w:spacing w:after="0" w:line="229" w:lineRule="exact"/>
        <w:rPr>
          <w:sz w:val="20"/>
          <w:szCs w:val="20"/>
          <w:color w:val="auto"/>
        </w:rPr>
      </w:pPr>
    </w:p>
    <w:p>
      <w:pPr>
        <w:ind w:firstLine="8"/>
        <w:spacing w:after="0" w:line="252" w:lineRule="auto"/>
        <w:tabs>
          <w:tab w:leader="none" w:pos="25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93" w:lineRule="exact"/>
        <w:rPr>
          <w:rFonts w:ascii="Times New Roman" w:cs="Times New Roman" w:eastAsia="Times New Roman" w:hAnsi="Times New Roman"/>
          <w:sz w:val="18"/>
          <w:szCs w:val="18"/>
          <w:b w:val="1"/>
          <w:bCs w:val="1"/>
          <w:color w:val="auto"/>
        </w:rPr>
      </w:pPr>
    </w:p>
    <w:p>
      <w:pPr>
        <w:jc w:val="both"/>
        <w:ind w:right="120" w:firstLine="8"/>
        <w:spacing w:after="0" w:line="261" w:lineRule="auto"/>
        <w:tabs>
          <w:tab w:leader="none" w:pos="26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79" w:lineRule="exact"/>
        <w:rPr>
          <w:rFonts w:ascii="Times New Roman" w:cs="Times New Roman" w:eastAsia="Times New Roman" w:hAnsi="Times New Roman"/>
          <w:sz w:val="18"/>
          <w:szCs w:val="18"/>
          <w:b w:val="1"/>
          <w:bCs w:val="1"/>
          <w:color w:val="auto"/>
        </w:rPr>
      </w:pPr>
    </w:p>
    <w:p>
      <w:pPr>
        <w:ind w:right="160" w:firstLine="8"/>
        <w:spacing w:after="0" w:line="258" w:lineRule="auto"/>
        <w:tabs>
          <w:tab w:leader="none" w:pos="24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83" w:lineRule="exact"/>
        <w:rPr>
          <w:rFonts w:ascii="Times New Roman" w:cs="Times New Roman" w:eastAsia="Times New Roman" w:hAnsi="Times New Roman"/>
          <w:sz w:val="18"/>
          <w:szCs w:val="18"/>
          <w:b w:val="1"/>
          <w:bCs w:val="1"/>
          <w:color w:val="auto"/>
        </w:rPr>
      </w:pPr>
    </w:p>
    <w:p>
      <w:pPr>
        <w:ind w:right="20" w:firstLine="8"/>
        <w:spacing w:after="0" w:line="261" w:lineRule="auto"/>
        <w:tabs>
          <w:tab w:leader="none" w:pos="26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79" w:lineRule="exact"/>
        <w:rPr>
          <w:rFonts w:ascii="Times New Roman" w:cs="Times New Roman" w:eastAsia="Times New Roman" w:hAnsi="Times New Roman"/>
          <w:sz w:val="18"/>
          <w:szCs w:val="18"/>
          <w:b w:val="1"/>
          <w:bCs w:val="1"/>
          <w:color w:val="auto"/>
        </w:rPr>
      </w:pPr>
    </w:p>
    <w:p>
      <w:pPr>
        <w:ind w:right="120" w:firstLine="8"/>
        <w:spacing w:after="0" w:line="282" w:lineRule="auto"/>
        <w:tabs>
          <w:tab w:leader="none" w:pos="245"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PROVISIONS RELATING TO RIGHTS OF HOLDERS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 CERTIFICATES</w:t>
      </w:r>
    </w:p>
    <w:p>
      <w:pPr>
        <w:spacing w:after="0" w:line="20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 No Rights as Warrant Securityholder Conferred by Warrants or Warrant Certificates. </w:t>
      </w:r>
      <w:r>
        <w:rPr>
          <w:rFonts w:ascii="Times New Roman" w:cs="Times New Roman" w:eastAsia="Times New Roman" w:hAnsi="Times New Roman"/>
          <w:sz w:val="18"/>
          <w:szCs w:val="18"/>
          <w:color w:val="auto"/>
        </w:rPr>
        <w:t>No Warrant Certificate or Warrant evidenced thereby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3.2 Lost, Stolen, Mutilated or Destroyed Warrant Certificates. </w:t>
      </w:r>
      <w:r>
        <w:rPr>
          <w:rFonts w:ascii="Times New Roman" w:cs="Times New Roman" w:eastAsia="Times New Roman" w:hAnsi="Times New Roman"/>
          <w:sz w:val="18"/>
          <w:szCs w:val="18"/>
          <w:color w:val="auto"/>
        </w:rPr>
        <w:t>Upon receipt by the Warrant Agent of evidence reasonably satisfactory to it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 Holder of Warrant Certificate May Enforce Rights. </w:t>
      </w:r>
      <w:r>
        <w:rPr>
          <w:rFonts w:ascii="Times New Roman" w:cs="Times New Roman" w:eastAsia="Times New Roman" w:hAnsi="Times New Roman"/>
          <w:sz w:val="18"/>
          <w:szCs w:val="18"/>
          <w:color w:val="auto"/>
        </w:rPr>
        <w:t>Notwithstanding any of the provisions of this Agreement, any holder of a Warrant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 Adjustments.</w:t>
      </w:r>
    </w:p>
    <w:p>
      <w:pPr>
        <w:spacing w:after="0" w:line="229" w:lineRule="exact"/>
        <w:rPr>
          <w:sz w:val="20"/>
          <w:szCs w:val="20"/>
          <w:color w:val="auto"/>
        </w:rPr>
      </w:pPr>
    </w:p>
    <w:p>
      <w:pPr>
        <w:ind w:right="240" w:firstLine="8"/>
        <w:spacing w:after="0" w:line="277" w:lineRule="auto"/>
        <w:tabs>
          <w:tab w:leader="none" w:pos="255" w:val="left"/>
        </w:tabs>
        <w:numPr>
          <w:ilvl w:val="0"/>
          <w:numId w:val="1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167" w:lineRule="exact"/>
        <w:rPr>
          <w:rFonts w:ascii="Times New Roman" w:cs="Times New Roman" w:eastAsia="Times New Roman" w:hAnsi="Times New Roman"/>
          <w:sz w:val="17"/>
          <w:szCs w:val="17"/>
          <w:b w:val="1"/>
          <w:bCs w:val="1"/>
          <w:color w:val="auto"/>
        </w:rPr>
      </w:pPr>
    </w:p>
    <w:p>
      <w:pPr>
        <w:ind w:right="320" w:firstLine="8"/>
        <w:spacing w:after="0" w:line="282" w:lineRule="auto"/>
        <w:tabs>
          <w:tab w:leader="none" w:pos="265"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w:t>
      </w:r>
    </w:p>
    <w:p>
      <w:pPr>
        <w:spacing w:after="0" w:line="162" w:lineRule="exact"/>
        <w:rPr>
          <w:sz w:val="20"/>
          <w:szCs w:val="20"/>
          <w:color w:val="auto"/>
        </w:rPr>
      </w:pPr>
    </w:p>
    <w:p>
      <w:pPr>
        <w:jc w:val="both"/>
        <w:ind w:right="120" w:firstLine="8"/>
        <w:spacing w:after="0" w:line="266" w:lineRule="auto"/>
        <w:tabs>
          <w:tab w:leader="none" w:pos="215"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spacing w:after="0" w:line="175" w:lineRule="exact"/>
        <w:rPr>
          <w:rFonts w:ascii="Times New Roman" w:cs="Times New Roman" w:eastAsia="Times New Roman" w:hAnsi="Times New Roman"/>
          <w:sz w:val="18"/>
          <w:szCs w:val="18"/>
          <w:b w:val="1"/>
          <w:bCs w:val="1"/>
          <w:color w:val="auto"/>
        </w:rPr>
      </w:pPr>
    </w:p>
    <w:p>
      <w:pPr>
        <w:ind w:right="40" w:firstLine="8"/>
        <w:spacing w:after="0" w:line="282" w:lineRule="auto"/>
        <w:tabs>
          <w:tab w:leader="none" w:pos="265"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cash paid or payable otherwise than in accordance with the terms of [title of Preferred Stock purchasable through exercise of Warrants] or as a cash dividend paid or payable out of the Company’s current or retained earnings;</w:t>
      </w:r>
    </w:p>
    <w:p>
      <w:pPr>
        <w:spacing w:after="0" w:line="161"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evidence of the Company’s indebtedness or rights to subscribe for or purchase the Company’s indebtedness;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4" w:name="page145"/>
    <w:bookmarkEnd w:id="144"/>
    <w:p>
      <w:pPr>
        <w:ind w:left="-8" w:right="80" w:firstLine="8"/>
        <w:spacing w:after="0" w:line="254" w:lineRule="auto"/>
        <w:tabs>
          <w:tab w:leader="none" w:pos="297"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spacing w:after="0" w:line="192" w:lineRule="exact"/>
        <w:rPr>
          <w:sz w:val="20"/>
          <w:szCs w:val="20"/>
          <w:color w:val="auto"/>
        </w:rPr>
      </w:pPr>
    </w:p>
    <w:p>
      <w:pPr>
        <w:ind w:left="-8" w:firstLine="8"/>
        <w:spacing w:after="0" w:line="251" w:lineRule="auto"/>
        <w:tabs>
          <w:tab w:leader="none" w:pos="237"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8"/>
          <w:szCs w:val="18"/>
          <w:b w:val="1"/>
          <w:bCs w:val="1"/>
          <w:i w:val="1"/>
          <w:iCs w:val="1"/>
          <w:color w:val="auto"/>
        </w:rPr>
        <w:t>Reorganization Event</w:t>
      </w:r>
      <w:r>
        <w:rPr>
          <w:rFonts w:ascii="Times New Roman" w:cs="Times New Roman" w:eastAsia="Times New Roman" w:hAnsi="Times New Roman"/>
          <w:sz w:val="18"/>
          <w:szCs w:val="18"/>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205" w:lineRule="exact"/>
        <w:rPr>
          <w:rFonts w:ascii="Times New Roman" w:cs="Times New Roman" w:eastAsia="Times New Roman" w:hAnsi="Times New Roman"/>
          <w:sz w:val="18"/>
          <w:szCs w:val="18"/>
          <w:b w:val="1"/>
          <w:bCs w:val="1"/>
          <w:color w:val="auto"/>
        </w:rPr>
      </w:pPr>
    </w:p>
    <w:p>
      <w:pPr>
        <w:ind w:left="-8" w:right="140" w:firstLine="8"/>
        <w:spacing w:after="0" w:line="266" w:lineRule="auto"/>
        <w:tabs>
          <w:tab w:leader="none" w:pos="257"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75" w:lineRule="exact"/>
        <w:rPr>
          <w:rFonts w:ascii="Times New Roman" w:cs="Times New Roman" w:eastAsia="Times New Roman" w:hAnsi="Times New Roman"/>
          <w:sz w:val="18"/>
          <w:szCs w:val="18"/>
          <w:b w:val="1"/>
          <w:bCs w:val="1"/>
          <w:color w:val="auto"/>
        </w:rPr>
      </w:pPr>
    </w:p>
    <w:p>
      <w:pPr>
        <w:ind w:left="-8" w:right="480" w:firstLine="8"/>
        <w:spacing w:after="0" w:line="282" w:lineRule="auto"/>
        <w:tabs>
          <w:tab w:leader="none" w:pos="237"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herein otherwise expressly provided, no adjustment in the Warrant Price shall be made by reason of the issuance of any securities of the Company or for any other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45" w:name="page146"/>
    <w:bookmarkEnd w:id="145"/>
    <w:p>
      <w:pPr>
        <w:ind w:firstLine="8"/>
        <w:spacing w:after="0" w:line="253" w:lineRule="auto"/>
        <w:tabs>
          <w:tab w:leader="none" w:pos="225"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 w:cs="Times New Roman" w:eastAsia="Times New Roman" w:hAnsi="Times New Roman"/>
          <w:sz w:val="18"/>
          <w:szCs w:val="18"/>
          <w:b w:val="1"/>
          <w:bCs w:val="1"/>
          <w:i w:val="1"/>
          <w:iCs w:val="1"/>
          <w:color w:val="auto"/>
        </w:rPr>
        <w:t>OTC Bulletin Board</w:t>
      </w:r>
      <w:r>
        <w:rPr>
          <w:rFonts w:ascii="Times New Roman" w:cs="Times New Roman" w:eastAsia="Times New Roman" w:hAnsi="Times New Roman"/>
          <w:sz w:val="18"/>
          <w:szCs w:val="18"/>
          <w:color w:val="auto"/>
        </w:rPr>
        <w:t>”) operated by the Financial Industry Regulatory Authority, Inc.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87" w:lineRule="exact"/>
        <w:rPr>
          <w:rFonts w:ascii="Times New Roman" w:cs="Times New Roman" w:eastAsia="Times New Roman" w:hAnsi="Times New Roman"/>
          <w:sz w:val="18"/>
          <w:szCs w:val="18"/>
          <w:b w:val="1"/>
          <w:bCs w:val="1"/>
          <w:color w:val="auto"/>
        </w:rPr>
      </w:pPr>
    </w:p>
    <w:p>
      <w:pPr>
        <w:ind w:right="540" w:firstLine="8"/>
        <w:spacing w:after="0" w:line="266" w:lineRule="auto"/>
        <w:tabs>
          <w:tab w:leader="none" w:pos="255"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75" w:lineRule="exact"/>
        <w:rPr>
          <w:rFonts w:ascii="Times New Roman" w:cs="Times New Roman" w:eastAsia="Times New Roman" w:hAnsi="Times New Roman"/>
          <w:sz w:val="18"/>
          <w:szCs w:val="18"/>
          <w:b w:val="1"/>
          <w:bCs w:val="1"/>
          <w:color w:val="auto"/>
        </w:rPr>
      </w:pPr>
    </w:p>
    <w:p>
      <w:pPr>
        <w:ind w:right="220" w:firstLine="8"/>
        <w:spacing w:after="0" w:line="282" w:lineRule="auto"/>
        <w:tabs>
          <w:tab w:leader="none" w:pos="265"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herein, in no event shall the Warrant Price, as adjusted in accordance with the terms hereof, be less than the par value per share of [title of Preferred Stock purchasable through exercise of Warrants].</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3.5 Notice to Warrantholders. </w:t>
      </w:r>
      <w:r>
        <w:rPr>
          <w:rFonts w:ascii="Times New Roman" w:cs="Times New Roman" w:eastAsia="Times New Roman" w:hAnsi="Times New Roman"/>
          <w:sz w:val="18"/>
          <w:szCs w:val="18"/>
          <w:color w:val="auto"/>
        </w:rPr>
        <w:t>In case the Company shall (a) effect any dividend or distribution described in Section 3.4(b), (b) effect any 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w:t>
      </w:r>
    </w:p>
    <w:p>
      <w:pPr>
        <w:spacing w:after="0" w:line="4" w:lineRule="exact"/>
        <w:rPr>
          <w:sz w:val="20"/>
          <w:szCs w:val="20"/>
          <w:color w:val="auto"/>
        </w:rPr>
      </w:pPr>
    </w:p>
    <w:p>
      <w:pPr>
        <w:ind w:right="160" w:firstLine="8"/>
        <w:spacing w:after="0" w:line="271" w:lineRule="auto"/>
        <w:tabs>
          <w:tab w:leader="none" w:pos="25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3.6 </w:t>
      </w:r>
      <w:r>
        <w:rPr>
          <w:rFonts w:ascii="Times New Roman" w:cs="Times New Roman" w:eastAsia="Times New Roman" w:hAnsi="Times New Roman"/>
          <w:sz w:val="18"/>
          <w:szCs w:val="18"/>
          <w:color w:val="auto"/>
        </w:rPr>
        <w:t>[If the Warrants are Subject to Acceleration by the Company, Insert - Acceleration of Warrants by the Company.</w:t>
      </w:r>
    </w:p>
    <w:p>
      <w:pPr>
        <w:spacing w:after="0" w:line="229" w:lineRule="exact"/>
        <w:rPr>
          <w:sz w:val="20"/>
          <w:szCs w:val="20"/>
          <w:color w:val="auto"/>
        </w:rPr>
      </w:pPr>
    </w:p>
    <w:p>
      <w:pPr>
        <w:ind w:right="240" w:firstLine="8"/>
        <w:spacing w:after="0" w:line="258" w:lineRule="auto"/>
        <w:tabs>
          <w:tab w:leader="none" w:pos="255"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on or after [●], the Company shall have the right to accelerate any or all Warrants at any time by causing them to expire at the close of business on the day next preceding a specified date (the “</w:t>
      </w:r>
      <w:r>
        <w:rPr>
          <w:rFonts w:ascii="Times New Roman" w:cs="Times New Roman" w:eastAsia="Times New Roman" w:hAnsi="Times New Roman"/>
          <w:sz w:val="18"/>
          <w:szCs w:val="18"/>
          <w:b w:val="1"/>
          <w:bCs w:val="1"/>
          <w:i w:val="1"/>
          <w:iCs w:val="1"/>
          <w:color w:val="auto"/>
        </w:rPr>
        <w:t>Acceleration Date</w:t>
      </w:r>
      <w:r>
        <w:rPr>
          <w:rFonts w:ascii="Times New Roman" w:cs="Times New Roman" w:eastAsia="Times New Roman" w:hAnsi="Times New Roman"/>
          <w:sz w:val="18"/>
          <w:szCs w:val="18"/>
          <w:color w:val="auto"/>
        </w:rPr>
        <w:t>”),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6" w:name="page147"/>
    <w:bookmarkEnd w:id="146"/>
    <w:p>
      <w:pPr>
        <w:ind w:left="280" w:hanging="272"/>
        <w:spacing w:after="0"/>
        <w:tabs>
          <w:tab w:leader="none" w:pos="28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 Price</w:t>
      </w:r>
      <w:r>
        <w:rPr>
          <w:rFonts w:ascii="Times New Roman" w:cs="Times New Roman" w:eastAsia="Times New Roman" w:hAnsi="Times New Roman"/>
          <w:sz w:val="18"/>
          <w:szCs w:val="18"/>
          <w:color w:val="auto"/>
        </w:rPr>
        <w:t>” for each Trading Day shall be, if the [title of Preferred Stock purchasable through exercise of Warrants] is listed or admitted to</w:t>
      </w:r>
    </w:p>
    <w:p>
      <w:pPr>
        <w:spacing w:after="0" w:line="31" w:lineRule="exact"/>
        <w:rPr>
          <w:rFonts w:ascii="Times New Roman" w:cs="Times New Roman" w:eastAsia="Times New Roman" w:hAnsi="Times New Roman"/>
          <w:sz w:val="18"/>
          <w:szCs w:val="18"/>
          <w:b w:val="1"/>
          <w:bCs w:val="1"/>
          <w:color w:val="auto"/>
        </w:rPr>
      </w:pPr>
    </w:p>
    <w:p>
      <w:pPr>
        <w:ind w:right="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spacing w:after="0" w:line="192" w:lineRule="exact"/>
        <w:rPr>
          <w:rFonts w:ascii="Times New Roman" w:cs="Times New Roman" w:eastAsia="Times New Roman" w:hAnsi="Times New Roman"/>
          <w:sz w:val="18"/>
          <w:szCs w:val="18"/>
          <w:b w:val="1"/>
          <w:bCs w:val="1"/>
          <w:color w:val="auto"/>
        </w:rPr>
      </w:pPr>
    </w:p>
    <w:p>
      <w:pPr>
        <w:ind w:firstLine="8"/>
        <w:spacing w:after="0" w:line="258" w:lineRule="auto"/>
        <w:tabs>
          <w:tab w:leader="none" w:pos="245"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83" w:lineRule="exact"/>
        <w:rPr>
          <w:rFonts w:ascii="Times New Roman" w:cs="Times New Roman" w:eastAsia="Times New Roman" w:hAnsi="Times New Roman"/>
          <w:sz w:val="18"/>
          <w:szCs w:val="18"/>
          <w:b w:val="1"/>
          <w:bCs w:val="1"/>
          <w:color w:val="auto"/>
        </w:rPr>
      </w:pPr>
    </w:p>
    <w:p>
      <w:pPr>
        <w:ind w:right="360" w:firstLine="8"/>
        <w:spacing w:after="0" w:line="282" w:lineRule="auto"/>
        <w:tabs>
          <w:tab w:leader="none" w:pos="265"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Warrant accelerated may be exercised until [●] p.m., [City] time, on the business day next preceding the Acceleration Date. The Warrant Price shall be payable as provided in Section 2.]</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EXCHANGE AND TRANSFER OF WARRANT CERTIFICATES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4.1 </w:t>
      </w:r>
      <w:r>
        <w:rPr>
          <w:rFonts w:ascii="Times New Roman" w:cs="Times New Roman" w:eastAsia="Times New Roman" w:hAnsi="Times New Roman"/>
          <w:sz w:val="17"/>
          <w:szCs w:val="17"/>
          <w:color w:val="auto"/>
        </w:rPr>
        <w:t>Exchange and Transfer of Warrant Certificates. Upon surrender at the corporate trust office of the Warrant Agent, Warrant Certificates evidencing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82"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 Treatment of Holders of Warrant Certificates. </w:t>
      </w:r>
      <w:r>
        <w:rPr>
          <w:rFonts w:ascii="Times New Roman" w:cs="Times New Roman" w:eastAsia="Times New Roman" w:hAnsi="Times New Roman"/>
          <w:sz w:val="18"/>
          <w:szCs w:val="18"/>
          <w:color w:val="auto"/>
        </w:rPr>
        <w:t>The Company, the Warrant Agent and all other persons may treat the registered holder of a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as the absolute owner thereof for any purpose and as the person entitled to exercise the rights represented by the Warrants evidenced thereby, any notice to the contrary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7" w:name="page148"/>
    <w:bookmarkEnd w:id="147"/>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4.3 Cancellation of Warrant Certificates. </w:t>
      </w:r>
      <w:r>
        <w:rPr>
          <w:rFonts w:ascii="Times New Roman" w:cs="Times New Roman" w:eastAsia="Times New Roman" w:hAnsi="Times New Roman"/>
          <w:sz w:val="18"/>
          <w:szCs w:val="18"/>
          <w:color w:val="auto"/>
        </w:rPr>
        <w:t>Any Warrant Certificate surrendered for exchange, registration of transfer or exercise of the Warrants evidenced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CONCERNING THE WARRANT AGENT</w:t>
      </w:r>
    </w:p>
    <w:p>
      <w:pPr>
        <w:spacing w:after="0" w:line="22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 Warrant Agent. </w:t>
      </w:r>
      <w:r>
        <w:rPr>
          <w:rFonts w:ascii="Times New Roman" w:cs="Times New Roman" w:eastAsia="Times New Roman" w:hAnsi="Times New Roman"/>
          <w:sz w:val="18"/>
          <w:szCs w:val="18"/>
          <w:color w:val="auto"/>
        </w:rPr>
        <w:t>The Company hereby appoints [●] as Warrant Agent of the Company in respect of the Warrants and the Warrant Certificates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79" w:lineRule="exact"/>
        <w:rPr>
          <w:sz w:val="20"/>
          <w:szCs w:val="20"/>
          <w:color w:val="auto"/>
        </w:rPr>
      </w:pPr>
    </w:p>
    <w:p>
      <w:pPr>
        <w:jc w:val="both"/>
        <w:ind w:right="6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5.2 Conditions of Warrant Agent’s Obligations. </w:t>
      </w:r>
      <w:r>
        <w:rPr>
          <w:rFonts w:ascii="Times New Roman" w:cs="Times New Roman" w:eastAsia="Times New Roman" w:hAnsi="Times New Roman"/>
          <w:sz w:val="18"/>
          <w:szCs w:val="18"/>
          <w:color w:val="auto"/>
        </w:rPr>
        <w:t>The Warrant Agent accepts its obligations herein set forth upon the terms and conditions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following to all of which the Company agrees and to all of which the rights hereunder of the holders from time to time of the Warrant Certificates shall be subject:</w:t>
      </w:r>
    </w:p>
    <w:p>
      <w:pPr>
        <w:spacing w:after="0" w:line="171" w:lineRule="exact"/>
        <w:rPr>
          <w:sz w:val="20"/>
          <w:szCs w:val="20"/>
          <w:color w:val="auto"/>
        </w:rPr>
      </w:pPr>
    </w:p>
    <w:p>
      <w:pPr>
        <w:ind w:right="60" w:firstLine="8"/>
        <w:spacing w:after="0" w:line="257" w:lineRule="auto"/>
        <w:tabs>
          <w:tab w:leader="none" w:pos="255"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Compensation and Indemnification. </w:t>
      </w:r>
      <w:r>
        <w:rPr>
          <w:rFonts w:ascii="Times New Roman" w:cs="Times New Roman" w:eastAsia="Times New Roman" w:hAnsi="Times New Roman"/>
          <w:sz w:val="18"/>
          <w:szCs w:val="18"/>
          <w:color w:val="auto"/>
        </w:rPr>
        <w:t>The Company agrees promptly to pay the Warrant Agent the compensation to be agreed upon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82" w:lineRule="exact"/>
        <w:rPr>
          <w:rFonts w:ascii="Times New Roman" w:cs="Times New Roman" w:eastAsia="Times New Roman" w:hAnsi="Times New Roman"/>
          <w:sz w:val="18"/>
          <w:szCs w:val="18"/>
          <w:b w:val="1"/>
          <w:bCs w:val="1"/>
          <w:color w:val="auto"/>
        </w:rPr>
      </w:pPr>
    </w:p>
    <w:p>
      <w:pPr>
        <w:ind w:right="20" w:firstLine="8"/>
        <w:spacing w:after="0" w:line="268" w:lineRule="auto"/>
        <w:tabs>
          <w:tab w:leader="none" w:pos="265"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Agent for the Company. </w:t>
      </w:r>
      <w:r>
        <w:rPr>
          <w:rFonts w:ascii="Times New Roman" w:cs="Times New Roman" w:eastAsia="Times New Roman" w:hAnsi="Times New Roman"/>
          <w:sz w:val="18"/>
          <w:szCs w:val="18"/>
          <w:color w:val="auto"/>
        </w:rPr>
        <w:t>In acting under this Agreement and in connection with the Warrant Certificates, the Warrant Agent is acting solely as agent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does not assume any obligations or relationship of agency or trust for or with any of the holders of Warrant Certificates or beneficial owners of Warrants.</w:t>
      </w:r>
    </w:p>
    <w:p>
      <w:pPr>
        <w:spacing w:after="0" w:line="170" w:lineRule="exact"/>
        <w:rPr>
          <w:rFonts w:ascii="Times New Roman" w:cs="Times New Roman" w:eastAsia="Times New Roman" w:hAnsi="Times New Roman"/>
          <w:sz w:val="18"/>
          <w:szCs w:val="18"/>
          <w:b w:val="1"/>
          <w:bCs w:val="1"/>
          <w:color w:val="auto"/>
        </w:rPr>
      </w:pPr>
    </w:p>
    <w:p>
      <w:pPr>
        <w:ind w:right="260" w:firstLine="8"/>
        <w:spacing w:after="0" w:line="268" w:lineRule="auto"/>
        <w:tabs>
          <w:tab w:leader="none" w:pos="244"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Counsel. </w:t>
      </w:r>
      <w:r>
        <w:rPr>
          <w:rFonts w:ascii="Times New Roman" w:cs="Times New Roman" w:eastAsia="Times New Roman" w:hAnsi="Times New Roman"/>
          <w:sz w:val="18"/>
          <w:szCs w:val="18"/>
          <w:color w:val="auto"/>
        </w:rPr>
        <w:t>The Warrant Agent may consult with counsel satisfactory to it, which may include counsel for the Company, and the written advice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shall be full and complete authorization and protection in respect of any action taken, suffered or omitted by it hereunder in good faith and in accordance with the advice of such counsel.</w:t>
      </w:r>
    </w:p>
    <w:p>
      <w:pPr>
        <w:spacing w:after="0" w:line="170" w:lineRule="exact"/>
        <w:rPr>
          <w:rFonts w:ascii="Times New Roman" w:cs="Times New Roman" w:eastAsia="Times New Roman" w:hAnsi="Times New Roman"/>
          <w:sz w:val="18"/>
          <w:szCs w:val="18"/>
          <w:b w:val="1"/>
          <w:bCs w:val="1"/>
          <w:color w:val="auto"/>
        </w:rPr>
      </w:pPr>
    </w:p>
    <w:p>
      <w:pPr>
        <w:ind w:right="100" w:firstLine="8"/>
        <w:spacing w:after="0" w:line="268" w:lineRule="auto"/>
        <w:tabs>
          <w:tab w:leader="none" w:pos="265"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Documents. </w:t>
      </w:r>
      <w:r>
        <w:rPr>
          <w:rFonts w:ascii="Times New Roman" w:cs="Times New Roman" w:eastAsia="Times New Roman" w:hAnsi="Times New Roman"/>
          <w:sz w:val="18"/>
          <w:szCs w:val="18"/>
          <w:color w:val="auto"/>
        </w:rPr>
        <w:t>The Warrant Agent shall be protected and shall incur no liability for or in respect of any action taken or omitted by it in reliance upon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Certificate, notice, direction, consent, certificate, affidavit, statement or other paper or document reasonably believed by it to be genuine and to have been presented or signed by the proper parties.</w:t>
      </w:r>
    </w:p>
    <w:p>
      <w:pPr>
        <w:spacing w:after="0" w:line="170" w:lineRule="exact"/>
        <w:rPr>
          <w:rFonts w:ascii="Times New Roman" w:cs="Times New Roman" w:eastAsia="Times New Roman" w:hAnsi="Times New Roman"/>
          <w:sz w:val="18"/>
          <w:szCs w:val="18"/>
          <w:b w:val="1"/>
          <w:bCs w:val="1"/>
          <w:color w:val="auto"/>
        </w:rPr>
      </w:pPr>
    </w:p>
    <w:p>
      <w:pPr>
        <w:ind w:right="20" w:firstLine="8"/>
        <w:spacing w:after="0" w:line="259" w:lineRule="auto"/>
        <w:tabs>
          <w:tab w:leader="none" w:pos="244"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Transactions. </w:t>
      </w:r>
      <w:r>
        <w:rPr>
          <w:rFonts w:ascii="Times New Roman" w:cs="Times New Roman" w:eastAsia="Times New Roman" w:hAnsi="Times New Roman"/>
          <w:sz w:val="18"/>
          <w:szCs w:val="18"/>
          <w:color w:val="auto"/>
        </w:rPr>
        <w:t>The Warrant Agent, and its officers, directors and employees, may become the owner of, or acquire any interest in,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spacing w:after="0" w:line="179" w:lineRule="exact"/>
        <w:rPr>
          <w:rFonts w:ascii="Times New Roman" w:cs="Times New Roman" w:eastAsia="Times New Roman" w:hAnsi="Times New Roman"/>
          <w:sz w:val="18"/>
          <w:szCs w:val="18"/>
          <w:b w:val="1"/>
          <w:bCs w:val="1"/>
          <w:color w:val="auto"/>
        </w:rPr>
      </w:pPr>
    </w:p>
    <w:p>
      <w:pPr>
        <w:ind w:right="180" w:firstLine="8"/>
        <w:spacing w:after="0" w:line="286" w:lineRule="auto"/>
        <w:tabs>
          <w:tab w:leader="none" w:pos="225"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Liability for Interest. </w:t>
      </w:r>
      <w:r>
        <w:rPr>
          <w:rFonts w:ascii="Times New Roman" w:cs="Times New Roman" w:eastAsia="Times New Roman" w:hAnsi="Times New Roman"/>
          <w:sz w:val="18"/>
          <w:szCs w:val="18"/>
          <w:color w:val="auto"/>
        </w:rPr>
        <w:t>Unless otherwise agreed with the Company, the Warrant Agent shall have no liability for interest on any monies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by it pursuant to any of the provisions of this Agreement or of the Warrant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ind w:right="840" w:firstLine="8"/>
        <w:spacing w:after="0" w:line="286" w:lineRule="auto"/>
        <w:tabs>
          <w:tab w:leader="none" w:pos="255"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Liability for Invalidity. </w:t>
      </w:r>
      <w:r>
        <w:rPr>
          <w:rFonts w:ascii="Times New Roman" w:cs="Times New Roman" w:eastAsia="Times New Roman" w:hAnsi="Times New Roman"/>
          <w:sz w:val="18"/>
          <w:szCs w:val="18"/>
          <w:color w:val="auto"/>
        </w:rPr>
        <w:t>The Warrant Agent shall have no liability with respect to any invalidity of this Agreement or any of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(except as to the Warrant Agent’s countersignature thereon).</w:t>
      </w:r>
    </w:p>
    <w:p>
      <w:pPr>
        <w:spacing w:after="0" w:line="154" w:lineRule="exact"/>
        <w:rPr>
          <w:rFonts w:ascii="Times New Roman" w:cs="Times New Roman" w:eastAsia="Times New Roman" w:hAnsi="Times New Roman"/>
          <w:sz w:val="18"/>
          <w:szCs w:val="18"/>
          <w:b w:val="1"/>
          <w:bCs w:val="1"/>
          <w:color w:val="auto"/>
        </w:rPr>
      </w:pPr>
    </w:p>
    <w:p>
      <w:pPr>
        <w:ind w:right="160" w:firstLine="8"/>
        <w:spacing w:after="0" w:line="286" w:lineRule="auto"/>
        <w:tabs>
          <w:tab w:leader="none" w:pos="265"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Responsibility for Representations. </w:t>
      </w:r>
      <w:r>
        <w:rPr>
          <w:rFonts w:ascii="Times New Roman" w:cs="Times New Roman" w:eastAsia="Times New Roman" w:hAnsi="Times New Roman"/>
          <w:sz w:val="18"/>
          <w:szCs w:val="18"/>
          <w:color w:val="auto"/>
        </w:rPr>
        <w:t>The Warrant Agent shall not be responsible for any of the recitals or representations herein or in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(except as to the Warrant Agent’s countersignature thereon), all of which are made solely by the Company.</w:t>
      </w:r>
    </w:p>
    <w:p>
      <w:pPr>
        <w:spacing w:after="0" w:line="154" w:lineRule="exact"/>
        <w:rPr>
          <w:rFonts w:ascii="Times New Roman" w:cs="Times New Roman" w:eastAsia="Times New Roman" w:hAnsi="Times New Roman"/>
          <w:sz w:val="18"/>
          <w:szCs w:val="18"/>
          <w:b w:val="1"/>
          <w:bCs w:val="1"/>
          <w:color w:val="auto"/>
        </w:rPr>
      </w:pPr>
    </w:p>
    <w:p>
      <w:pPr>
        <w:ind w:right="40" w:firstLine="8"/>
        <w:spacing w:after="0" w:line="254" w:lineRule="auto"/>
        <w:tabs>
          <w:tab w:leader="none" w:pos="215"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Implied Obligations. </w:t>
      </w:r>
      <w:r>
        <w:rPr>
          <w:rFonts w:ascii="Times New Roman" w:cs="Times New Roman" w:eastAsia="Times New Roman" w:hAnsi="Times New Roman"/>
          <w:sz w:val="18"/>
          <w:szCs w:val="18"/>
          <w:color w:val="auto"/>
        </w:rPr>
        <w:t>The Warrant Agent shall be obligated to perform only such duties as are herein and in the Warrant Certificates specifically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 Resignation, Removal and Appointment of Successors.</w:t>
      </w:r>
    </w:p>
    <w:p>
      <w:pPr>
        <w:spacing w:after="0" w:line="229" w:lineRule="exact"/>
        <w:rPr>
          <w:sz w:val="20"/>
          <w:szCs w:val="20"/>
          <w:color w:val="auto"/>
        </w:rPr>
      </w:pPr>
    </w:p>
    <w:p>
      <w:pPr>
        <w:ind w:right="600" w:firstLine="8"/>
        <w:spacing w:after="0" w:line="282" w:lineRule="auto"/>
        <w:tabs>
          <w:tab w:leader="none" w:pos="255"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61" w:lineRule="exact"/>
        <w:rPr>
          <w:rFonts w:ascii="Times New Roman" w:cs="Times New Roman" w:eastAsia="Times New Roman" w:hAnsi="Times New Roman"/>
          <w:sz w:val="18"/>
          <w:szCs w:val="18"/>
          <w:b w:val="1"/>
          <w:bCs w:val="1"/>
          <w:color w:val="auto"/>
        </w:rPr>
      </w:pPr>
    </w:p>
    <w:p>
      <w:pPr>
        <w:ind w:right="20" w:firstLine="8"/>
        <w:spacing w:after="0" w:line="254" w:lineRule="auto"/>
        <w:tabs>
          <w:tab w:leader="none" w:pos="265"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91" w:lineRule="exact"/>
        <w:rPr>
          <w:rFonts w:ascii="Times New Roman" w:cs="Times New Roman" w:eastAsia="Times New Roman" w:hAnsi="Times New Roman"/>
          <w:sz w:val="18"/>
          <w:szCs w:val="18"/>
          <w:b w:val="1"/>
          <w:bCs w:val="1"/>
          <w:color w:val="auto"/>
        </w:rPr>
      </w:pPr>
    </w:p>
    <w:p>
      <w:pPr>
        <w:ind w:firstLine="8"/>
        <w:spacing w:after="0" w:line="253" w:lineRule="auto"/>
        <w:tabs>
          <w:tab w:leader="none" w:pos="245"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9" w:name="page150"/>
    <w:bookmarkEnd w:id="149"/>
    <w:p>
      <w:pPr>
        <w:ind w:left="280" w:hanging="272"/>
        <w:spacing w:after="0"/>
        <w:tabs>
          <w:tab w:leader="none" w:pos="28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successor Warrant Agent appointed hereunder shall execute, acknowledge and deliver to its predecessor and to the Company an instrument</w:t>
      </w:r>
    </w:p>
    <w:p>
      <w:pPr>
        <w:spacing w:after="0" w:line="27" w:lineRule="exact"/>
        <w:rPr>
          <w:rFonts w:ascii="Times New Roman" w:cs="Times New Roman" w:eastAsia="Times New Roman" w:hAnsi="Times New Roman"/>
          <w:sz w:val="18"/>
          <w:szCs w:val="18"/>
          <w:b w:val="1"/>
          <w:bCs w:val="1"/>
          <w:color w:val="auto"/>
        </w:rPr>
      </w:pPr>
    </w:p>
    <w:p>
      <w:pPr>
        <w:ind w:right="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86" w:lineRule="exact"/>
        <w:rPr>
          <w:rFonts w:ascii="Times New Roman" w:cs="Times New Roman" w:eastAsia="Times New Roman" w:hAnsi="Times New Roman"/>
          <w:sz w:val="18"/>
          <w:szCs w:val="18"/>
          <w:b w:val="1"/>
          <w:bCs w:val="1"/>
          <w:color w:val="auto"/>
        </w:rPr>
      </w:pPr>
    </w:p>
    <w:p>
      <w:pPr>
        <w:ind w:right="60" w:firstLine="8"/>
        <w:spacing w:after="0" w:line="258" w:lineRule="auto"/>
        <w:tabs>
          <w:tab w:leader="none" w:pos="245"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 Amendment. </w:t>
      </w:r>
      <w:r>
        <w:rPr>
          <w:rFonts w:ascii="Times New Roman" w:cs="Times New Roman" w:eastAsia="Times New Roman" w:hAnsi="Times New Roman"/>
          <w:sz w:val="18"/>
          <w:szCs w:val="18"/>
          <w:color w:val="auto"/>
        </w:rPr>
        <w:t>This Agreement may be amended by the parties hereto, without the consent of the holder of any Warrant Certificate, for the purpose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7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6.2 Notices and Demands to the Company and Warrant Agent. </w:t>
      </w:r>
      <w:r>
        <w:rPr>
          <w:rFonts w:ascii="Times New Roman" w:cs="Times New Roman" w:eastAsia="Times New Roman" w:hAnsi="Times New Roman"/>
          <w:sz w:val="18"/>
          <w:szCs w:val="18"/>
          <w:color w:val="auto"/>
        </w:rPr>
        <w:t>If the Warrant Agent shall receive any notice or demand addressed to the Company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a Warrant Certificate pursuant to the provisions of the Warrant Certificates, the Warrant Agent shall promptly forward such notice or demand to the Company.</w:t>
      </w:r>
    </w:p>
    <w:p>
      <w:pPr>
        <w:spacing w:after="0" w:line="17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6.3 Addresses. </w:t>
      </w:r>
      <w:r>
        <w:rPr>
          <w:rFonts w:ascii="Times New Roman" w:cs="Times New Roman" w:eastAsia="Times New Roman" w:hAnsi="Times New Roman"/>
          <w:sz w:val="18"/>
          <w:szCs w:val="18"/>
          <w:color w:val="auto"/>
        </w:rPr>
        <w:t>Any communication from the Company to the Warrant Agent with respect to this Agreement shall be addressed to [●], Attention: [●]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communication from the Warrant Agent to the Company with respect to this Agreement shall be addressed to Tilray Brands, Inc., 1100 Maughan Road Nanaimo, BC, Canada, V9X IJ2, Attention: [●] (or such other address as shall be specified in writing by the Warrant Agent or by the Company).</w:t>
      </w:r>
    </w:p>
    <w:p>
      <w:pPr>
        <w:spacing w:after="0" w:line="1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6.4 Governing Law. </w:t>
      </w:r>
      <w:r>
        <w:rPr>
          <w:rFonts w:ascii="Times New Roman" w:cs="Times New Roman" w:eastAsia="Times New Roman" w:hAnsi="Times New Roman"/>
          <w:sz w:val="18"/>
          <w:szCs w:val="18"/>
          <w:color w:val="auto"/>
        </w:rPr>
        <w:t>This Agreement and each Warrant Certificate issued hereunder shall be governed by and construed in accordance with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New York.</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6.5 Delivery of Prospectus. </w:t>
      </w:r>
      <w:r>
        <w:rPr>
          <w:rFonts w:ascii="Times New Roman" w:cs="Times New Roman" w:eastAsia="Times New Roman" w:hAnsi="Times New Roman"/>
          <w:sz w:val="18"/>
          <w:szCs w:val="18"/>
          <w:color w:val="auto"/>
        </w:rPr>
        <w:t>The Company shall furnish to the Warrant Agent sufficient copies of a prospectus meeting the requirements of 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1933, as amended, relating to the Warrant Securities deliverable upon exercise of the Warrants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7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6.6 Obtaining of Governmental Approvals. </w:t>
      </w:r>
      <w:r>
        <w:rPr>
          <w:rFonts w:ascii="Times New Roman" w:cs="Times New Roman" w:eastAsia="Times New Roman" w:hAnsi="Times New Roman"/>
          <w:sz w:val="18"/>
          <w:szCs w:val="18"/>
          <w:color w:val="auto"/>
        </w:rPr>
        <w:t>The Company will from time to time take all action which may be necessary to obtain and keep effective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6.7 Persons Having Rights Under the Agreement. </w:t>
      </w:r>
      <w:r>
        <w:rPr>
          <w:rFonts w:ascii="Times New Roman" w:cs="Times New Roman" w:eastAsia="Times New Roman" w:hAnsi="Times New Roman"/>
          <w:sz w:val="18"/>
          <w:szCs w:val="18"/>
          <w:color w:val="auto"/>
        </w:rPr>
        <w:t>Nothing in this Agreement shall give to any person other than the Company, the Warrant Agent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the Warrant Certificates any right, remedy or claim under or by reason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6.8 Headings. </w:t>
      </w:r>
      <w:r>
        <w:rPr>
          <w:rFonts w:ascii="Times New Roman" w:cs="Times New Roman" w:eastAsia="Times New Roman" w:hAnsi="Times New Roman"/>
          <w:sz w:val="18"/>
          <w:szCs w:val="18"/>
          <w:color w:val="auto"/>
        </w:rPr>
        <w:t>The descriptive headings of the several Articles and Sections of this Agreement are inserted for convenience only and shall not control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meaning or construction of any of the provisions hereof.</w:t>
      </w:r>
    </w:p>
    <w:p>
      <w:pPr>
        <w:spacing w:after="0" w:line="15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6.9 Counterparts. </w:t>
      </w:r>
      <w:r>
        <w:rPr>
          <w:rFonts w:ascii="Times New Roman" w:cs="Times New Roman" w:eastAsia="Times New Roman" w:hAnsi="Times New Roman"/>
          <w:sz w:val="18"/>
          <w:szCs w:val="18"/>
          <w:color w:val="auto"/>
        </w:rPr>
        <w:t>This Agreement may be executed in any number of counterparts, each of which as so executed shall be deemed to be an original,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counterparts shall together constitute but one and the same instrument.</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6.10 Inspection of Agreement. </w:t>
      </w:r>
      <w:r>
        <w:rPr>
          <w:rFonts w:ascii="Times New Roman" w:cs="Times New Roman" w:eastAsia="Times New Roman" w:hAnsi="Times New Roman"/>
          <w:sz w:val="18"/>
          <w:szCs w:val="18"/>
          <w:color w:val="auto"/>
        </w:rPr>
        <w:t>A copy of this Agreement shall be available at all reasonable times at the principal corporate trust office of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for inspection by the holder of any Warrant Certificate. The Warrant Agent may require such holder to submit such holder’s Warrant Certificate for inspection by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caused this Agreement to be duly executed as of the day and year first above written.</w:t>
      </w:r>
    </w:p>
    <w:p>
      <w:pPr>
        <w:spacing w:after="0" w:line="24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Tilray Brands, Inc., as Company</w:t>
      </w:r>
    </w:p>
    <w:p>
      <w:pPr>
        <w:spacing w:after="0" w:line="225"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-127635</wp:posOffset>
            </wp:positionV>
            <wp:extent cx="212598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2125980" cy="17145"/>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26035</wp:posOffset>
            </wp:positionV>
            <wp:extent cx="212598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2125980" cy="171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-127635</wp:posOffset>
            </wp:positionV>
            <wp:extent cx="212598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2125980" cy="17145"/>
                    </a:xfrm>
                    <a:prstGeom prst="rect">
                      <a:avLst/>
                    </a:prstGeom>
                    <a:noFill/>
                  </pic:spPr>
                </pic:pic>
              </a:graphicData>
            </a:graphic>
          </wp:anchor>
        </w:drawing>
      </w:r>
    </w:p>
    <w:p>
      <w:pPr>
        <w:spacing w:after="0" w:line="242"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182880</wp:posOffset>
            </wp:positionV>
            <wp:extent cx="212598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2125980" cy="171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28575</wp:posOffset>
            </wp:positionV>
            <wp:extent cx="212598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212598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b w:val="1"/>
          <w:bCs w:val="1"/>
          <w:color w:val="auto"/>
        </w:rPr>
        <w:t>COUNTERSIGNED</w:t>
      </w:r>
    </w:p>
    <w:p>
      <w:pPr>
        <w:spacing w:after="0" w:line="225"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Warrant Agent</w:t>
      </w:r>
    </w:p>
    <w:p>
      <w:pPr>
        <w:spacing w:after="0" w:line="22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-127635</wp:posOffset>
            </wp:positionV>
            <wp:extent cx="212598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2125980" cy="17145"/>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26035</wp:posOffset>
            </wp:positionV>
            <wp:extent cx="212598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2125980" cy="171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-127635</wp:posOffset>
            </wp:positionV>
            <wp:extent cx="212598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2125980" cy="17145"/>
                    </a:xfrm>
                    <a:prstGeom prst="rect">
                      <a:avLst/>
                    </a:prstGeom>
                    <a:noFill/>
                  </pic:spPr>
                </pic:pic>
              </a:graphicData>
            </a:graphic>
          </wp:anchor>
        </w:drawing>
      </w:r>
    </w:p>
    <w:p>
      <w:pPr>
        <w:spacing w:after="0" w:line="242"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182880</wp:posOffset>
            </wp:positionV>
            <wp:extent cx="212598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2125980" cy="171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28575</wp:posOffset>
            </wp:positionV>
            <wp:extent cx="212598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2125980"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[SIGNATURE PAGE TO TILRAY BRANDS, INC. PREFERRED STOCK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FORM OF WARRANT CERTIFICATE</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[FACE OF WARRANT CERTIFICATE]</w:t>
      </w:r>
    </w:p>
    <w:p>
      <w:pPr>
        <w:spacing w:after="0" w:line="9" w:lineRule="exact"/>
        <w:rPr>
          <w:sz w:val="20"/>
          <w:szCs w:val="20"/>
          <w:color w:val="auto"/>
        </w:rPr>
      </w:pPr>
    </w:p>
    <w:p>
      <w:pPr>
        <w:ind w:left="5740" w:right="420" w:hanging="5736"/>
        <w:spacing w:after="0" w:line="260" w:lineRule="auto"/>
        <w:tabs>
          <w:tab w:leader="none" w:pos="57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of Legend if Warrants are not immediately exercisable.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[Prior to [●], Warrants evidenced by this Warrant Certificate cannot be exercised.]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EXERCISABLE ONLY IF COUNTERSIGNED BY THE WARRANT AGENT AS PROVIDED HEREIN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VOID AFTER [●] P.M., [City] time, ON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WARRANT SECURITIES]</w:t>
      </w:r>
    </w:p>
    <w:p>
      <w:pPr>
        <w:spacing w:after="0" w:line="207" w:lineRule="exact"/>
        <w:rPr>
          <w:sz w:val="20"/>
          <w:szCs w:val="20"/>
          <w:color w:val="auto"/>
        </w:rPr>
      </w:pPr>
    </w:p>
    <w:p>
      <w:pPr>
        <w:spacing w:after="0"/>
        <w:tabs>
          <w:tab w:leader="none" w:pos="10300" w:val="left"/>
        </w:tabs>
        <w:rPr>
          <w:sz w:val="20"/>
          <w:szCs w:val="20"/>
          <w:color w:val="auto"/>
        </w:rPr>
      </w:pPr>
      <w:r>
        <w:rPr>
          <w:rFonts w:ascii="Times New Roman" w:cs="Times New Roman" w:eastAsia="Times New Roman" w:hAnsi="Times New Roman"/>
          <w:sz w:val="18"/>
          <w:szCs w:val="18"/>
          <w:color w:val="auto"/>
        </w:rPr>
        <w:t>No. [●]</w:t>
      </w:r>
      <w:r>
        <w:rPr>
          <w:sz w:val="20"/>
          <w:szCs w:val="20"/>
          <w:color w:val="auto"/>
        </w:rPr>
        <w:tab/>
      </w:r>
      <w:r>
        <w:rPr>
          <w:rFonts w:ascii="Times New Roman" w:cs="Times New Roman" w:eastAsia="Times New Roman" w:hAnsi="Times New Roman"/>
          <w:sz w:val="17"/>
          <w:szCs w:val="17"/>
          <w:color w:val="auto"/>
        </w:rPr>
        <w:t>[●] Warrants</w:t>
      </w:r>
    </w:p>
    <w:p>
      <w:pPr>
        <w:spacing w:after="0" w:line="2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$0.0001 per share (the “</w:t>
      </w:r>
      <w:r>
        <w:rPr>
          <w:rFonts w:ascii="Times New Roman" w:cs="Times New Roman" w:eastAsia="Times New Roman" w:hAnsi="Times New Roman"/>
          <w:sz w:val="18"/>
          <w:szCs w:val="18"/>
          <w:b w:val="1"/>
          <w:bCs w:val="1"/>
          <w:i w:val="1"/>
          <w:iCs w:val="1"/>
          <w:color w:val="auto"/>
        </w:rPr>
        <w:t>Warrant Securities</w:t>
      </w:r>
      <w:r>
        <w:rPr>
          <w:rFonts w:ascii="Times New Roman" w:cs="Times New Roman" w:eastAsia="Times New Roman" w:hAnsi="Times New Roman"/>
          <w:sz w:val="18"/>
          <w:szCs w:val="18"/>
          <w:color w:val="auto"/>
        </w:rPr>
        <w:t>”), of Tilray Brands,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the following basis: during the period from [●], through and including [●], the exercise price per Warrant Security will be $[●], subject to adjustment as provided in the Warrant Agreement (as hereinafter defined) (the “</w:t>
      </w:r>
      <w:r>
        <w:rPr>
          <w:rFonts w:ascii="Times New Roman" w:cs="Times New Roman" w:eastAsia="Times New Roman" w:hAnsi="Times New Roman"/>
          <w:sz w:val="18"/>
          <w:szCs w:val="18"/>
          <w:b w:val="1"/>
          <w:bCs w:val="1"/>
          <w:i w:val="1"/>
          <w:iCs w:val="1"/>
          <w:color w:val="auto"/>
        </w:rPr>
        <w:t>Warrant Price</w:t>
      </w:r>
      <w:r>
        <w:rPr>
          <w:rFonts w:ascii="Times New Roman" w:cs="Times New Roman" w:eastAsia="Times New Roman" w:hAnsi="Times New Roman"/>
          <w:sz w:val="18"/>
          <w:szCs w:val="18"/>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which is, on the date hereof, at the address specified on the reverse hereof, and upon compliance with and subject to the conditions set forth herein and in the Warrant Agreement (as hereinafter defined).</w:t>
      </w:r>
    </w:p>
    <w:p>
      <w:pPr>
        <w:spacing w:after="0" w:line="18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5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72"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7"/>
          <w:szCs w:val="17"/>
          <w:color w:val="auto"/>
        </w:rPr>
        <w:t>This Warrant Certificate is issued under and in accordance with the Warrant Agreement dated as of [●] (the “</w:t>
      </w:r>
      <w:r>
        <w:rPr>
          <w:rFonts w:ascii="Times New Roman" w:cs="Times New Roman" w:eastAsia="Times New Roman" w:hAnsi="Times New Roman"/>
          <w:sz w:val="17"/>
          <w:szCs w:val="17"/>
          <w:b w:val="1"/>
          <w:bCs w:val="1"/>
          <w:i w:val="1"/>
          <w:iCs w:val="1"/>
          <w:color w:val="auto"/>
        </w:rPr>
        <w:t>Warrant Agreement</w:t>
      </w:r>
      <w:r>
        <w:rPr>
          <w:rFonts w:ascii="Times New Roman" w:cs="Times New Roman" w:eastAsia="Times New Roman" w:hAnsi="Times New Roman"/>
          <w:sz w:val="17"/>
          <w:szCs w:val="17"/>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3" w:name="page154"/>
    <w:bookmarkEnd w:id="153"/>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Warrant Certificate set forth on the reverse hereof, which further provisions shall for all purposes have the same effect as if set forth at this place.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Certificate shall not be valid or obligatory for any purpose until countersigned by the Warrant Agent.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Warrant to be executed in its name and on its behalf by the facsimile signatures of its duly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Tilray Brands, Inc.</w:t>
      </w:r>
      <w:r>
        <w:rPr>
          <w:rFonts w:ascii="Times New Roman" w:cs="Times New Roman" w:eastAsia="Times New Roman" w:hAnsi="Times New Roman"/>
          <w:sz w:val="18"/>
          <w:szCs w:val="18"/>
          <w:color w:val="auto"/>
        </w:rPr>
        <w:t>, as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-127635</wp:posOffset>
            </wp:positionV>
            <wp:extent cx="211709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26035</wp:posOffset>
            </wp:positionV>
            <wp:extent cx="66522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6652260"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-127635</wp:posOffset>
            </wp:positionV>
            <wp:extent cx="211709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182880</wp:posOffset>
            </wp:positionV>
            <wp:extent cx="211709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2117090"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28575</wp:posOffset>
            </wp:positionV>
            <wp:extent cx="211709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COUNTERSIGNED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Warrant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-127635</wp:posOffset>
            </wp:positionV>
            <wp:extent cx="211709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26035</wp:posOffset>
            </wp:positionV>
            <wp:extent cx="66522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6652260"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-127635</wp:posOffset>
            </wp:positionV>
            <wp:extent cx="211709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182880</wp:posOffset>
            </wp:positionV>
            <wp:extent cx="211709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2117090"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28575</wp:posOffset>
            </wp:positionV>
            <wp:extent cx="211709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21170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[REVERSE OF WARRANT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(Instructions for Exercise of Warrant)</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upon exercise of Warrants)</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undersigned hereby irrevocably elects to exercise Warrants, evidenced by this Warrant Certificate, to purchase shares of the [TITLE OF WARRANT SECURITIES], par value $0.0001 per share (the “</w:t>
      </w:r>
      <w:r>
        <w:rPr>
          <w:rFonts w:ascii="Times New Roman" w:cs="Times New Roman" w:eastAsia="Times New Roman" w:hAnsi="Times New Roman"/>
          <w:sz w:val="18"/>
          <w:szCs w:val="18"/>
          <w:b w:val="1"/>
          <w:bCs w:val="1"/>
          <w:i w:val="1"/>
          <w:iCs w:val="1"/>
          <w:color w:val="auto"/>
        </w:rPr>
        <w:t>Warrant Securities</w:t>
      </w:r>
      <w:r>
        <w:rPr>
          <w:rFonts w:ascii="Times New Roman" w:cs="Times New Roman" w:eastAsia="Times New Roman" w:hAnsi="Times New Roman"/>
          <w:sz w:val="18"/>
          <w:szCs w:val="18"/>
          <w:color w:val="auto"/>
        </w:rPr>
        <w:t>”), of Tilray Brands,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Tilray Brands, Inc., c/o [insert name and address of Warrant Agent], in the amount of $ in 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-168910</wp:posOffset>
            </wp:positionV>
            <wp:extent cx="285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1"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Please Print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Social Security or Other Identifying Number of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this Warrant Certificate and must bear a signature guarantee by a FINRA member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may be exercised at the following addresses: By hand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mail at: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[Instructions as to form and delivery of Warrant Securities and, if applicable, Warrant Certificates evidencing Warrants for the number of Warrant Securities remaining unexercised-complete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5" w:name="page156"/>
    <w:bookmarkEnd w:id="15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[Form of assignment to be executed if Warrant Holder desires to transfer Warrant]</w:t>
      </w:r>
    </w:p>
    <w:p>
      <w:pPr>
        <w:sectPr>
          <w:pgSz w:w="11900" w:h="16838" w:orient="portrait"/>
          <w:cols w:equalWidth="0" w:num="1">
            <w:col w:w="11200"/>
          </w:cols>
          <w:pgMar w:left="320" w:top="117" w:right="379" w:bottom="1440" w:gutter="0" w:footer="0" w:header="0"/>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FOR VALUE RECEIVED, </w:t>
      </w:r>
      <w:r>
        <w:rPr>
          <w:rFonts w:ascii="Times New Roman" w:cs="Times New Roman" w:eastAsia="Times New Roman" w:hAnsi="Times New Roman"/>
          <w:sz w:val="17"/>
          <w:szCs w:val="17"/>
          <w:color w:val="auto"/>
        </w:rPr>
        <w:t>hereby sells, assigns and transfers unto: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 including zip code)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print Social Security or other identifying number</w:t>
      </w:r>
    </w:p>
    <w:p>
      <w:pPr>
        <w:spacing w:after="0" w:line="229" w:lineRule="exact"/>
        <w:rPr>
          <w:sz w:val="20"/>
          <w:szCs w:val="20"/>
          <w:color w:val="auto"/>
        </w:rPr>
      </w:pPr>
    </w:p>
    <w:p>
      <w:pPr>
        <w:sectPr>
          <w:pgSz w:w="11900" w:h="16838" w:orient="portrait"/>
          <w:cols w:equalWidth="0" w:num="2">
            <w:col w:w="4980" w:space="640"/>
            <w:col w:w="5580"/>
          </w:cols>
          <w:pgMar w:left="320" w:top="117" w:right="379" w:bottom="1440" w:gutter="0" w:footer="0" w:header="0"/>
          <w:type w:val="continuous"/>
        </w:sectPr>
      </w:pPr>
    </w:p>
    <w:p>
      <w:pPr>
        <w:spacing w:after="0" w:line="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right represented by the within Warrant to purchase shares of [Title of Warrant Securities] of Tilray Brands, Inc. to which the within Warrant relates and appoints attorney to transfer such right on the books of the Warrant Agent with full power of substitution in the premises.</w:t>
      </w: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AS WARRANT AGENT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DEBT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 FORM OF DEBT SECURITIES WARRANT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THIS DEBT SECURITIES WARRANT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 between</w:t>
      </w:r>
      <w:r>
        <w:rPr>
          <w:rFonts w:ascii="Times New Roman" w:cs="Times New Roman" w:eastAsia="Times New Roman" w:hAnsi="Times New Roman"/>
          <w:sz w:val="18"/>
          <w:szCs w:val="18"/>
          <w:b w:val="1"/>
          <w:bCs w:val="1"/>
          <w:color w:val="auto"/>
        </w:rPr>
        <w:t xml:space="preserve"> TILRAY, INC.</w:t>
      </w:r>
      <w:r>
        <w:rPr>
          <w:rFonts w:ascii="Times New Roman" w:cs="Times New Roman" w:eastAsia="Times New Roman" w:hAnsi="Times New Roman"/>
          <w:sz w:val="18"/>
          <w:szCs w:val="18"/>
          <w:color w:val="auto"/>
        </w:rPr>
        <w:t>, a Delaware corporation (the</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 a [corporation] [national banking association] organized and existing under the laws of [●] and having a corporate trust office in [●], as warrant agent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entered into an indenture dated as of [●]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with [●], as trustee (such trustee, and any successors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herein called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providing for the issuance from time to time of its debt securities, to be issued in one or more series as provided in the Indenture (the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proposes to sell [</w:t>
      </w:r>
      <w:r>
        <w:rPr>
          <w:rFonts w:ascii="Times New Roman" w:cs="Times New Roman" w:eastAsia="Times New Roman" w:hAnsi="Times New Roman"/>
          <w:sz w:val="18"/>
          <w:szCs w:val="18"/>
          <w:b w:val="1"/>
          <w:bCs w:val="1"/>
          <w:i w:val="1"/>
          <w:iCs w:val="1"/>
          <w:color w:val="auto"/>
        </w:rPr>
        <w:t>If Warrants are sold with other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[title of such other securities being offered] (the “</w:t>
      </w: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with] warrant certificates evidencing one or more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or, individually, a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representing the right to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[title of Debt Securities purchasable through exercise of Warrants] (the “</w:t>
      </w:r>
      <w:r>
        <w:rPr>
          <w:rFonts w:ascii="Times New Roman" w:cs="Times New Roman" w:eastAsia="Times New Roman" w:hAnsi="Times New Roman"/>
          <w:sz w:val="18"/>
          <w:szCs w:val="18"/>
          <w:b w:val="1"/>
          <w:bCs w:val="1"/>
          <w:i w:val="1"/>
          <w:iCs w:val="1"/>
          <w:color w:val="auto"/>
        </w:rPr>
        <w:t>Warrant Debt Securities</w:t>
      </w:r>
      <w:r>
        <w:rPr>
          <w:rFonts w:ascii="Times New Roman" w:cs="Times New Roman" w:eastAsia="Times New Roman" w:hAnsi="Times New Roman"/>
          <w:sz w:val="18"/>
          <w:szCs w:val="18"/>
          <w:color w:val="auto"/>
        </w:rPr>
        <w:t>”), such warrant certificates and other warrant certificates issued pursuant to this Agreement being herein called the “</w:t>
      </w:r>
      <w:r>
        <w:rPr>
          <w:rFonts w:ascii="Times New Roman" w:cs="Times New Roman" w:eastAsia="Times New Roman" w:hAnsi="Times New Roman"/>
          <w:sz w:val="18"/>
          <w:szCs w:val="18"/>
          <w:b w:val="1"/>
          <w:bCs w:val="1"/>
          <w:i w:val="1"/>
          <w:iCs w:val="1"/>
          <w:color w:val="auto"/>
        </w:rPr>
        <w:t>Warrant Certificates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desires the Warrant Agent to act on behalf of the Company, and the Warrant Agent is willing so to act,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premises and of the mutual agreements herein contained, the parties hereto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ISSUANCE OF WARRANTS AND EXECUTION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WARRANT CERTIFICATES</w:t>
      </w:r>
    </w:p>
    <w:p>
      <w:pPr>
        <w:spacing w:after="0" w:line="20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 Issuance of Warrants.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If Warrants alone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Upon issuance, each Warrant Certificate shall evidence one or more Warrants.] [</w:t>
      </w:r>
      <w:r>
        <w:rPr>
          <w:rFonts w:ascii="Times New Roman" w:cs="Times New Roman" w:eastAsia="Times New Roman" w:hAnsi="Times New Roman"/>
          <w:sz w:val="18"/>
          <w:szCs w:val="18"/>
          <w:b w:val="1"/>
          <w:bCs w:val="1"/>
          <w:i w:val="1"/>
          <w:iCs w:val="1"/>
          <w:color w:val="auto"/>
        </w:rPr>
        <w:t>If Other Securities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 Warrant Certificates will be issued in connection with the issuance of the Other Securities but shall be separately transferable and each Warrant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shall evidence one or more Warrants.] Each Warrant evidenced thereby shall represent the right, subject to the provisions contained herein and therein, to purchase one Warrant Debt Security. [</w:t>
      </w:r>
      <w:r>
        <w:rPr>
          <w:rFonts w:ascii="Times New Roman" w:cs="Times New Roman" w:eastAsia="Times New Roman" w:hAnsi="Times New Roman"/>
          <w:sz w:val="18"/>
          <w:szCs w:val="18"/>
          <w:b w:val="1"/>
          <w:bCs w:val="1"/>
          <w:i w:val="1"/>
          <w:iCs w:val="1"/>
          <w:color w:val="auto"/>
        </w:rPr>
        <w:t>If Other Securities and Warrants</w:t>
      </w:r>
      <w:r>
        <w:rPr>
          <w:rFonts w:ascii="Times New Roman" w:cs="Times New Roman" w:eastAsia="Times New Roman" w:hAnsi="Times New Roman"/>
          <w:sz w:val="18"/>
          <w:szCs w:val="18"/>
          <w:color w:val="auto"/>
        </w:rPr>
        <w:t xml:space="preserve"> - Warrant Certificates will be issued with the Other Securities and each Warrant Certificate will evidence [●] Warrants for each [$[●] principal amount] [[●] shares] of Other Securities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57" w:name="page158"/>
    <w:bookmarkEnd w:id="157"/>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 Execution and Delivery of Warrant Certificates. </w:t>
      </w:r>
      <w:r>
        <w:rPr>
          <w:rFonts w:ascii="Times New Roman" w:cs="Times New Roman" w:eastAsia="Times New Roman" w:hAnsi="Times New Roman"/>
          <w:sz w:val="18"/>
          <w:szCs w:val="18"/>
          <w:color w:val="auto"/>
        </w:rPr>
        <w:t>Each Warrant Certificate, whenever issued, shall be in registered form substantially in the form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holder of a Warrant Certificate</w:t>
      </w:r>
      <w:r>
        <w:rPr>
          <w:rFonts w:ascii="Times New Roman" w:cs="Times New Roman" w:eastAsia="Times New Roman" w:hAnsi="Times New Roman"/>
          <w:sz w:val="18"/>
          <w:szCs w:val="18"/>
          <w:color w:val="auto"/>
        </w:rPr>
        <w:t>” as used herein shall mean any person in whose name at the time any Warrant Certificate shall be registered upon the books to be maintained by the Warrant Agent for that purpose.</w:t>
      </w:r>
    </w:p>
    <w:p>
      <w:pPr>
        <w:spacing w:after="0" w:line="15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 Issuance of Warrant Certificates. </w:t>
      </w:r>
      <w:r>
        <w:rPr>
          <w:rFonts w:ascii="Times New Roman" w:cs="Times New Roman" w:eastAsia="Times New Roman" w:hAnsi="Times New Roman"/>
          <w:sz w:val="18"/>
          <w:szCs w:val="18"/>
          <w:color w:val="auto"/>
        </w:rPr>
        <w:t>Warrant Certificates evidencing the right to purchase Warrant Debt Securities may be executed by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 PRICE, DURATION AND EXERCISE OF WARRANTS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2.1 Warrant Price. </w:t>
      </w:r>
      <w:r>
        <w:rPr>
          <w:rFonts w:ascii="Times New Roman" w:cs="Times New Roman" w:eastAsia="Times New Roman" w:hAnsi="Times New Roman"/>
          <w:sz w:val="18"/>
          <w:szCs w:val="18"/>
          <w:color w:val="auto"/>
        </w:rPr>
        <w:t>During the period specified in Section 2.2, each Warrant shall, subject to the terms of this Agreement and the applicable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 w:cs="Times New Roman" w:eastAsia="Times New Roman" w:hAnsi="Times New Roman"/>
          <w:sz w:val="18"/>
          <w:szCs w:val="18"/>
          <w:b w:val="1"/>
          <w:bCs w:val="1"/>
          <w:i w:val="1"/>
          <w:iCs w:val="1"/>
          <w:color w:val="auto"/>
        </w:rPr>
        <w:t>Warrant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8" w:name="page159"/>
    <w:bookmarkEnd w:id="158"/>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2.2 Duration of Warrants. </w:t>
      </w:r>
      <w:r>
        <w:rPr>
          <w:rFonts w:ascii="Times New Roman" w:cs="Times New Roman" w:eastAsia="Times New Roman" w:hAnsi="Times New Roman"/>
          <w:sz w:val="18"/>
          <w:szCs w:val="18"/>
          <w:color w:val="auto"/>
        </w:rPr>
        <w:t>Each Warrant may be exercised in whole or in part at any time, as specified herein, on or after [the date thereof] [●] and at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 p.m., [City] time, on [●] or such later date as the Company may designate by notice to the Warrant Agent and the holders of Warrant Certificates mailed to their addresses as set forth in the record books of the Warrant Agent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 Each Warrant not exercised at or before [●] p.m., [City] time, on the Expiration Date shall become void, and all rights of the holder of the Warrant Certificate evidencing such Warrant under this Agreement shall cease.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Exercise of Warrants.</w:t>
      </w:r>
    </w:p>
    <w:p>
      <w:pPr>
        <w:spacing w:after="0" w:line="229" w:lineRule="exact"/>
        <w:rPr>
          <w:sz w:val="20"/>
          <w:szCs w:val="20"/>
          <w:color w:val="auto"/>
        </w:rPr>
      </w:pPr>
    </w:p>
    <w:p>
      <w:pPr>
        <w:ind w:firstLine="8"/>
        <w:spacing w:after="0" w:line="252" w:lineRule="auto"/>
        <w:tabs>
          <w:tab w:leader="none" w:pos="255"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91" w:lineRule="exact"/>
        <w:rPr>
          <w:rFonts w:ascii="Times New Roman" w:cs="Times New Roman" w:eastAsia="Times New Roman" w:hAnsi="Times New Roman"/>
          <w:sz w:val="18"/>
          <w:szCs w:val="18"/>
          <w:b w:val="1"/>
          <w:bCs w:val="1"/>
          <w:color w:val="auto"/>
        </w:rPr>
      </w:pPr>
    </w:p>
    <w:p>
      <w:pPr>
        <w:ind w:right="140" w:firstLine="8"/>
        <w:spacing w:after="0" w:line="258" w:lineRule="auto"/>
        <w:tabs>
          <w:tab w:leader="none" w:pos="265"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spacing w:after="0" w:line="183" w:lineRule="exact"/>
        <w:rPr>
          <w:rFonts w:ascii="Times New Roman" w:cs="Times New Roman" w:eastAsia="Times New Roman" w:hAnsi="Times New Roman"/>
          <w:sz w:val="18"/>
          <w:szCs w:val="18"/>
          <w:b w:val="1"/>
          <w:bCs w:val="1"/>
          <w:color w:val="auto"/>
        </w:rPr>
      </w:pPr>
    </w:p>
    <w:p>
      <w:pPr>
        <w:ind w:right="20" w:firstLine="8"/>
        <w:spacing w:after="0" w:line="258" w:lineRule="auto"/>
        <w:tabs>
          <w:tab w:leader="none" w:pos="245"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spacing w:after="0" w:line="183" w:lineRule="exact"/>
        <w:rPr>
          <w:rFonts w:ascii="Times New Roman" w:cs="Times New Roman" w:eastAsia="Times New Roman" w:hAnsi="Times New Roman"/>
          <w:sz w:val="18"/>
          <w:szCs w:val="18"/>
          <w:b w:val="1"/>
          <w:bCs w:val="1"/>
          <w:color w:val="auto"/>
        </w:rPr>
      </w:pPr>
    </w:p>
    <w:p>
      <w:pPr>
        <w:ind w:right="40" w:firstLine="8"/>
        <w:spacing w:after="0" w:line="261" w:lineRule="auto"/>
        <w:tabs>
          <w:tab w:leader="none" w:pos="265"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9" w:name="page160"/>
    <w:bookmarkEnd w:id="159"/>
    <w:p>
      <w:pPr>
        <w:ind w:right="120" w:firstLine="8"/>
        <w:spacing w:after="0" w:line="282" w:lineRule="auto"/>
        <w:tabs>
          <w:tab w:leader="none" w:pos="245"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PROVISIONS RELATING TO RIGHTS OF HOLDERS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 CERTIFICATES</w:t>
      </w:r>
    </w:p>
    <w:p>
      <w:pPr>
        <w:spacing w:after="0" w:line="203"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3.1 No Rights as Holder of Warrant Debt Securities Conferred by Warrants or Warrant Certificates. </w:t>
      </w:r>
      <w:r>
        <w:rPr>
          <w:rFonts w:ascii="Times New Roman" w:cs="Times New Roman" w:eastAsia="Times New Roman" w:hAnsi="Times New Roman"/>
          <w:sz w:val="17"/>
          <w:szCs w:val="17"/>
          <w:color w:val="auto"/>
        </w:rPr>
        <w:t>No Warrant Certificate or Warrant evidenced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spacing w:after="0" w:line="15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3.2 Lost, Stolen, Mutilated or Destroyed Warrant Certificates. </w:t>
      </w:r>
      <w:r>
        <w:rPr>
          <w:rFonts w:ascii="Times New Roman" w:cs="Times New Roman" w:eastAsia="Times New Roman" w:hAnsi="Times New Roman"/>
          <w:sz w:val="18"/>
          <w:szCs w:val="18"/>
          <w:color w:val="auto"/>
        </w:rPr>
        <w:t>Upon receipt by the Warrant Agent of evidence reasonably satisfactory to it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87" w:lineRule="exact"/>
        <w:rPr>
          <w:sz w:val="20"/>
          <w:szCs w:val="20"/>
          <w:color w:val="auto"/>
        </w:rPr>
      </w:pPr>
    </w:p>
    <w:p>
      <w:pPr>
        <w:jc w:val="both"/>
        <w:ind w:right="2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3.3 Holder of Warrant Certificate May Enforce Rights. </w:t>
      </w:r>
      <w:r>
        <w:rPr>
          <w:rFonts w:ascii="Times New Roman" w:cs="Times New Roman" w:eastAsia="Times New Roman" w:hAnsi="Times New Roman"/>
          <w:sz w:val="18"/>
          <w:szCs w:val="18"/>
          <w:color w:val="auto"/>
        </w:rPr>
        <w:t>Notwithstanding any of the provisions of this Agreement, any holder of a Warrant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spacing w:after="0" w:line="1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3.4 Merger, Sale, Conveyance or Lease. </w:t>
      </w:r>
      <w:r>
        <w:rPr>
          <w:rFonts w:ascii="Times New Roman" w:cs="Times New Roman" w:eastAsia="Times New Roman" w:hAnsi="Times New Roman"/>
          <w:sz w:val="18"/>
          <w:szCs w:val="18"/>
          <w:color w:val="auto"/>
        </w:rPr>
        <w:t>In case of (a) any share exchange, merger or similar transaction of the Company with or into another person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Times New Roman" w:cs="Times New Roman" w:eastAsia="Times New Roman" w:hAnsi="Times New Roman"/>
          <w:sz w:val="18"/>
          <w:szCs w:val="18"/>
          <w:b w:val="1"/>
          <w:bCs w:val="1"/>
          <w:i w:val="1"/>
          <w:iCs w:val="1"/>
          <w:color w:val="auto"/>
        </w:rPr>
        <w:t>Reorganization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Event</w:t>
      </w:r>
      <w:r>
        <w:rPr>
          <w:rFonts w:ascii="Times New Roman" w:cs="Times New Roman" w:eastAsia="Times New Roman" w:hAnsi="Times New Roman"/>
          <w:sz w:val="18"/>
          <w:szCs w:val="18"/>
          <w:color w:val="auto"/>
        </w:rPr>
        <w:t>”), then, as a condition of such Reorganization Event, lawful provisions shall be made, and duly executed documents evidencing the same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3.5 Notice to Warrantholders. </w:t>
      </w:r>
      <w:r>
        <w:rPr>
          <w:rFonts w:ascii="Times New Roman" w:cs="Times New Roman" w:eastAsia="Times New Roman" w:hAnsi="Times New Roman"/>
          <w:sz w:val="18"/>
          <w:szCs w:val="18"/>
          <w:color w:val="auto"/>
        </w:rPr>
        <w:t>In case the Company shall (a) effect any Reorganization Event or (b) make any distribution on or in respect of the [title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AND TRANSFER OF WARRANT CERTIFICATES</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Exchange and Transfer of Warrant Certificates. Upon surrender at the corporate trust office of the Warrant Agent, Warrant Certificates evidencing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95"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 Treatment of Holders of Warrant Certificates. </w:t>
      </w:r>
      <w:r>
        <w:rPr>
          <w:rFonts w:ascii="Times New Roman" w:cs="Times New Roman" w:eastAsia="Times New Roman" w:hAnsi="Times New Roman"/>
          <w:sz w:val="18"/>
          <w:szCs w:val="18"/>
          <w:color w:val="auto"/>
        </w:rPr>
        <w:t>The Company, the Warrant Agent and all other persons may treat the registered holder of a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as the absolute owner thereof for any purpose and as the person entitled to exercise the rights represented by the Warrants evidenced thereby, any notice to the contrary notwithstanding.</w:t>
      </w:r>
    </w:p>
    <w:p>
      <w:pPr>
        <w:spacing w:after="0" w:line="17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4.3 Cancellation of Warrant Certificates. </w:t>
      </w:r>
      <w:r>
        <w:rPr>
          <w:rFonts w:ascii="Times New Roman" w:cs="Times New Roman" w:eastAsia="Times New Roman" w:hAnsi="Times New Roman"/>
          <w:sz w:val="18"/>
          <w:szCs w:val="18"/>
          <w:color w:val="auto"/>
        </w:rPr>
        <w:t>Any Warrant Certificate surrendered for exchange, registration of transfer or exercise of the Warrants evidenced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1" w:name="page162"/>
    <w:bookmarkEnd w:id="1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CONCERNING THE WARRANT AGENT</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 Warrant Agent. </w:t>
      </w:r>
      <w:r>
        <w:rPr>
          <w:rFonts w:ascii="Times New Roman" w:cs="Times New Roman" w:eastAsia="Times New Roman" w:hAnsi="Times New Roman"/>
          <w:sz w:val="18"/>
          <w:szCs w:val="18"/>
          <w:color w:val="auto"/>
        </w:rPr>
        <w:t>The Company hereby appoints [●] as Warrant Agent of the Company in respect of the Warrants and the Warrant Certificates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79" w:lineRule="exact"/>
        <w:rPr>
          <w:sz w:val="20"/>
          <w:szCs w:val="20"/>
          <w:color w:val="auto"/>
        </w:rPr>
      </w:pPr>
    </w:p>
    <w:p>
      <w:pPr>
        <w:jc w:val="both"/>
        <w:ind w:right="6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5.2 Conditions of Warrant Agent’s Obligations. </w:t>
      </w:r>
      <w:r>
        <w:rPr>
          <w:rFonts w:ascii="Times New Roman" w:cs="Times New Roman" w:eastAsia="Times New Roman" w:hAnsi="Times New Roman"/>
          <w:sz w:val="18"/>
          <w:szCs w:val="18"/>
          <w:color w:val="auto"/>
        </w:rPr>
        <w:t>The Warrant Agent accepts its obligations herein set forth upon the terms and conditions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following to all of which the Company agrees and to all of which the rights hereunder of the holders from time to time of the Warrant Certificates shall be subject:</w:t>
      </w:r>
    </w:p>
    <w:p>
      <w:pPr>
        <w:spacing w:after="0" w:line="171" w:lineRule="exact"/>
        <w:rPr>
          <w:sz w:val="20"/>
          <w:szCs w:val="20"/>
          <w:color w:val="auto"/>
        </w:rPr>
      </w:pPr>
    </w:p>
    <w:p>
      <w:pPr>
        <w:ind w:right="40" w:firstLine="8"/>
        <w:spacing w:after="0" w:line="257" w:lineRule="auto"/>
        <w:tabs>
          <w:tab w:leader="none" w:pos="255"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Compensation and Indemnification. </w:t>
      </w:r>
      <w:r>
        <w:rPr>
          <w:rFonts w:ascii="Times New Roman" w:cs="Times New Roman" w:eastAsia="Times New Roman" w:hAnsi="Times New Roman"/>
          <w:sz w:val="18"/>
          <w:szCs w:val="18"/>
          <w:color w:val="auto"/>
        </w:rPr>
        <w:t>The Company agrees promptly to pay the Warrant Agent the compensation to be agreed upon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82" w:lineRule="exact"/>
        <w:rPr>
          <w:rFonts w:ascii="Times New Roman" w:cs="Times New Roman" w:eastAsia="Times New Roman" w:hAnsi="Times New Roman"/>
          <w:sz w:val="18"/>
          <w:szCs w:val="18"/>
          <w:b w:val="1"/>
          <w:bCs w:val="1"/>
          <w:color w:val="auto"/>
        </w:rPr>
      </w:pPr>
    </w:p>
    <w:p>
      <w:pPr>
        <w:ind w:firstLine="8"/>
        <w:spacing w:after="0" w:line="268" w:lineRule="auto"/>
        <w:tabs>
          <w:tab w:leader="none" w:pos="265"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Agent for the Company. </w:t>
      </w:r>
      <w:r>
        <w:rPr>
          <w:rFonts w:ascii="Times New Roman" w:cs="Times New Roman" w:eastAsia="Times New Roman" w:hAnsi="Times New Roman"/>
          <w:sz w:val="18"/>
          <w:szCs w:val="18"/>
          <w:color w:val="auto"/>
        </w:rPr>
        <w:t>In acting under this Agreement and in connection with the Warrant Certificates, the Warrant Agent is acting solely as agent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does not assume any obligations or relationship of agency or trust for or with any of the holders of Warrant Certificates or beneficial owners of Warrants.</w:t>
      </w:r>
    </w:p>
    <w:p>
      <w:pPr>
        <w:spacing w:after="0" w:line="170" w:lineRule="exact"/>
        <w:rPr>
          <w:rFonts w:ascii="Times New Roman" w:cs="Times New Roman" w:eastAsia="Times New Roman" w:hAnsi="Times New Roman"/>
          <w:sz w:val="18"/>
          <w:szCs w:val="18"/>
          <w:b w:val="1"/>
          <w:bCs w:val="1"/>
          <w:color w:val="auto"/>
        </w:rPr>
      </w:pPr>
    </w:p>
    <w:p>
      <w:pPr>
        <w:ind w:right="240" w:firstLine="8"/>
        <w:spacing w:after="0" w:line="268" w:lineRule="auto"/>
        <w:tabs>
          <w:tab w:leader="none" w:pos="244"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Counsel. </w:t>
      </w:r>
      <w:r>
        <w:rPr>
          <w:rFonts w:ascii="Times New Roman" w:cs="Times New Roman" w:eastAsia="Times New Roman" w:hAnsi="Times New Roman"/>
          <w:sz w:val="18"/>
          <w:szCs w:val="18"/>
          <w:color w:val="auto"/>
        </w:rPr>
        <w:t>The Warrant Agent may consult with counsel satisfactory to it, which may include counsel for the Company, and the written advice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shall be full and complete authorization and protection in respect of any action taken, suffered or omitted by it hereunder in good faith and in accordance with the advice of such counsel.</w:t>
      </w:r>
    </w:p>
    <w:p>
      <w:pPr>
        <w:spacing w:after="0" w:line="170" w:lineRule="exact"/>
        <w:rPr>
          <w:rFonts w:ascii="Times New Roman" w:cs="Times New Roman" w:eastAsia="Times New Roman" w:hAnsi="Times New Roman"/>
          <w:sz w:val="18"/>
          <w:szCs w:val="18"/>
          <w:b w:val="1"/>
          <w:bCs w:val="1"/>
          <w:color w:val="auto"/>
        </w:rPr>
      </w:pPr>
    </w:p>
    <w:p>
      <w:pPr>
        <w:ind w:right="80" w:firstLine="8"/>
        <w:spacing w:after="0" w:line="268" w:lineRule="auto"/>
        <w:tabs>
          <w:tab w:leader="none" w:pos="265"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Documents. </w:t>
      </w:r>
      <w:r>
        <w:rPr>
          <w:rFonts w:ascii="Times New Roman" w:cs="Times New Roman" w:eastAsia="Times New Roman" w:hAnsi="Times New Roman"/>
          <w:sz w:val="18"/>
          <w:szCs w:val="18"/>
          <w:color w:val="auto"/>
        </w:rPr>
        <w:t>The Warrant Agent shall be protected and shall incur no liability for or in respect of any action taken or omitted by it in reliance upon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Certificate, notice, direction, consent, certificate, affidavit, statement or other paper or document reasonably believed by it to be genuine and to have been presented or signed by the proper parties.</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57" w:lineRule="auto"/>
        <w:tabs>
          <w:tab w:leader="none" w:pos="244"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Transactions. </w:t>
      </w:r>
      <w:r>
        <w:rPr>
          <w:rFonts w:ascii="Times New Roman" w:cs="Times New Roman" w:eastAsia="Times New Roman" w:hAnsi="Times New Roman"/>
          <w:sz w:val="18"/>
          <w:szCs w:val="18"/>
          <w:color w:val="auto"/>
        </w:rPr>
        <w:t>The Warrant Agent, and its officers, directors and employees, may become the owner of, or acquire any interest in,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spacing w:after="0" w:line="182" w:lineRule="exact"/>
        <w:rPr>
          <w:rFonts w:ascii="Times New Roman" w:cs="Times New Roman" w:eastAsia="Times New Roman" w:hAnsi="Times New Roman"/>
          <w:sz w:val="18"/>
          <w:szCs w:val="18"/>
          <w:b w:val="1"/>
          <w:bCs w:val="1"/>
          <w:color w:val="auto"/>
        </w:rPr>
      </w:pPr>
    </w:p>
    <w:p>
      <w:pPr>
        <w:ind w:right="160" w:firstLine="8"/>
        <w:spacing w:after="0" w:line="286" w:lineRule="auto"/>
        <w:tabs>
          <w:tab w:leader="none" w:pos="225"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Liability for Interest. </w:t>
      </w:r>
      <w:r>
        <w:rPr>
          <w:rFonts w:ascii="Times New Roman" w:cs="Times New Roman" w:eastAsia="Times New Roman" w:hAnsi="Times New Roman"/>
          <w:sz w:val="18"/>
          <w:szCs w:val="18"/>
          <w:color w:val="auto"/>
        </w:rPr>
        <w:t>Unless otherwise agreed with the Company, the Warrant Agent shall have no liability for interest on any monies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by it pursuant to any of the provisions of this Agreement or of the Warrant Certificates.</w:t>
      </w:r>
    </w:p>
    <w:p>
      <w:pPr>
        <w:spacing w:after="0" w:line="154" w:lineRule="exact"/>
        <w:rPr>
          <w:rFonts w:ascii="Times New Roman" w:cs="Times New Roman" w:eastAsia="Times New Roman" w:hAnsi="Times New Roman"/>
          <w:sz w:val="18"/>
          <w:szCs w:val="18"/>
          <w:b w:val="1"/>
          <w:bCs w:val="1"/>
          <w:color w:val="auto"/>
        </w:rPr>
      </w:pPr>
    </w:p>
    <w:p>
      <w:pPr>
        <w:ind w:right="840" w:firstLine="8"/>
        <w:spacing w:after="0" w:line="286" w:lineRule="auto"/>
        <w:tabs>
          <w:tab w:leader="none" w:pos="255"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Liability for Invalidity. </w:t>
      </w:r>
      <w:r>
        <w:rPr>
          <w:rFonts w:ascii="Times New Roman" w:cs="Times New Roman" w:eastAsia="Times New Roman" w:hAnsi="Times New Roman"/>
          <w:sz w:val="18"/>
          <w:szCs w:val="18"/>
          <w:color w:val="auto"/>
        </w:rPr>
        <w:t>The Warrant Agent shall have no liability with respect to any invalidity of this Agreement or any of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(except as to the Warrant Agent’s countersignature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2" w:name="page163"/>
    <w:bookmarkEnd w:id="162"/>
    <w:p>
      <w:pPr>
        <w:ind w:right="160" w:firstLine="8"/>
        <w:spacing w:after="0" w:line="286" w:lineRule="auto"/>
        <w:tabs>
          <w:tab w:leader="none" w:pos="265"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Responsibility for Representations. </w:t>
      </w:r>
      <w:r>
        <w:rPr>
          <w:rFonts w:ascii="Times New Roman" w:cs="Times New Roman" w:eastAsia="Times New Roman" w:hAnsi="Times New Roman"/>
          <w:sz w:val="18"/>
          <w:szCs w:val="18"/>
          <w:color w:val="auto"/>
        </w:rPr>
        <w:t>The Warrant Agent shall not be responsible for any of the recitals or representations herein or in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(except as to the Warrant Agent’s countersignature thereon), all of which are made solely by the Company.</w:t>
      </w:r>
    </w:p>
    <w:p>
      <w:pPr>
        <w:spacing w:after="0" w:line="154" w:lineRule="exact"/>
        <w:rPr>
          <w:rFonts w:ascii="Times New Roman" w:cs="Times New Roman" w:eastAsia="Times New Roman" w:hAnsi="Times New Roman"/>
          <w:sz w:val="18"/>
          <w:szCs w:val="18"/>
          <w:b w:val="1"/>
          <w:bCs w:val="1"/>
          <w:color w:val="auto"/>
        </w:rPr>
      </w:pPr>
    </w:p>
    <w:p>
      <w:pPr>
        <w:ind w:right="40" w:firstLine="8"/>
        <w:spacing w:after="0" w:line="254" w:lineRule="auto"/>
        <w:tabs>
          <w:tab w:leader="none" w:pos="215"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Implied Obligations. </w:t>
      </w:r>
      <w:r>
        <w:rPr>
          <w:rFonts w:ascii="Times New Roman" w:cs="Times New Roman" w:eastAsia="Times New Roman" w:hAnsi="Times New Roman"/>
          <w:sz w:val="18"/>
          <w:szCs w:val="18"/>
          <w:color w:val="auto"/>
        </w:rPr>
        <w:t>The Warrant Agent shall be obligated to perform only such duties as are herein and in the Warrant Certificates specifically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 Resignation, Removal and Appointment of Successors.</w:t>
      </w:r>
    </w:p>
    <w:p>
      <w:pPr>
        <w:spacing w:after="0" w:line="229" w:lineRule="exact"/>
        <w:rPr>
          <w:sz w:val="20"/>
          <w:szCs w:val="20"/>
          <w:color w:val="auto"/>
        </w:rPr>
      </w:pPr>
    </w:p>
    <w:p>
      <w:pPr>
        <w:ind w:right="600" w:firstLine="8"/>
        <w:spacing w:after="0" w:line="282" w:lineRule="auto"/>
        <w:tabs>
          <w:tab w:leader="none" w:pos="255"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61" w:lineRule="exact"/>
        <w:rPr>
          <w:rFonts w:ascii="Times New Roman" w:cs="Times New Roman" w:eastAsia="Times New Roman" w:hAnsi="Times New Roman"/>
          <w:sz w:val="18"/>
          <w:szCs w:val="18"/>
          <w:b w:val="1"/>
          <w:bCs w:val="1"/>
          <w:color w:val="auto"/>
        </w:rPr>
      </w:pPr>
    </w:p>
    <w:p>
      <w:pPr>
        <w:ind w:right="20" w:firstLine="8"/>
        <w:spacing w:after="0" w:line="254" w:lineRule="auto"/>
        <w:tabs>
          <w:tab w:leader="none" w:pos="265"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91" w:lineRule="exact"/>
        <w:rPr>
          <w:rFonts w:ascii="Times New Roman" w:cs="Times New Roman" w:eastAsia="Times New Roman" w:hAnsi="Times New Roman"/>
          <w:sz w:val="18"/>
          <w:szCs w:val="18"/>
          <w:b w:val="1"/>
          <w:bCs w:val="1"/>
          <w:color w:val="auto"/>
        </w:rPr>
      </w:pPr>
    </w:p>
    <w:p>
      <w:pPr>
        <w:ind w:firstLine="8"/>
        <w:spacing w:after="0" w:line="253" w:lineRule="auto"/>
        <w:tabs>
          <w:tab w:leader="none" w:pos="245"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89"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successor Warrant Agent appointed hereunder shall execute, acknowledge and deliver to its predecessor and to the Company an instrument</w:t>
      </w:r>
    </w:p>
    <w:p>
      <w:pPr>
        <w:spacing w:after="0" w:line="27" w:lineRule="exact"/>
        <w:rPr>
          <w:rFonts w:ascii="Times New Roman" w:cs="Times New Roman" w:eastAsia="Times New Roman" w:hAnsi="Times New Roman"/>
          <w:sz w:val="18"/>
          <w:szCs w:val="18"/>
          <w:b w:val="1"/>
          <w:bCs w:val="1"/>
          <w:color w:val="auto"/>
        </w:rPr>
      </w:pPr>
    </w:p>
    <w:p>
      <w:pPr>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3" w:name="page164"/>
    <w:bookmarkEnd w:id="163"/>
    <w:p>
      <w:pPr>
        <w:ind w:right="20" w:firstLine="8"/>
        <w:spacing w:after="0" w:line="258" w:lineRule="auto"/>
        <w:tabs>
          <w:tab w:leader="none" w:pos="245"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 Amendment. </w:t>
      </w:r>
      <w:r>
        <w:rPr>
          <w:rFonts w:ascii="Times New Roman" w:cs="Times New Roman" w:eastAsia="Times New Roman" w:hAnsi="Times New Roman"/>
          <w:sz w:val="18"/>
          <w:szCs w:val="18"/>
          <w:color w:val="auto"/>
        </w:rPr>
        <w:t>This Agreement may be amended by the parties hereto, without the consent of the holder of any Warrant Certificate, for the purpose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7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6.2 Notices and Demands to the Company and Warrant Agent. </w:t>
      </w:r>
      <w:r>
        <w:rPr>
          <w:rFonts w:ascii="Times New Roman" w:cs="Times New Roman" w:eastAsia="Times New Roman" w:hAnsi="Times New Roman"/>
          <w:sz w:val="18"/>
          <w:szCs w:val="18"/>
          <w:color w:val="auto"/>
        </w:rPr>
        <w:t>If the Warrant Agent shall receive any notice or demand addressed to the Company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a Warrant Certificate pursuant to the provisions of the Warrant Certificates, the Warrant Agent shall promptly forward such notice or demand to the Company.</w:t>
      </w:r>
    </w:p>
    <w:p>
      <w:pPr>
        <w:spacing w:after="0" w:line="1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6.3 Addresses. </w:t>
      </w:r>
      <w:r>
        <w:rPr>
          <w:rFonts w:ascii="Times New Roman" w:cs="Times New Roman" w:eastAsia="Times New Roman" w:hAnsi="Times New Roman"/>
          <w:sz w:val="18"/>
          <w:szCs w:val="18"/>
          <w:color w:val="auto"/>
        </w:rPr>
        <w:t>Any communication from the Company to the Warrant Agent with respect to this Agreement shall be addressed to [●], Attention: [●]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communication from the Warrant Agent to the Company with respect to this Agreement shall be addressed to Tilray Brands, Inc. 1100 Maughan Road, Nanaimo, BC, Canada, V9X IJ2, Attention: [●] (or such other address as shall be specified in writing by the Warrant Agent or by the Company).</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6.4 Governing Law. </w:t>
      </w:r>
      <w:r>
        <w:rPr>
          <w:rFonts w:ascii="Times New Roman" w:cs="Times New Roman" w:eastAsia="Times New Roman" w:hAnsi="Times New Roman"/>
          <w:sz w:val="18"/>
          <w:szCs w:val="18"/>
          <w:color w:val="auto"/>
        </w:rPr>
        <w:t>This Agreement and each Warrant Certificate issued hereunder shall be governed by and construed in accordance with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New York.</w:t>
      </w:r>
    </w:p>
    <w:p>
      <w:pPr>
        <w:spacing w:after="0" w:line="1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6.5 Delivery of Prospectus. </w:t>
      </w:r>
      <w:r>
        <w:rPr>
          <w:rFonts w:ascii="Times New Roman" w:cs="Times New Roman" w:eastAsia="Times New Roman" w:hAnsi="Times New Roman"/>
          <w:sz w:val="18"/>
          <w:szCs w:val="18"/>
          <w:color w:val="auto"/>
        </w:rPr>
        <w:t>The Company shall furnish to the Warrant Agent sufficient copies of a prospectus meeting the requirements of 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1933, as amended, relating to the Warrant Debt Securities deliverable upon exercise of the Warrants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spacing w:after="0" w:line="17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6.6 Obtaining of Governmental Approvals. </w:t>
      </w:r>
      <w:r>
        <w:rPr>
          <w:rFonts w:ascii="Times New Roman" w:cs="Times New Roman" w:eastAsia="Times New Roman" w:hAnsi="Times New Roman"/>
          <w:sz w:val="17"/>
          <w:szCs w:val="17"/>
          <w:color w:val="auto"/>
        </w:rPr>
        <w:t>The Company will from time to time take all action which may be necessary to obtain and keep effective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spacing w:after="0" w:line="16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6.7 Persons Having Rights Under the Agreement. </w:t>
      </w:r>
      <w:r>
        <w:rPr>
          <w:rFonts w:ascii="Times New Roman" w:cs="Times New Roman" w:eastAsia="Times New Roman" w:hAnsi="Times New Roman"/>
          <w:sz w:val="18"/>
          <w:szCs w:val="18"/>
          <w:color w:val="auto"/>
        </w:rPr>
        <w:t>Nothing in this Agreement shall give to any person other than the Company, the Warrant Agent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the Warrant Certificates any right, remedy or claim under or by reason of this Agreement.</w:t>
      </w:r>
    </w:p>
    <w:p>
      <w:pPr>
        <w:spacing w:after="0" w:line="15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6.8 Headings. </w:t>
      </w:r>
      <w:r>
        <w:rPr>
          <w:rFonts w:ascii="Times New Roman" w:cs="Times New Roman" w:eastAsia="Times New Roman" w:hAnsi="Times New Roman"/>
          <w:sz w:val="18"/>
          <w:szCs w:val="18"/>
          <w:color w:val="auto"/>
        </w:rPr>
        <w:t>The descriptive headings of the several Articles and Sections of this Agreement are inserted for convenience only and shall not control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meaning or construction of any of the provisions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4" w:name="page165"/>
    <w:bookmarkEnd w:id="164"/>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6.9 Counterparts. </w:t>
      </w:r>
      <w:r>
        <w:rPr>
          <w:rFonts w:ascii="Times New Roman" w:cs="Times New Roman" w:eastAsia="Times New Roman" w:hAnsi="Times New Roman"/>
          <w:sz w:val="18"/>
          <w:szCs w:val="18"/>
          <w:color w:val="auto"/>
        </w:rPr>
        <w:t>This Agreement may be executed in any number of counterparts, each of which as so executed shall be deemed to be an original,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counterparts shall together constitute but one and the same instrument.</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6.10 Inspection of Agreement. </w:t>
      </w:r>
      <w:r>
        <w:rPr>
          <w:rFonts w:ascii="Times New Roman" w:cs="Times New Roman" w:eastAsia="Times New Roman" w:hAnsi="Times New Roman"/>
          <w:sz w:val="18"/>
          <w:szCs w:val="18"/>
          <w:color w:val="auto"/>
        </w:rPr>
        <w:t>A copy of this Agreement shall be available at all reasonable times at the principal corporate trust office of the 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for inspection by the holder of any Warrant Certificate. The Warrant Agent may require such holder to submit such holder’s Warrant Certificate for inspection by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165" w:name="page166"/>
    <w:bookmarkEnd w:id="165"/>
    <w:p>
      <w:pPr>
        <w:ind w:left="6020" w:right="219" w:hanging="7127"/>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caused this Agreement to be duly executed as of the day and year first above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Tilray Brands, Inc., as Company</w:t>
      </w:r>
    </w:p>
    <w:p>
      <w:pPr>
        <w:spacing w:after="0" w:line="13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17145</wp:posOffset>
            </wp:positionV>
            <wp:extent cx="212598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2125980" cy="1714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26035</wp:posOffset>
            </wp:positionV>
            <wp:extent cx="212598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2125980" cy="1714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-127635</wp:posOffset>
            </wp:positionV>
            <wp:extent cx="212598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2125980" cy="17145"/>
                    </a:xfrm>
                    <a:prstGeom prst="rect">
                      <a:avLst/>
                    </a:prstGeom>
                    <a:noFill/>
                  </pic:spPr>
                </pic:pic>
              </a:graphicData>
            </a:graphic>
          </wp:anchor>
        </w:drawing>
      </w:r>
    </w:p>
    <w:p>
      <w:pPr>
        <w:spacing w:after="0" w:line="24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173990</wp:posOffset>
            </wp:positionV>
            <wp:extent cx="212598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2125980" cy="1714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19685</wp:posOffset>
            </wp:positionV>
            <wp:extent cx="212598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21259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COUNTERSIGNED</w:t>
      </w:r>
    </w:p>
    <w:p>
      <w:pPr>
        <w:spacing w:after="0" w:line="22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Warrant Agent</w:t>
      </w:r>
    </w:p>
    <w:p>
      <w:pPr>
        <w:spacing w:after="0" w:line="22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17145</wp:posOffset>
            </wp:positionV>
            <wp:extent cx="212598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2125980" cy="1714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26035</wp:posOffset>
            </wp:positionV>
            <wp:extent cx="212598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2125980" cy="1714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-127635</wp:posOffset>
            </wp:positionV>
            <wp:extent cx="212598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2125980" cy="17145"/>
                    </a:xfrm>
                    <a:prstGeom prst="rect">
                      <a:avLst/>
                    </a:prstGeom>
                    <a:noFill/>
                  </pic:spPr>
                </pic:pic>
              </a:graphicData>
            </a:graphic>
          </wp:anchor>
        </w:drawing>
      </w:r>
    </w:p>
    <w:p>
      <w:pPr>
        <w:spacing w:after="0" w:line="24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173990</wp:posOffset>
            </wp:positionV>
            <wp:extent cx="212598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2125980" cy="1714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19685</wp:posOffset>
            </wp:positionV>
            <wp:extent cx="212598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2125980"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[SIGNATURE PAGE TO TILRAY BRANDS, INC. DEBT SECURITIES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FORM OF WARRANT CERTIFICATE</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[FACE OF WARRANT CERTIFICATE]</w:t>
      </w:r>
    </w:p>
    <w:p>
      <w:pPr>
        <w:spacing w:after="0" w:line="9" w:lineRule="exact"/>
        <w:rPr>
          <w:sz w:val="20"/>
          <w:szCs w:val="20"/>
          <w:color w:val="auto"/>
        </w:rPr>
      </w:pPr>
    </w:p>
    <w:p>
      <w:pPr>
        <w:ind w:left="5740" w:right="420" w:hanging="5736"/>
        <w:spacing w:after="0" w:line="260" w:lineRule="auto"/>
        <w:tabs>
          <w:tab w:leader="none" w:pos="5720" w:val="left"/>
        </w:tabs>
        <w:rPr>
          <w:sz w:val="20"/>
          <w:szCs w:val="20"/>
          <w:color w:val="auto"/>
        </w:rPr>
      </w:pPr>
      <w:r>
        <w:rPr>
          <w:rFonts w:ascii="Times New Roman" w:cs="Times New Roman" w:eastAsia="Times New Roman" w:hAnsi="Times New Roman"/>
          <w:sz w:val="18"/>
          <w:szCs w:val="18"/>
          <w:b w:val="1"/>
          <w:bCs w:val="1"/>
          <w:i w:val="1"/>
          <w:iCs w:val="1"/>
          <w:color w:val="auto"/>
        </w:rPr>
        <w:t>[Form of Legend if Warrants are not immediately exercisable.]</w:t>
      </w:r>
      <w:r>
        <w:rPr>
          <w:sz w:val="20"/>
          <w:szCs w:val="20"/>
          <w:color w:val="auto"/>
        </w:rPr>
        <w:tab/>
      </w:r>
      <w:r>
        <w:rPr>
          <w:rFonts w:ascii="Times New Roman" w:cs="Times New Roman" w:eastAsia="Times New Roman" w:hAnsi="Times New Roman"/>
          <w:sz w:val="18"/>
          <w:szCs w:val="18"/>
          <w:color w:val="auto"/>
        </w:rPr>
        <w:t>[Prior to [●], Warrants evidenced by this Warrant Certificate cannot be exercised.]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EXERCISABLE ONLY IF COUNTERSIGNED BY THE WARRANT AGENT AS PROVIDED HEREIN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VOID AFTER [●] P.M., [City] time, ON [●].</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CERTIFICATE REPRESENTING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 TO PURCHASE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WARRANT DEBT SECURITIES]</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Warrants</w:t>
      </w:r>
    </w:p>
    <w:p>
      <w:pPr>
        <w:spacing w:after="0" w:line="200" w:lineRule="exact"/>
        <w:rPr>
          <w:sz w:val="20"/>
          <w:szCs w:val="20"/>
          <w:color w:val="auto"/>
        </w:rPr>
      </w:pPr>
    </w:p>
    <w:p>
      <w:pPr>
        <w:sectPr>
          <w:pgSz w:w="11900" w:h="16838" w:orient="portrait"/>
          <w:cols w:equalWidth="0" w:num="2">
            <w:col w:w="9880" w:space="720"/>
            <w:col w:w="640"/>
          </w:cols>
          <w:pgMar w:left="320" w:top="117"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certifies that [●] or registered assigns is the registered owner of the above indicated number of Warrants, each Warrant entitling such owner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at any time [after [●] p.m., [City] time, [on [●] and] on or before [●] p.m., [City] time, on [●], $[●] principal amount of [TITLE OF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SECURITIES] (the “</w:t>
      </w:r>
      <w:r>
        <w:rPr>
          <w:rFonts w:ascii="Times New Roman" w:cs="Times New Roman" w:eastAsia="Times New Roman" w:hAnsi="Times New Roman"/>
          <w:sz w:val="18"/>
          <w:szCs w:val="18"/>
          <w:b w:val="1"/>
          <w:bCs w:val="1"/>
          <w:i w:val="1"/>
          <w:iCs w:val="1"/>
          <w:color w:val="auto"/>
        </w:rPr>
        <w:t>Warrant Debt Securities</w:t>
      </w:r>
      <w:r>
        <w:rPr>
          <w:rFonts w:ascii="Times New Roman" w:cs="Times New Roman" w:eastAsia="Times New Roman" w:hAnsi="Times New Roman"/>
          <w:sz w:val="18"/>
          <w:szCs w:val="18"/>
          <w:color w:val="auto"/>
        </w:rPr>
        <w:t>”), of Tilray Brands,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or to be issued under the Indenture (as hereinafter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on the following basis: during the period from [●], through and including [●], each Warrant shall entitle the Holder thereof, subject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this Agreement, to purchase the principal amount of Warrant Debt Securities stated in the Warrant Certificate at the warrant price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Price</w:t>
      </w:r>
      <w:r>
        <w:rPr>
          <w:rFonts w:ascii="Times New Roman" w:cs="Times New Roman" w:eastAsia="Times New Roman" w:hAnsi="Times New Roman"/>
          <w:sz w:val="18"/>
          <w:szCs w:val="18"/>
          <w:color w:val="auto"/>
        </w:rPr>
        <w:t>”) of [●]% of the principal amount thereof [plus accrued amortization, if any, of the original issue discount of the Warrant Debt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accrued interest, if any, from the most recent date from which interest shall have been paid on the Warrant Debt Securities or, if no interest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paid on the Warrant Debt Securities, from the date of their original issuance]. [The original issue discount ($[●] for each $1,000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Debt Securities) will be amortized at a [●]% annual rate, computed on a[n] [semi-]annual basis [using a 360-day year consisting of twelve 30-day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The Holder may exercise the Warrants evidenced hereby by providing certain information set forth on the back hereof and by paying in full,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lawful money of the United States of America, [in cash or by certified check or official bank check in New York Clearing House funds] [by bank wire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in immediately available funds], the Warrant Price for each Warrant Debt Security with respect to which this Warrant is exercised to the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(as hereinafter defined) and by surrendering this Warrant Certificate, with the purchase form on the back hereof duly executed, at the corporate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[name of Warrant Agent], or its successor as warrant agent (the “</w:t>
      </w:r>
      <w:r>
        <w:rPr>
          <w:rFonts w:ascii="Times New Roman" w:cs="Times New Roman" w:eastAsia="Times New Roman" w:hAnsi="Times New Roman"/>
          <w:sz w:val="18"/>
          <w:szCs w:val="18"/>
          <w:b w:val="1"/>
          <w:bCs w:val="1"/>
          <w:i w:val="1"/>
          <w:iCs w:val="1"/>
          <w:color w:val="auto"/>
        </w:rPr>
        <w:t>Warrant Agent</w:t>
      </w:r>
      <w:r>
        <w:rPr>
          <w:rFonts w:ascii="Times New Roman" w:cs="Times New Roman" w:eastAsia="Times New Roman" w:hAnsi="Times New Roman"/>
          <w:sz w:val="18"/>
          <w:szCs w:val="18"/>
          <w:color w:val="auto"/>
        </w:rPr>
        <w:t>”), which is, on the date hereof, at the address specified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reverse hereof, and upon compliance with and subject to the conditions set forth herein and in the Warrant Agreement (as hereinafter defined).</w:t>
      </w:r>
    </w:p>
    <w:p>
      <w:pPr>
        <w:spacing w:after="0" w:line="20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5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spacing w:after="0" w:line="154"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7"/>
          <w:szCs w:val="17"/>
          <w:color w:val="auto"/>
        </w:rPr>
        <w:t>This Warrant Certificate is issued under and in accordance with the Warrant Agreement dated as of [●] (the “</w:t>
      </w:r>
      <w:r>
        <w:rPr>
          <w:rFonts w:ascii="Times New Roman" w:cs="Times New Roman" w:eastAsia="Times New Roman" w:hAnsi="Times New Roman"/>
          <w:sz w:val="17"/>
          <w:szCs w:val="17"/>
          <w:b w:val="1"/>
          <w:bCs w:val="1"/>
          <w:i w:val="1"/>
          <w:iCs w:val="1"/>
          <w:color w:val="auto"/>
        </w:rPr>
        <w:t>Warrant Agreement</w:t>
      </w:r>
      <w:r>
        <w:rPr>
          <w:rFonts w:ascii="Times New Roman" w:cs="Times New Roman" w:eastAsia="Times New Roman" w:hAnsi="Times New Roman"/>
          <w:sz w:val="17"/>
          <w:szCs w:val="17"/>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7" w:name="page168"/>
    <w:bookmarkEnd w:id="167"/>
    <w:p>
      <w:pPr>
        <w:spacing w:after="0" w:line="261" w:lineRule="auto"/>
        <w:rPr>
          <w:sz w:val="20"/>
          <w:szCs w:val="20"/>
          <w:color w:val="auto"/>
        </w:rPr>
      </w:pPr>
      <w:r>
        <w:rPr>
          <w:rFonts w:ascii="Times New Roman" w:cs="Times New Roman" w:eastAsia="Times New Roman" w:hAnsi="Times New Roman"/>
          <w:sz w:val="18"/>
          <w:szCs w:val="18"/>
          <w:color w:val="auto"/>
        </w:rPr>
        <w:t>The Warrant Debt Securities to be issued and delivered upon the exercise of Warrants evidenced by this Warrant Certificate will be issued under and in accordance with an Indenture, dated as of [●] (the “</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between the Company and [●], as trustee (such trustee, and any successors to such trustee,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and will be subject to the terms and provisions contained in the Warrant Debt Securities and in the Indenture. Copies of the Indenture, including the form of the Warrant Debt Securities, are on file at the corporate trust office of the Trustee.</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6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Warrant Certificate set forth on the reverse hereof, which further provisions shall for all purposes have the same effect as if set forth at this place.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Certificate shall not be valid or obligatory for any purpose until countersigned by the Warrant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Warrant to be executed in its name and on its behalf by the facsimile signatures of its duly</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Tilray Brands, Inc.</w:t>
      </w:r>
      <w:r>
        <w:rPr>
          <w:rFonts w:ascii="Times New Roman" w:cs="Times New Roman" w:eastAsia="Times New Roman" w:hAnsi="Times New Roman"/>
          <w:sz w:val="18"/>
          <w:szCs w:val="18"/>
          <w:color w:val="auto"/>
        </w:rPr>
        <w:t>, as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-127635</wp:posOffset>
            </wp:positionV>
            <wp:extent cx="211709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26035</wp:posOffset>
            </wp:positionV>
            <wp:extent cx="211709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2117090"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-127635</wp:posOffset>
            </wp:positionV>
            <wp:extent cx="211709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182880</wp:posOffset>
            </wp:positionV>
            <wp:extent cx="211709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2117090"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28575</wp:posOffset>
            </wp:positionV>
            <wp:extent cx="211709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COUNTERSIGNED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Warrant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-127635</wp:posOffset>
            </wp:positionV>
            <wp:extent cx="211709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26035</wp:posOffset>
            </wp:positionV>
            <wp:extent cx="211709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2117090"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-127635</wp:posOffset>
            </wp:positionV>
            <wp:extent cx="211709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182880</wp:posOffset>
            </wp:positionV>
            <wp:extent cx="211709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2117090" cy="171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28575</wp:posOffset>
            </wp:positionV>
            <wp:extent cx="211709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21170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117" w:right="819" w:bottom="1440" w:gutter="0" w:footer="0" w:header="0"/>
        </w:sectPr>
      </w:pPr>
    </w:p>
    <w:bookmarkStart w:id="169" w:name="page170"/>
    <w:bookmarkEnd w:id="1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[REVERSE OF WARRANT CERTIFICATE]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(Instructions for Exercise of Warrant)</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upon exercise of Warrants)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undersigned hereby irrevocably elects to exercise Warrants, evidenced by this Warrant Certificate, to purchase $[●] principal amount of the [TITLE OF WARRANT DEBT SECURITIES] (the “</w:t>
      </w:r>
      <w:r>
        <w:rPr>
          <w:rFonts w:ascii="Times New Roman" w:cs="Times New Roman" w:eastAsia="Times New Roman" w:hAnsi="Times New Roman"/>
          <w:sz w:val="18"/>
          <w:szCs w:val="18"/>
          <w:b w:val="1"/>
          <w:bCs w:val="1"/>
          <w:i w:val="1"/>
          <w:iCs w:val="1"/>
          <w:color w:val="auto"/>
        </w:rPr>
        <w:t>Warrant Debt Securities</w:t>
      </w:r>
      <w:r>
        <w:rPr>
          <w:rFonts w:ascii="Times New Roman" w:cs="Times New Roman" w:eastAsia="Times New Roman" w:hAnsi="Times New Roman"/>
          <w:sz w:val="18"/>
          <w:szCs w:val="18"/>
          <w:color w:val="auto"/>
        </w:rPr>
        <w:t>”), of Tilray Brands,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Tilray Brands, Inc., c/o [insert name and address of Warrant Agent], in the amount of $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-168910</wp:posOffset>
            </wp:positionV>
            <wp:extent cx="285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p>
      <w:pPr>
        <w:spacing w:after="0" w:line="1"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Please Print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Social Security or Other Identifying Number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this Warrant Certificate and must bear a signature guarantee by a FINRA member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may be exercised at the following addresses: By hand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mail at:</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[Instructions as to form and delivery of Warrant Debt Securities and, if applicable, Warrant Certificates evidencing Warrants for the number of Warrant Debt Securities remaining unexercised-complete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0" w:name="page171"/>
    <w:bookmarkEnd w:id="17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ASSIGNMENT</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[Form of assignment to be executed if Warrant Holder desires to transfer Warrant]</w:t>
      </w:r>
    </w:p>
    <w:p>
      <w:pPr>
        <w:sectPr>
          <w:pgSz w:w="11900" w:h="16838" w:orient="portrait"/>
          <w:cols w:equalWidth="0" w:num="1">
            <w:col w:w="11160"/>
          </w:cols>
          <w:pgMar w:left="320" w:top="117" w:right="419" w:bottom="1440" w:gutter="0" w:footer="0" w:header="0"/>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FOR VALUE RECEIVED, </w:t>
      </w:r>
      <w:r>
        <w:rPr>
          <w:rFonts w:ascii="Times New Roman" w:cs="Times New Roman" w:eastAsia="Times New Roman" w:hAnsi="Times New Roman"/>
          <w:sz w:val="17"/>
          <w:szCs w:val="17"/>
          <w:color w:val="auto"/>
        </w:rPr>
        <w:t>hereby sells, assigns and transfers unto: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 including zip code)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print Social Security or other identifying number</w:t>
      </w:r>
    </w:p>
    <w:p>
      <w:pPr>
        <w:spacing w:after="0" w:line="229" w:lineRule="exact"/>
        <w:rPr>
          <w:sz w:val="20"/>
          <w:szCs w:val="20"/>
          <w:color w:val="auto"/>
        </w:rPr>
      </w:pPr>
    </w:p>
    <w:p>
      <w:pPr>
        <w:sectPr>
          <w:pgSz w:w="11900" w:h="16838" w:orient="portrait"/>
          <w:cols w:equalWidth="0" w:num="2">
            <w:col w:w="4980" w:space="640"/>
            <w:col w:w="5540"/>
          </w:cols>
          <w:pgMar w:left="320" w:top="117" w:right="419" w:bottom="1440" w:gutter="0" w:footer="0" w:header="0"/>
          <w:type w:val="continuous"/>
        </w:sectPr>
      </w:pPr>
    </w:p>
    <w:p>
      <w:pPr>
        <w:spacing w:after="0" w:line="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right represented by the within Warrant to purchase aggregate principal amount of [Title of Warrant Debt Securities] of Tilray Brands, Inc. to which the within Warrant relates and appoints attorney to transfer such right on the books of the Warrant Agent with full power of substitution in the premises.</w:t>
      </w: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type w:val="continuous"/>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94130" cy="8229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1294130" cy="822960"/>
                    </a:xfrm>
                    <a:prstGeom prst="rect">
                      <a:avLst/>
                    </a:prstGeom>
                    <a:noFill/>
                  </pic:spPr>
                </pic:pic>
              </a:graphicData>
            </a:graphic>
          </wp:anchor>
        </w:drawing>
      </w:r>
    </w:p>
    <w:p>
      <w:pPr>
        <w:spacing w:after="0" w:line="1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27th Floor</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New York, New York 10020-1104</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www.dlapiper.com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265 Talbot Street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Leamington, Ontario,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7"/>
          <w:szCs w:val="17"/>
          <w:color w:val="auto"/>
        </w:rPr>
        <w:t>We have acted as counsel for Tilray Brands,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in connection with the preparation of the Registration Statement on Form S-3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filed on the date hereof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which became automatically effective upon filing. The Registration Statement contains a prospectus (the “</w:t>
      </w:r>
      <w:r>
        <w:rPr>
          <w:rFonts w:ascii="Times New Roman" w:cs="Times New Roman" w:eastAsia="Times New Roman" w:hAnsi="Times New Roman"/>
          <w:sz w:val="17"/>
          <w:szCs w:val="17"/>
          <w:b w:val="1"/>
          <w:bCs w:val="1"/>
          <w:i w:val="1"/>
          <w:iCs w:val="1"/>
          <w:color w:val="auto"/>
        </w:rPr>
        <w:t>Base Prospectus</w:t>
      </w:r>
      <w:r>
        <w:rPr>
          <w:rFonts w:ascii="Times New Roman" w:cs="Times New Roman" w:eastAsia="Times New Roman" w:hAnsi="Times New Roman"/>
          <w:sz w:val="17"/>
          <w:szCs w:val="17"/>
          <w:color w:val="auto"/>
        </w:rPr>
        <w:t>”) that provides it will be supplemented in the future by one or more prospectus supplements and relates to:</w:t>
      </w:r>
    </w:p>
    <w:p>
      <w:pPr>
        <w:spacing w:after="0" w:line="165" w:lineRule="exact"/>
        <w:rPr>
          <w:sz w:val="20"/>
          <w:szCs w:val="20"/>
          <w:color w:val="auto"/>
        </w:rPr>
      </w:pPr>
    </w:p>
    <w:p>
      <w:pPr>
        <w:ind w:left="980" w:right="180" w:hanging="324"/>
        <w:spacing w:after="0" w:line="282" w:lineRule="auto"/>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offer and sale from time to time, pursuant to Rule 415 promulgated under the Securities Act, of an undetermined amount of the following securities:</w:t>
      </w:r>
    </w:p>
    <w:p>
      <w:pPr>
        <w:spacing w:after="0" w:line="15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(the “</w:t>
      </w:r>
      <w:r>
        <w:rPr>
          <w:rFonts w:ascii="Times New Roman" w:cs="Times New Roman" w:eastAsia="Times New Roman" w:hAnsi="Times New Roman"/>
          <w:sz w:val="18"/>
          <w:szCs w:val="18"/>
          <w:b w:val="1"/>
          <w:bCs w:val="1"/>
          <w:i w:val="1"/>
          <w:iCs w:val="1"/>
          <w:color w:val="auto"/>
        </w:rPr>
        <w:t>Company Shares</w:t>
      </w:r>
      <w:r>
        <w:rPr>
          <w:rFonts w:ascii="Times New Roman" w:cs="Times New Roman" w:eastAsia="Times New Roman" w:hAnsi="Times New Roman"/>
          <w:sz w:val="18"/>
          <w:szCs w:val="18"/>
          <w:color w:val="auto"/>
        </w:rPr>
        <w:t>”) of the Company’s common stock, $0.0001 par value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$0.0001 par value per share, of the Company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(the “</w:t>
      </w:r>
      <w:r>
        <w:rPr>
          <w:rFonts w:ascii="Times New Roman" w:cs="Times New Roman" w:eastAsia="Times New Roman" w:hAnsi="Times New Roman"/>
          <w:sz w:val="18"/>
          <w:szCs w:val="18"/>
          <w:b w:val="1"/>
          <w:bCs w:val="1"/>
          <w:i w:val="1"/>
          <w:iCs w:val="1"/>
          <w:color w:val="auto"/>
        </w:rPr>
        <w:t>Debt Securities</w:t>
      </w:r>
      <w:r>
        <w:rPr>
          <w:rFonts w:ascii="Times New Roman" w:cs="Times New Roman" w:eastAsia="Times New Roman" w:hAnsi="Times New Roman"/>
          <w:sz w:val="18"/>
          <w:szCs w:val="18"/>
          <w:color w:val="auto"/>
        </w:rPr>
        <w:t>”); and</w:t>
      </w:r>
    </w:p>
    <w:p>
      <w:pPr>
        <w:spacing w:after="0" w:line="229"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Common Stock, Preferred Stock or Debt Securities evidenced by warrant certificates independently or together with any securities offered by a prospectus supplement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and together with the Company Shares, the Preferred Stock and the Debt Securities,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examined: (i) the Registration Statement; (ii) the Base Prospectus; (iii) the bylaws of the Company, as amended and restated and currently in effect; (iv) the certificate of incorporation of the Company, as amended and restated and currently in effect; (v) the form of indenture filed as an exhibit to the Registration Statement; and (vi) such other documents as we have deemed necessary or appropriate for purposes of this opinion.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this opinion, we have assumed that:</w:t>
      </w:r>
    </w:p>
    <w:p>
      <w:pPr>
        <w:spacing w:after="0" w:line="225" w:lineRule="exact"/>
        <w:rPr>
          <w:sz w:val="20"/>
          <w:szCs w:val="20"/>
          <w:color w:val="auto"/>
        </w:rPr>
      </w:pPr>
    </w:p>
    <w:p>
      <w:pPr>
        <w:ind w:left="980" w:right="180" w:hanging="324"/>
        <w:spacing w:after="0" w:line="282"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Securities will be issued pursuant to one or more indentures, each to be between the Company and a financial institution identified therein as trustee;</w:t>
      </w:r>
    </w:p>
    <w:p>
      <w:pPr>
        <w:spacing w:after="0" w:line="161"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delivery of any Security, the Board of Directors shall have duly established the terms of such Security and duly authorized the issuance and sale of such Security and such authorization shall not have been modified or rescinded;</w:t>
      </w:r>
    </w:p>
    <w:p>
      <w:pPr>
        <w:spacing w:after="0" w:line="161"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any amendments thereto (including post-effective amendments), will have become effective and such effectiveness shall not have been terminated or rescinded;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prospectus supplement will have been prepared and filed with the Commission describing the Securities offered thereby;</w:t>
      </w:r>
    </w:p>
    <w:p>
      <w:pPr>
        <w:spacing w:after="0" w:line="225" w:lineRule="exact"/>
        <w:rPr>
          <w:rFonts w:ascii="Times New Roman" w:cs="Times New Roman" w:eastAsia="Times New Roman" w:hAnsi="Times New Roman"/>
          <w:sz w:val="18"/>
          <w:szCs w:val="18"/>
          <w:color w:val="auto"/>
        </w:rPr>
      </w:pPr>
    </w:p>
    <w:p>
      <w:pPr>
        <w:ind w:left="980" w:right="860" w:hanging="324"/>
        <w:spacing w:after="0" w:line="282"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will be issued and sold in compliance with applicable federal and state securities laws and in the manner stated in the Registration Statement and the appropriate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980" w:right="240" w:hanging="324"/>
        <w:spacing w:after="0" w:line="282" w:lineRule="auto"/>
        <w:tabs>
          <w:tab w:leader="none" w:pos="9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definitive purchase, underwriting or similar agreement with respect to any Securities will have been duly authorized and validly executed and delivered by the Company and the other parties thereto;</w:t>
      </w:r>
    </w:p>
    <w:p>
      <w:pPr>
        <w:spacing w:after="0" w:line="161"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change in law affecting the validity of any of the Securities (between the date hereof and the date of issuance and sale of such Securities);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parties to agreements involving the issuance or sale of the Securities will perform their obligations thereunder in compliance with the terms of such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and subject to the foregoing, we are of the opinion that,</w:t>
      </w:r>
    </w:p>
    <w:p>
      <w:pPr>
        <w:spacing w:after="0" w:line="225" w:lineRule="exact"/>
        <w:rPr>
          <w:sz w:val="20"/>
          <w:szCs w:val="20"/>
          <w:color w:val="auto"/>
        </w:rPr>
      </w:pPr>
    </w:p>
    <w:p>
      <w:pPr>
        <w:ind w:left="980" w:hanging="324"/>
        <w:spacing w:after="0" w:line="254" w:lineRule="auto"/>
        <w:tabs>
          <w:tab w:leader="none" w:pos="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Debt Securities, when (i) an indenture relating thereto has been duly qualified under the Trust Indenture Act of 1939, as amended; (ii)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a duly constituted and acting committee thereof) has taken all necessary action to approve the issuance of the Debt Securities, the terms of the offering thereof and related matters; and (iii) the Debt Securities have been duly executed, authenticated, issued and delivered in accordance with the terms of the indenture and the applicable definitive purchase, underwriting or similar agreement approved by the Company, and upon payment of the consideration therefor or provided for therein, then the Debt Securities will constitute legal, valid and binding obligations of the Company, enforceable against the Company in accordance with their terms, except as such enforcement may be subject to any applicable bankruptcy, insolvency, reorganization, fraudulent conveyance or other law relating to or affecting creditors’ rights generally and general principles of equity.</w:t>
      </w:r>
    </w:p>
    <w:p>
      <w:pPr>
        <w:spacing w:after="0" w:line="191" w:lineRule="exact"/>
        <w:rPr>
          <w:rFonts w:ascii="Times New Roman" w:cs="Times New Roman" w:eastAsia="Times New Roman" w:hAnsi="Times New Roman"/>
          <w:sz w:val="18"/>
          <w:szCs w:val="18"/>
          <w:color w:val="auto"/>
        </w:rPr>
      </w:pPr>
    </w:p>
    <w:p>
      <w:pPr>
        <w:ind w:left="980" w:right="40" w:hanging="324"/>
        <w:spacing w:after="0" w:line="256" w:lineRule="auto"/>
        <w:tabs>
          <w:tab w:leader="none" w:pos="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Company Shares, when (i) the Board (or a duly constituted and acting committee thereof) has taken all necessary action to approve the issuance and sale of the Company Shares, the terms of the offering thereof and related matters, (ii) such Company Shares have been issued and delivered in accordance with the provisions of any applicable convertible or exchangeable security, definitive purchase, underwriting or other agreement binding on the Company and the terms approved by the Board (or a duly constituted and acting committee thereof) and (iii) the Company has received payment of the cash or other lawful consideration provided to be paid for the Company Shares, which consideration shall not be less than the par value thereof, such Company Shares will be legally issued, fully paid and non-assessable.</w:t>
      </w:r>
    </w:p>
    <w:p>
      <w:pPr>
        <w:spacing w:after="0" w:line="187" w:lineRule="exact"/>
        <w:rPr>
          <w:rFonts w:ascii="Times New Roman" w:cs="Times New Roman" w:eastAsia="Times New Roman" w:hAnsi="Times New Roman"/>
          <w:sz w:val="18"/>
          <w:szCs w:val="18"/>
          <w:color w:val="auto"/>
        </w:rPr>
      </w:pPr>
    </w:p>
    <w:p>
      <w:pPr>
        <w:ind w:left="980" w:right="20" w:hanging="324"/>
        <w:spacing w:after="0" w:line="254" w:lineRule="auto"/>
        <w:tabs>
          <w:tab w:leader="none" w:pos="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Preferred Stock, when (i) the Board (or a duly constituted and acting committee thereof) has taken all necessary action to approve the designation of the relative rights, preferences and limitations of any series of Preferred Stock, (ii) a certificate of designations relating to such series of Preferred Stock has been properly filed with the Secretary of State of the State of Delaware, (iii) the Board (or a duly constituted and acting committee thereof) has taken all necessary action to approve the issuance and sale of such shares of Preferred Stock, the terms of the offering thereof and related matters, (iv) such shares of Preferred Stock have been issued and delivered in accordance with the provisions of any applicable convertible or exchangeable security, definitive purchase, underwriting or other agreement binding on the Company and the terms approved by the Board (or a duly constituted and acting committee thereof) and (v) the Company has received payment of the cash or other lawful consideration provided to be paid for the Preferred Stock, which consideration shall not be less than the par value thereof, such shares of Preferred Stock will be legally issued, fully paid and non-assessable.</w:t>
      </w:r>
    </w:p>
    <w:p>
      <w:pPr>
        <w:spacing w:after="0" w:line="188" w:lineRule="exact"/>
        <w:rPr>
          <w:rFonts w:ascii="Times New Roman" w:cs="Times New Roman" w:eastAsia="Times New Roman" w:hAnsi="Times New Roman"/>
          <w:sz w:val="18"/>
          <w:szCs w:val="18"/>
          <w:color w:val="auto"/>
        </w:rPr>
      </w:pPr>
    </w:p>
    <w:p>
      <w:pPr>
        <w:ind w:left="980" w:right="60" w:hanging="324"/>
        <w:spacing w:after="0" w:line="254" w:lineRule="auto"/>
        <w:tabs>
          <w:tab w:leader="none" w:pos="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when (i) the Board (or a duly constituted and acting committee thereof) has taken all necessary action to approve the issuance and establish the terms of the Warrants, the terms of the offering of such Warrants, and related matters, (ii) one or more agreements incorporating the terms and other provisions of the Warrants has been duly executed and delivered by the Company and a warrant agent (each, a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(iii) the Warrant certificates have been duly executed, authenticated or countersigned, issued and delivered in accordance with the terms of the appropriate Warrant Agreement (assuming the Securities issuable upon exercise of the Warrants have been duly authorized and reserved for issuance by all necessary corporate action), and upon payment of the consideration therefor or provided for therein, then the Warrants will constitute legal, valid and binding obligations of the Company, enforceable against the Company in accordance with their terms, except as such enforcement may be subject to any applicable bankruptcy, insolvency, reorganization, fraudulent conveyance or other law relating to or affecting creditors’ rights generally and general principles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opinions expressed herein are qualified in the following respects:</w:t>
      </w:r>
    </w:p>
    <w:p>
      <w:pPr>
        <w:spacing w:after="0" w:line="225" w:lineRule="exact"/>
        <w:rPr>
          <w:sz w:val="20"/>
          <w:szCs w:val="20"/>
          <w:color w:val="auto"/>
        </w:rPr>
      </w:pPr>
    </w:p>
    <w:p>
      <w:pPr>
        <w:ind w:left="980" w:right="40" w:hanging="324"/>
        <w:spacing w:after="0" w:line="254" w:lineRule="auto"/>
        <w:tabs>
          <w:tab w:leader="none" w:pos="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assumed the genuineness and validity of all signatures (including, without limitation, signatures via DocuSign, eSignature or similar technology); the authenticity and completeness of all documents submitted to us as originals and the conformity with the originals of all documents submitted to us as certified or photostatic copies or telecopies or portable document file (.pdf) copies (and the authenticity and completeness of the originals of such copies) or which we obtained from the Commission’s Electronic Data Gathering Analysis and Retrieval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system; that each individual executing any document, whether on behalf of such individual or an entity, is legally competent to do so; the due authority of the parties signing any document on behalf of a party (other than the Company); the completeness and conformity to the originals of all documents submitted to us as copies; that all public records reviewed or relied upon by us are authentic, accurate and complete; that all factual statements and information contained in any documents are true and complete; and that there has been no oral or written modification or amendments to any documents by action or omission of the parties or otherwise.</w:t>
      </w:r>
    </w:p>
    <w:p>
      <w:pPr>
        <w:spacing w:after="0" w:line="188" w:lineRule="exact"/>
        <w:rPr>
          <w:rFonts w:ascii="Times New Roman" w:cs="Times New Roman" w:eastAsia="Times New Roman" w:hAnsi="Times New Roman"/>
          <w:sz w:val="18"/>
          <w:szCs w:val="18"/>
          <w:color w:val="auto"/>
        </w:rPr>
      </w:pPr>
    </w:p>
    <w:p>
      <w:pPr>
        <w:ind w:left="980" w:hanging="324"/>
        <w:spacing w:after="0" w:line="256" w:lineRule="auto"/>
        <w:tabs>
          <w:tab w:leader="none" w:pos="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expressed solely with respect to the General Corporation Law of the State of Delaware and, as to the Debt Securities and the Warrants constituting valid and legally binding obligations of the Company, the laws of the State of New York (excluding those of counties, cities, municipalities and other local subdivisions). With respect to our opinions based on the General Corporation Law of the State of Delaware, our examination has been limited to a review of such laws as reported in standard, unofficial compilations.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8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references to this firm under the caption “Legal Matters” in the Base Prospectus contained in the Registration Statement and to the filing of this opinion as an exhibit to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5.2</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94130" cy="8229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1294130" cy="822960"/>
                    </a:xfrm>
                    <a:prstGeom prst="rect">
                      <a:avLst/>
                    </a:prstGeom>
                    <a:noFill/>
                  </pic:spPr>
                </pic:pic>
              </a:graphicData>
            </a:graphic>
          </wp:anchor>
        </w:drawing>
      </w:r>
    </w:p>
    <w:p>
      <w:pPr>
        <w:spacing w:after="0" w:line="1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27th Floor</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New York, New York 10020-1104</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www.dlapiper.com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265 Talbot Street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Leamington, Ontario,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acted as counsel to Tilray Brands,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issuance and sale by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from time to time of shares of the Company’s common stock, par value $0.0001 per share, having an aggregate offering price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$51,597,980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pursuant to the registration statement on Form S-3,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on the date hereof, which became automatically effective upon filing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the related prospectus supplement included in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and the equity distribution agreement, dated May 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by and between the Company, on the one hand, and TD Securities (USA) LLC and Jefferies LLC, as sales agents and/or principals, on the other hand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Equity Distribution 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As counsel for the Company, we have examined the Registration Statement, the Prospectus, the Equity Distribution Agreement, and originals or copies, certified or otherwise identified to our satisfaction, of the certificate of incorporation, as amended, of the Company, the bylaws, as amended, of the Company, resolutions, or actions by written consent, of the board of directors of the Company (or a committee thereof) relating to the authorization of the issuance and sale of the Shares, among other things, and approval of the Equity Distribution Agreement, and such documents, corporate records, certificates of public officials and other instruments as we have deemed necessary for the purposes of rendering this opinion, and we are familiar with the proceedings taken and proposed to be taken by the Company in relation to the registration of the issuance and sale of the Shares. In our examination, we have assumed the genuineness and validity of all signatures (including, without limitation, signatures via DocuSign, eSignature or similar technology); the authenticity and completeness of all documents submitted to us as originals and the conformity with the originals of all documents submitted to us as certified or photostatic copies or telecopies or portable document file (.pdf) copies (and the authenticity and completeness of the originals of such copies) or which we obtained from the Commission’s Electronic Data Gathering Analysis and Retrieval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system; that each individual executing any document, whether on behalf of such individual or an entity, is legally competent to do so; the due authority of the parties signing any document on behalf of a party (other than the Company); the completeness and conformity to the originals of all documents submitted to us as copies; that all public records reviewed or relied upon by us are authentic, accurate and complete; that all factual statements and information contained in any documents are true and complete; and that there has been no oral or written modification or amendments to any documents by action or omission of the parties or otherwise. This opinion letter is given, and all statements herein are made, in the context of the foregoing.</w:t>
      </w:r>
    </w:p>
    <w:p>
      <w:pPr>
        <w:spacing w:after="0" w:line="19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This opinion letter is limited to the General Corporation Law of the State of Delaware, as amended, and we express no opinion herein as to any other laws, statutes, ordinances, rules, or regulations. With respect to our opinion based on the General Corporation Law of the State of Delaware, our examination has been limited to a review of such laws as reported in standard, unofficial compilations.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our opinion expressed below, we have assumed that at or prior to the time of issuance of the Shares, the Registration Statement will not have been modified, withdrawn or deregistered and that there will not have occurred any change in law affecting the validity of the issuance of the Shares.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have been duly authorized by the Company and, when issued and sold by the Company and delivered by the Company against receipt of the purchase price therefor, in the manner contemplated by the Equity Distribution Agreement, will be validly issued, fully paid and non-assessable.</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This opinion letter has been prepared for use in connection with the Prospectus Supplement. The foregoing opinion is rendered as of the date hereof. We assume no obligation to update or supplement this opinion if any laws change after the date hereof or if any facts or circumstances come to our attention after the date hereof that might change this opinion.</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Exhibit 5.2 to the Registration Statement and to the reference to us under the caption “Legal Matters” in the Prospectus Supplement. In giving such consent, we do not hereby admit that we are acting within the category of persons whose consent is required under Section 7 of the Act or the rules or regulations of the SEC thereunder.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5.3</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94130" cy="8229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1294130" cy="822960"/>
                    </a:xfrm>
                    <a:prstGeom prst="rect">
                      <a:avLst/>
                    </a:prstGeom>
                    <a:noFill/>
                  </pic:spPr>
                </pic:pic>
              </a:graphicData>
            </a:graphic>
          </wp:anchor>
        </w:drawing>
      </w:r>
    </w:p>
    <w:p>
      <w:pPr>
        <w:spacing w:after="0" w:line="1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27th Floor</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New York, New York 10020-1104</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www.dlapiper.com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265 Talbot Street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Leamington, Ontario,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are acting as counsel to Tilray Brands,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offering of up to 3,133 shares of its common stock, par value $0.0001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issuable upon the exercise of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to purchase the Shares that were assumed by the Company pursuant to the arrangement agreement, dated as of April 10, 2023, as amended on June 1, 2023 (as amended, the “</w:t>
      </w:r>
      <w:r>
        <w:rPr>
          <w:rFonts w:ascii="Times New Roman" w:cs="Times New Roman" w:eastAsia="Times New Roman" w:hAnsi="Times New Roman"/>
          <w:sz w:val="18"/>
          <w:szCs w:val="18"/>
          <w:b w:val="1"/>
          <w:bCs w:val="1"/>
          <w:i w:val="1"/>
          <w:iCs w:val="1"/>
          <w:color w:val="auto"/>
        </w:rPr>
        <w:t>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the Company and HEXO Corp. a corporation existing under the laws of the Province of Ontario, as described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Prospectus (as defined below), pursuant to the registration statement on Form S-3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on the date hereof, which became automatically effective upon filing, the prospectus included in the Registration Statement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the related prospectus supplement included in the Registration Statement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As counsel for the Company, we have examined the Registration Statement, the Prospectus, and originals or copies, certified or otherwise identified to our satisfaction, of the certificate of incorporation, as amended, of the Company, the bylaws, as amended, of the Company, resolutions, or actions by written consent, of the board of directors of the Company (or a committee thereof) relating to the Shares, and such documents, corporate records, certificates of public officials and other instruments as we have deemed necessary for the purposes of rendering this opinion and we are familiar with the proceedings taken and proposed to be taken by the Company in relation to the registration of the issuance and sale of the Shares. In our examination, we have assumed the genuineness and validity of all signatures (including, without limitation, signatures via DocuSign, eSignature or similar technology); the authenticity and completeness of all documents submitted to us as originals and the conformity with the originals of all documents submitted to us as certified or photostatic copies or telecopies or portable document file (.pdf) copies (and the authenticity and completeness of the originals of such copies) or which we obtained from the Commission’s Electronic Data Gathering Analysis and Retrieval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system; that each individual executing any document, whether on behalf of such individual or an entity, is legally competent to do so; the due authority of the parties signing any document on behalf of a party (other than the Company); the completeness and conformity to the originals of all documents submitted to us as copies; that all public records reviewed or relied upon by us are authentic, accurate and complete; that all factual statements and information contained in any documents are true and complete; and that there has been no oral or written modification or amendments to any documents by action or omission of the parties or otherwise. This opinion letter is given, and all statements herein are made, in the context of the foregoing.</w:t>
      </w:r>
    </w:p>
    <w:p>
      <w:pPr>
        <w:spacing w:after="0" w:line="19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This opinion letter is limited to the General Corporation Law of the State of Delaware, as amended,, and we express no opinion herein as to any other laws, statutes, ordinances, rules, or regulations. With respect to our opinion based on the General Corporation Law of the State of Delaware, our examination has been limited to a review of such laws as reported in standard, unofficial compilations.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our opinion expressed below, we have assumed that at or prior to the time of issuance of the Shares, the Registration Statement will not have been modified, withdrawn or deregistered and that there will not have occurred any change in law affecting the validity of the issuance of the Shares.</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Based upon, subject to and limited by the foregoing, we are of the opinion that the Shares, when issued and delivered upon exercise and payment of the exercise price of the applicable Warrants, and in accordance with the terms of the applicable Warrants, will be validly issued, fully paid and nonassessable.</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This opinion letter has been prepared for use in connection with the Prospectus Supplement. The foregoing opinion is rendered as of the date hereof. We assume no obligation to update or supplement this opinion if any laws change after the date hereof or if any facts or circumstances come to our attention after the date hereof that might change this opinion.</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Exhibit 5.3 to the Registration Statement and to the reference to us under the caption “Legal Matters” in the Prospectus Supplement. In giving such consent, we do not hereby admit that we are acting within the category of persons whose consent is required under Section 7 of the Act or the rules or regulations of the Commission thereunder.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5.4</w:t>
      </w:r>
    </w:p>
    <w:p>
      <w:pPr>
        <w:spacing w:after="0" w:line="225"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294130" cy="8229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1294130" cy="822960"/>
                    </a:xfrm>
                    <a:prstGeom prst="rect">
                      <a:avLst/>
                    </a:prstGeom>
                    <a:noFill/>
                  </pic:spPr>
                </pic:pic>
              </a:graphicData>
            </a:graphic>
          </wp:anchor>
        </w:drawing>
      </w:r>
    </w:p>
    <w:p>
      <w:pPr>
        <w:spacing w:after="0" w:line="1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27th Floor</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New York, New York 10020-1104</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www.dlapiper.com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265 Talbot Street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Leamington, Ontario,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are acting as counsel to Tilray Brands,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offering of 8,617,068 shares of its common stock, par value $0.0001, to be sold by certain selling stockholders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as described in the Prospectus (as defined below), pursuant to the registration statement on Form S-3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on the date hereof, which became automatically effective upon filing, the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the related prospectus supplement, included in the Registration Statement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counsel for the Company, we have examined the Registration Statement, the Prospectus, and originals or copies, certified or otherwise identified to our satisfaction, of the certificate of incorporation, as amended, of the Company, the bylaws, as amended, of the Company, resolutions, or actions by written consent, of the board of directors of the Company (or a committee thereof) relating to the Shares, and such documents, corporate records, certificates of public officials and other instruments as we have deemed necessary for the purposes of rendering this opinion and we are familiar with the proceedings taken and proposed to be taken by the Company in relation to the registration of the resale of the Shares. In our examination, we have assumed the genuineness and validity of all signatures (including, without limitation, signatures via DocuSign, eSignature or similar technology); the authenticity and completeness of all documents submitted to us as originals and the conformity with the originals of all documents submitted to us as certified or photostatic copies or telecopies or portable document file (.pdf) copies (and the authenticity and completeness of the originals of such copies) or which we obtained from the Commission’s Electronic Data Gathering Analysis and Retrieval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system; that each individual executing any document, whether on behalf of such individual or an entity, is legally competent to do so; the due authority of the parties signing any document on behalf of a party (other than the Company); the completeness and conformity to the originals of all documents submitted to us as copies; that all public records reviewed or relied upon by us are authentic, accurate and complete; that all factual statements and information contained in any documents are true and complete; and that there has been no oral or written modification or amendments to any documents by action or omission of the parties or otherwise. This opinion letter is given, and all statements herein are made, in the context of the foregoing.</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opinion letter is limited to the General Corporation Law of the State of Delaware, as amended, and we express no opinion herein as to any other laws, statutes, ordinances, rules, or regulations. With respect to our opinion based on the General Corporation Law of the State of Delaware, our examination has been limited to a review of such laws as reported in standard, unofficial compilations.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subject to and limited by the foregoing, we are of the opinion that the Shares are validly issued, fully paid and non-assessable.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letter has been prepared for use in connection with the Prospectus Supplement. The foregoing opinion is rendered as of the date hereof. We assume no obligation to update or supplement this opinion if any laws change after the date hereof or if any facts or circumstances come to our attention after the date hereof that might change this opinion.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as Exhibit 5.4 to the Registration Statement and to the reference to us under the caption “Legal Matters” in the Prospectus Supplement. In giving such consent, we do not hereby admit that we are acting within the category of persons whose consent is required under Section 7 of the Act or the rules or regulations of the Commission thereunder.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Tilray Brands, Inc. of our report dated July 28, 2025 relating to the consolidated financial statements and effectiveness of internal control over financial reporting of Tilray Brands, Inc., which appears in Tilray Brands, Inc.’s Annual Report on Form 10-K for the year ended May 31, 2025. We also consent to the reference to us under the heading, “Experts” in the Registration Statement.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81" w:name="page182"/>
    <w:bookmarkEnd w:id="181"/>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S-3</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52"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860" w:type="dxa"/>
            <w:vAlign w:val="bottom"/>
            <w:tcBorders>
              <w:top w:val="single" w:sz="8" w:color="auto"/>
              <w:left w:val="single" w:sz="8" w:color="auto"/>
              <w:right w:val="single" w:sz="8" w:color="auto"/>
            </w:tcBorders>
          </w:tcPr>
          <w:p>
            <w:pPr>
              <w:spacing w:after="0"/>
              <w:rPr>
                <w:sz w:val="19"/>
                <w:szCs w:val="19"/>
                <w:color w:val="auto"/>
              </w:rPr>
            </w:pPr>
          </w:p>
        </w:tc>
        <w:tc>
          <w:tcPr>
            <w:tcW w:w="12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right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118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100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right w:val="single" w:sz="8" w:color="auto"/>
            </w:tcBorders>
          </w:tcPr>
          <w:p>
            <w:pPr>
              <w:spacing w:after="0"/>
              <w:rPr>
                <w:sz w:val="19"/>
                <w:szCs w:val="19"/>
                <w:color w:val="auto"/>
              </w:rPr>
            </w:pPr>
          </w:p>
        </w:tc>
        <w:tc>
          <w:tcPr>
            <w:tcW w:w="74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right w:val="single" w:sz="8" w:color="auto"/>
            </w:tcBorders>
          </w:tcPr>
          <w:p>
            <w:pPr>
              <w:spacing w:after="0"/>
              <w:rPr>
                <w:sz w:val="19"/>
                <w:szCs w:val="19"/>
                <w:color w:val="auto"/>
              </w:rPr>
            </w:pP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Fee</w:t>
            </w: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Previously</w:t>
            </w: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Paid in</w:t>
            </w: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Connection</w:t>
            </w: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Carry</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Unsold</w:t>
            </w: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8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Carry</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Carry</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Carry</w:t>
            </w: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to be</w:t>
            </w: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Carried</w:t>
            </w:r>
          </w:p>
        </w:tc>
        <w:tc>
          <w:tcPr>
            <w:tcW w:w="0" w:type="dxa"/>
            <w:vAlign w:val="bottom"/>
          </w:tcPr>
          <w:p>
            <w:pPr>
              <w:spacing w:after="0"/>
              <w:rPr>
                <w:sz w:val="1"/>
                <w:szCs w:val="1"/>
                <w:color w:val="auto"/>
              </w:rPr>
            </w:pPr>
          </w:p>
        </w:tc>
      </w:tr>
      <w:tr>
        <w:trPr>
          <w:trHeight w:val="245"/>
        </w:trPr>
        <w:tc>
          <w:tcPr>
            <w:tcW w:w="860" w:type="dxa"/>
            <w:vAlign w:val="bottom"/>
            <w:tcBorders>
              <w:left w:val="single" w:sz="8" w:color="auto"/>
              <w:bottom w:val="single" w:sz="8" w:color="auto"/>
              <w:right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8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4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Registered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Fee 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0" w:type="dxa"/>
            <w:vAlign w:val="bottom"/>
          </w:tcPr>
          <w:p>
            <w:pPr>
              <w:spacing w:after="0"/>
              <w:rPr>
                <w:sz w:val="1"/>
                <w:szCs w:val="1"/>
                <w:color w:val="auto"/>
              </w:rPr>
            </w:pPr>
          </w:p>
        </w:tc>
      </w:tr>
      <w:tr>
        <w:trPr>
          <w:trHeight w:val="241"/>
        </w:trPr>
        <w:tc>
          <w:tcPr>
            <w:tcW w:w="86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Newly Registered Securities</w:t>
            </w:r>
          </w:p>
        </w:tc>
        <w:tc>
          <w:tcPr>
            <w:tcW w:w="10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6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Fees to be</w:t>
            </w:r>
          </w:p>
        </w:tc>
        <w:tc>
          <w:tcPr>
            <w:tcW w:w="1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Paid</w:t>
            </w:r>
          </w:p>
        </w:tc>
        <w:tc>
          <w:tcPr>
            <w:tcW w:w="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80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457(r)</w:t>
            </w:r>
          </w:p>
        </w:tc>
        <w:tc>
          <w:tcPr>
            <w:tcW w:w="14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1180" w:type="dxa"/>
            <w:vAlign w:val="bottom"/>
            <w:tcBorders>
              <w:bottom w:val="single" w:sz="8" w:color="auto"/>
              <w:right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0.00013810</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Stock,</w:t>
            </w: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par value</w:t>
            </w: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Fees to be</w:t>
            </w: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w:t>
            </w: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Paid</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8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457(r)</w:t>
            </w:r>
          </w:p>
        </w:tc>
        <w:tc>
          <w:tcPr>
            <w:tcW w:w="1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0.00013810</w:t>
            </w:r>
          </w:p>
        </w:tc>
        <w:tc>
          <w:tcPr>
            <w:tcW w:w="10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60" w:type="dxa"/>
            <w:vAlign w:val="bottom"/>
            <w:tcBorders>
              <w:left w:val="single" w:sz="8" w:color="auto"/>
              <w:right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Preferred</w:t>
            </w: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Stock,</w:t>
            </w: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par value</w:t>
            </w: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Fees to be</w:t>
            </w:r>
          </w:p>
        </w:tc>
        <w:tc>
          <w:tcPr>
            <w:tcW w:w="1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$0.0001</w:t>
            </w: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Paid</w:t>
            </w:r>
          </w:p>
        </w:tc>
        <w:tc>
          <w:tcPr>
            <w:tcW w:w="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80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457(r)</w:t>
            </w:r>
          </w:p>
        </w:tc>
        <w:tc>
          <w:tcPr>
            <w:tcW w:w="14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1180" w:type="dxa"/>
            <w:vAlign w:val="bottom"/>
            <w:tcBorders>
              <w:bottom w:val="single" w:sz="8" w:color="auto"/>
              <w:right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0.00013810</w:t>
            </w: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Fees to be</w:t>
            </w: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Paid</w:t>
            </w: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8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7"/>
              </w:rPr>
              <w:t>457(r)</w:t>
            </w:r>
          </w:p>
        </w:tc>
        <w:tc>
          <w:tcPr>
            <w:tcW w:w="1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0.00013810</w:t>
            </w:r>
          </w:p>
        </w:tc>
        <w:tc>
          <w:tcPr>
            <w:tcW w:w="10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60" w:type="dxa"/>
            <w:vAlign w:val="bottom"/>
            <w:tcBorders>
              <w:left w:val="single" w:sz="8" w:color="auto"/>
              <w:right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Fees to be</w:t>
            </w:r>
          </w:p>
        </w:tc>
        <w:tc>
          <w:tcPr>
            <w:tcW w:w="1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Stock,</w:t>
            </w: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7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par value</w:t>
            </w:r>
          </w:p>
        </w:tc>
        <w:tc>
          <w:tcPr>
            <w:tcW w:w="80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860" w:type="dxa"/>
            <w:vAlign w:val="bottom"/>
            <w:tcBorders>
              <w:right w:val="single" w:sz="8" w:color="auto"/>
            </w:tcBorders>
            <w:shd w:val="clear" w:color="auto" w:fill="CCEEFF"/>
          </w:tcPr>
          <w:p>
            <w:pPr>
              <w:spacing w:after="0"/>
              <w:rPr>
                <w:sz w:val="9"/>
                <w:szCs w:val="9"/>
                <w:color w:val="auto"/>
              </w:rPr>
            </w:pPr>
          </w:p>
        </w:tc>
        <w:tc>
          <w:tcPr>
            <w:tcW w:w="860" w:type="dxa"/>
            <w:vAlign w:val="bottom"/>
            <w:tcBorders>
              <w:right w:val="single" w:sz="8" w:color="auto"/>
            </w:tcBorders>
            <w:shd w:val="clear" w:color="auto" w:fill="CCEEFF"/>
          </w:tcPr>
          <w:p>
            <w:pPr>
              <w:spacing w:after="0"/>
              <w:rPr>
                <w:sz w:val="9"/>
                <w:szCs w:val="9"/>
                <w:color w:val="auto"/>
              </w:rPr>
            </w:pPr>
          </w:p>
        </w:tc>
        <w:tc>
          <w:tcPr>
            <w:tcW w:w="1180" w:type="dxa"/>
            <w:vAlign w:val="bottom"/>
            <w:tcBorders>
              <w:right w:val="single" w:sz="8" w:color="auto"/>
            </w:tcBorders>
            <w:shd w:val="clear" w:color="auto" w:fill="CCEEFF"/>
          </w:tcPr>
          <w:p>
            <w:pPr>
              <w:spacing w:after="0"/>
              <w:rPr>
                <w:sz w:val="9"/>
                <w:szCs w:val="9"/>
                <w:color w:val="auto"/>
              </w:rPr>
            </w:pPr>
          </w:p>
        </w:tc>
        <w:tc>
          <w:tcPr>
            <w:tcW w:w="900" w:type="dxa"/>
            <w:vAlign w:val="bottom"/>
            <w:tcBorders>
              <w:right w:val="single" w:sz="8" w:color="auto"/>
            </w:tcBorders>
            <w:shd w:val="clear" w:color="auto" w:fill="CCEEFF"/>
          </w:tcPr>
          <w:p>
            <w:pPr>
              <w:spacing w:after="0"/>
              <w:rPr>
                <w:sz w:val="9"/>
                <w:szCs w:val="9"/>
                <w:color w:val="auto"/>
              </w:rPr>
            </w:pPr>
          </w:p>
        </w:tc>
        <w:tc>
          <w:tcPr>
            <w:tcW w:w="1000" w:type="dxa"/>
            <w:vAlign w:val="bottom"/>
            <w:tcBorders>
              <w:right w:val="single" w:sz="8" w:color="auto"/>
            </w:tcBorders>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94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6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Paid</w:t>
            </w:r>
          </w:p>
        </w:tc>
        <w:tc>
          <w:tcPr>
            <w:tcW w:w="120" w:type="dxa"/>
            <w:vAlign w:val="bottom"/>
            <w:tcBorders>
              <w:right w:val="single" w:sz="8" w:color="auto"/>
            </w:tcBorders>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720" w:type="dxa"/>
            <w:vAlign w:val="bottom"/>
            <w:tcBorders>
              <w:right w:val="single" w:sz="8" w:color="auto"/>
            </w:tcBorders>
            <w:vMerge w:val="continue"/>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860" w:type="dxa"/>
            <w:vAlign w:val="bottom"/>
            <w:tcBorders>
              <w:right w:val="single" w:sz="8" w:color="auto"/>
            </w:tcBorders>
            <w:shd w:val="clear" w:color="auto" w:fill="CCEEFF"/>
          </w:tcPr>
          <w:p>
            <w:pPr>
              <w:spacing w:after="0"/>
              <w:rPr>
                <w:sz w:val="9"/>
                <w:szCs w:val="9"/>
                <w:color w:val="auto"/>
              </w:rPr>
            </w:pPr>
          </w:p>
        </w:tc>
        <w:tc>
          <w:tcPr>
            <w:tcW w:w="860" w:type="dxa"/>
            <w:vAlign w:val="bottom"/>
            <w:tcBorders>
              <w:right w:val="single" w:sz="8" w:color="auto"/>
            </w:tcBorders>
            <w:shd w:val="clear" w:color="auto" w:fill="CCEEFF"/>
          </w:tcPr>
          <w:p>
            <w:pPr>
              <w:spacing w:after="0"/>
              <w:rPr>
                <w:sz w:val="9"/>
                <w:szCs w:val="9"/>
                <w:color w:val="auto"/>
              </w:rPr>
            </w:pPr>
          </w:p>
        </w:tc>
        <w:tc>
          <w:tcPr>
            <w:tcW w:w="1180" w:type="dxa"/>
            <w:vAlign w:val="bottom"/>
            <w:tcBorders>
              <w:right w:val="single" w:sz="8" w:color="auto"/>
            </w:tcBorders>
            <w:shd w:val="clear" w:color="auto" w:fill="CCEEFF"/>
          </w:tcPr>
          <w:p>
            <w:pPr>
              <w:spacing w:after="0"/>
              <w:rPr>
                <w:sz w:val="9"/>
                <w:szCs w:val="9"/>
                <w:color w:val="auto"/>
              </w:rPr>
            </w:pPr>
          </w:p>
        </w:tc>
        <w:tc>
          <w:tcPr>
            <w:tcW w:w="900" w:type="dxa"/>
            <w:vAlign w:val="bottom"/>
            <w:tcBorders>
              <w:right w:val="single" w:sz="8" w:color="auto"/>
            </w:tcBorders>
            <w:shd w:val="clear" w:color="auto" w:fill="CCEEFF"/>
          </w:tcPr>
          <w:p>
            <w:pPr>
              <w:spacing w:after="0"/>
              <w:rPr>
                <w:sz w:val="9"/>
                <w:szCs w:val="9"/>
                <w:color w:val="auto"/>
              </w:rPr>
            </w:pPr>
          </w:p>
        </w:tc>
        <w:tc>
          <w:tcPr>
            <w:tcW w:w="1000" w:type="dxa"/>
            <w:vAlign w:val="bottom"/>
            <w:tcBorders>
              <w:right w:val="single" w:sz="8" w:color="auto"/>
            </w:tcBorders>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94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6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$0.0001</w:t>
            </w:r>
          </w:p>
        </w:tc>
        <w:tc>
          <w:tcPr>
            <w:tcW w:w="8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1180" w:type="dxa"/>
            <w:vAlign w:val="bottom"/>
            <w:tcBorders>
              <w:right w:val="single" w:sz="8" w:color="auto"/>
            </w:tcBorders>
            <w:shd w:val="clear" w:color="auto" w:fill="CCEEFF"/>
          </w:tcPr>
          <w:p>
            <w:pPr>
              <w:spacing w:after="0"/>
              <w:rPr>
                <w:sz w:val="10"/>
                <w:szCs w:val="10"/>
                <w:color w:val="auto"/>
              </w:rPr>
            </w:pPr>
          </w:p>
        </w:tc>
        <w:tc>
          <w:tcPr>
            <w:tcW w:w="9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94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60" w:type="dxa"/>
            <w:vAlign w:val="bottom"/>
            <w:tcBorders>
              <w:left w:val="single" w:sz="8" w:color="auto"/>
              <w:right w:val="single" w:sz="8" w:color="auto"/>
            </w:tcBorders>
            <w:shd w:val="clear" w:color="auto" w:fill="CCEEFF"/>
          </w:tcPr>
          <w:p>
            <w:pPr>
              <w:spacing w:after="0"/>
              <w:rPr>
                <w:sz w:val="7"/>
                <w:szCs w:val="7"/>
                <w:color w:val="auto"/>
              </w:rPr>
            </w:pPr>
          </w:p>
        </w:tc>
        <w:tc>
          <w:tcPr>
            <w:tcW w:w="120" w:type="dxa"/>
            <w:vAlign w:val="bottom"/>
            <w:tcBorders>
              <w:right w:val="single" w:sz="8" w:color="auto"/>
            </w:tcBorders>
            <w:shd w:val="clear" w:color="auto" w:fill="CCEEFF"/>
          </w:tcPr>
          <w:p>
            <w:pPr>
              <w:spacing w:after="0"/>
              <w:rPr>
                <w:sz w:val="7"/>
                <w:szCs w:val="7"/>
                <w:color w:val="auto"/>
              </w:rPr>
            </w:pPr>
          </w:p>
        </w:tc>
        <w:tc>
          <w:tcPr>
            <w:tcW w:w="720" w:type="dxa"/>
            <w:vAlign w:val="bottom"/>
            <w:tcBorders>
              <w:right w:val="single" w:sz="8" w:color="auto"/>
            </w:tcBorders>
            <w:shd w:val="clear" w:color="auto" w:fill="CCEEFF"/>
          </w:tcPr>
          <w:p>
            <w:pPr>
              <w:spacing w:after="0"/>
              <w:rPr>
                <w:sz w:val="7"/>
                <w:szCs w:val="7"/>
                <w:color w:val="auto"/>
              </w:rPr>
            </w:pPr>
          </w:p>
        </w:tc>
        <w:tc>
          <w:tcPr>
            <w:tcW w:w="720" w:type="dxa"/>
            <w:vAlign w:val="bottom"/>
            <w:tcBorders>
              <w:right w:val="single" w:sz="8" w:color="auto"/>
            </w:tcBorders>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40" w:type="dxa"/>
            <w:vAlign w:val="bottom"/>
            <w:tcBorders>
              <w:right w:val="single" w:sz="8" w:color="auto"/>
            </w:tcBorders>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spacing w:after="0"/>
              <w:rPr>
                <w:sz w:val="7"/>
                <w:szCs w:val="7"/>
                <w:color w:val="auto"/>
              </w:rPr>
            </w:pPr>
          </w:p>
        </w:tc>
        <w:tc>
          <w:tcPr>
            <w:tcW w:w="1180" w:type="dxa"/>
            <w:vAlign w:val="bottom"/>
            <w:tcBorders>
              <w:right w:val="single" w:sz="8" w:color="auto"/>
            </w:tcBorders>
            <w:shd w:val="clear" w:color="auto" w:fill="CCEEFF"/>
          </w:tcPr>
          <w:p>
            <w:pPr>
              <w:spacing w:after="0"/>
              <w:rPr>
                <w:sz w:val="7"/>
                <w:szCs w:val="7"/>
                <w:color w:val="auto"/>
              </w:rPr>
            </w:pPr>
          </w:p>
        </w:tc>
        <w:tc>
          <w:tcPr>
            <w:tcW w:w="900" w:type="dxa"/>
            <w:vAlign w:val="bottom"/>
            <w:tcBorders>
              <w:right w:val="single" w:sz="8" w:color="auto"/>
            </w:tcBorders>
            <w:shd w:val="clear" w:color="auto" w:fill="CCEEFF"/>
          </w:tcPr>
          <w:p>
            <w:pPr>
              <w:spacing w:after="0"/>
              <w:rPr>
                <w:sz w:val="7"/>
                <w:szCs w:val="7"/>
                <w:color w:val="auto"/>
              </w:rPr>
            </w:pPr>
          </w:p>
        </w:tc>
        <w:tc>
          <w:tcPr>
            <w:tcW w:w="1000" w:type="dxa"/>
            <w:vAlign w:val="bottom"/>
            <w:tcBorders>
              <w:right w:val="single" w:sz="8" w:color="auto"/>
            </w:tcBorders>
            <w:shd w:val="clear" w:color="auto" w:fill="CCEEFF"/>
          </w:tcPr>
          <w:p>
            <w:pPr>
              <w:spacing w:after="0"/>
              <w:rPr>
                <w:sz w:val="7"/>
                <w:szCs w:val="7"/>
                <w:color w:val="auto"/>
              </w:rPr>
            </w:pPr>
          </w:p>
        </w:tc>
        <w:tc>
          <w:tcPr>
            <w:tcW w:w="720" w:type="dxa"/>
            <w:vAlign w:val="bottom"/>
            <w:tcBorders>
              <w:right w:val="single" w:sz="8" w:color="auto"/>
            </w:tcBorders>
            <w:shd w:val="clear" w:color="auto" w:fill="CCEEFF"/>
          </w:tcPr>
          <w:p>
            <w:pPr>
              <w:spacing w:after="0"/>
              <w:rPr>
                <w:sz w:val="7"/>
                <w:szCs w:val="7"/>
                <w:color w:val="auto"/>
              </w:rPr>
            </w:pPr>
          </w:p>
        </w:tc>
        <w:tc>
          <w:tcPr>
            <w:tcW w:w="740" w:type="dxa"/>
            <w:vAlign w:val="bottom"/>
            <w:tcBorders>
              <w:right w:val="single" w:sz="8" w:color="auto"/>
            </w:tcBorders>
            <w:shd w:val="clear" w:color="auto" w:fill="CCEEFF"/>
          </w:tcPr>
          <w:p>
            <w:pPr>
              <w:spacing w:after="0"/>
              <w:rPr>
                <w:sz w:val="7"/>
                <w:szCs w:val="7"/>
                <w:color w:val="auto"/>
              </w:rPr>
            </w:pPr>
          </w:p>
        </w:tc>
        <w:tc>
          <w:tcPr>
            <w:tcW w:w="720" w:type="dxa"/>
            <w:vAlign w:val="bottom"/>
            <w:tcBorders>
              <w:right w:val="single" w:sz="8" w:color="auto"/>
            </w:tcBorders>
            <w:shd w:val="clear" w:color="auto" w:fill="CCEEFF"/>
          </w:tcPr>
          <w:p>
            <w:pPr>
              <w:spacing w:after="0"/>
              <w:rPr>
                <w:sz w:val="7"/>
                <w:szCs w:val="7"/>
                <w:color w:val="auto"/>
              </w:rPr>
            </w:pPr>
          </w:p>
        </w:tc>
        <w:tc>
          <w:tcPr>
            <w:tcW w:w="94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80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457(o)</w:t>
            </w:r>
          </w:p>
        </w:tc>
        <w:tc>
          <w:tcPr>
            <w:tcW w:w="14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$51,597,980</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0.00013810</w:t>
            </w: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$7,125.66</w:t>
            </w: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6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Fees to be</w:t>
            </w: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Stock,</w:t>
            </w: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par value</w:t>
            </w:r>
          </w:p>
        </w:tc>
        <w:tc>
          <w:tcPr>
            <w:tcW w:w="8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Paid</w:t>
            </w:r>
          </w:p>
        </w:tc>
        <w:tc>
          <w:tcPr>
            <w:tcW w:w="1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60" w:type="dxa"/>
            <w:vAlign w:val="bottom"/>
            <w:tcBorders>
              <w:left w:val="single" w:sz="8" w:color="auto"/>
              <w:right w:val="single" w:sz="8" w:color="auto"/>
            </w:tcBorders>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$0.0001</w:t>
            </w:r>
          </w:p>
        </w:tc>
        <w:tc>
          <w:tcPr>
            <w:tcW w:w="8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60" w:type="dxa"/>
            <w:vAlign w:val="bottom"/>
            <w:tcBorders>
              <w:left w:val="single" w:sz="8" w:color="auto"/>
              <w:right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8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457(c)</w:t>
            </w:r>
          </w:p>
        </w:tc>
        <w:tc>
          <w:tcPr>
            <w:tcW w:w="1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3,133</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$1.58</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4,950.14</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0.00013810</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$0.68</w:t>
            </w:r>
          </w:p>
        </w:tc>
        <w:tc>
          <w:tcPr>
            <w:tcW w:w="7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60" w:type="dxa"/>
            <w:vAlign w:val="bottom"/>
            <w:tcBorders>
              <w:left w:val="single" w:sz="8" w:color="auto"/>
              <w:right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Fees to be</w:t>
            </w:r>
          </w:p>
        </w:tc>
        <w:tc>
          <w:tcPr>
            <w:tcW w:w="1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Stock,</w:t>
            </w: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6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7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par value</w:t>
            </w:r>
          </w:p>
        </w:tc>
        <w:tc>
          <w:tcPr>
            <w:tcW w:w="80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860" w:type="dxa"/>
            <w:vAlign w:val="bottom"/>
            <w:tcBorders>
              <w:right w:val="single" w:sz="8" w:color="auto"/>
            </w:tcBorders>
            <w:shd w:val="clear" w:color="auto" w:fill="CCEEFF"/>
          </w:tcPr>
          <w:p>
            <w:pPr>
              <w:spacing w:after="0"/>
              <w:rPr>
                <w:sz w:val="9"/>
                <w:szCs w:val="9"/>
                <w:color w:val="auto"/>
              </w:rPr>
            </w:pPr>
          </w:p>
        </w:tc>
        <w:tc>
          <w:tcPr>
            <w:tcW w:w="860" w:type="dxa"/>
            <w:vAlign w:val="bottom"/>
            <w:tcBorders>
              <w:right w:val="single" w:sz="8" w:color="auto"/>
            </w:tcBorders>
            <w:shd w:val="clear" w:color="auto" w:fill="CCEEFF"/>
          </w:tcPr>
          <w:p>
            <w:pPr>
              <w:spacing w:after="0"/>
              <w:rPr>
                <w:sz w:val="9"/>
                <w:szCs w:val="9"/>
                <w:color w:val="auto"/>
              </w:rPr>
            </w:pPr>
          </w:p>
        </w:tc>
        <w:tc>
          <w:tcPr>
            <w:tcW w:w="1180" w:type="dxa"/>
            <w:vAlign w:val="bottom"/>
            <w:tcBorders>
              <w:right w:val="single" w:sz="8" w:color="auto"/>
            </w:tcBorders>
            <w:shd w:val="clear" w:color="auto" w:fill="CCEEFF"/>
          </w:tcPr>
          <w:p>
            <w:pPr>
              <w:spacing w:after="0"/>
              <w:rPr>
                <w:sz w:val="9"/>
                <w:szCs w:val="9"/>
                <w:color w:val="auto"/>
              </w:rPr>
            </w:pPr>
          </w:p>
        </w:tc>
        <w:tc>
          <w:tcPr>
            <w:tcW w:w="900" w:type="dxa"/>
            <w:vAlign w:val="bottom"/>
            <w:tcBorders>
              <w:right w:val="single" w:sz="8" w:color="auto"/>
            </w:tcBorders>
            <w:shd w:val="clear" w:color="auto" w:fill="CCEEFF"/>
          </w:tcPr>
          <w:p>
            <w:pPr>
              <w:spacing w:after="0"/>
              <w:rPr>
                <w:sz w:val="9"/>
                <w:szCs w:val="9"/>
                <w:color w:val="auto"/>
              </w:rPr>
            </w:pPr>
          </w:p>
        </w:tc>
        <w:tc>
          <w:tcPr>
            <w:tcW w:w="1000" w:type="dxa"/>
            <w:vAlign w:val="bottom"/>
            <w:tcBorders>
              <w:right w:val="single" w:sz="8" w:color="auto"/>
            </w:tcBorders>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94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6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Paid</w:t>
            </w:r>
          </w:p>
        </w:tc>
        <w:tc>
          <w:tcPr>
            <w:tcW w:w="120" w:type="dxa"/>
            <w:vAlign w:val="bottom"/>
            <w:tcBorders>
              <w:right w:val="single" w:sz="8" w:color="auto"/>
            </w:tcBorders>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720" w:type="dxa"/>
            <w:vAlign w:val="bottom"/>
            <w:tcBorders>
              <w:right w:val="single" w:sz="8" w:color="auto"/>
            </w:tcBorders>
            <w:vMerge w:val="continue"/>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860" w:type="dxa"/>
            <w:vAlign w:val="bottom"/>
            <w:tcBorders>
              <w:right w:val="single" w:sz="8" w:color="auto"/>
            </w:tcBorders>
            <w:shd w:val="clear" w:color="auto" w:fill="CCEEFF"/>
          </w:tcPr>
          <w:p>
            <w:pPr>
              <w:spacing w:after="0"/>
              <w:rPr>
                <w:sz w:val="9"/>
                <w:szCs w:val="9"/>
                <w:color w:val="auto"/>
              </w:rPr>
            </w:pPr>
          </w:p>
        </w:tc>
        <w:tc>
          <w:tcPr>
            <w:tcW w:w="860" w:type="dxa"/>
            <w:vAlign w:val="bottom"/>
            <w:tcBorders>
              <w:right w:val="single" w:sz="8" w:color="auto"/>
            </w:tcBorders>
            <w:shd w:val="clear" w:color="auto" w:fill="CCEEFF"/>
          </w:tcPr>
          <w:p>
            <w:pPr>
              <w:spacing w:after="0"/>
              <w:rPr>
                <w:sz w:val="9"/>
                <w:szCs w:val="9"/>
                <w:color w:val="auto"/>
              </w:rPr>
            </w:pPr>
          </w:p>
        </w:tc>
        <w:tc>
          <w:tcPr>
            <w:tcW w:w="1180" w:type="dxa"/>
            <w:vAlign w:val="bottom"/>
            <w:tcBorders>
              <w:right w:val="single" w:sz="8" w:color="auto"/>
            </w:tcBorders>
            <w:shd w:val="clear" w:color="auto" w:fill="CCEEFF"/>
          </w:tcPr>
          <w:p>
            <w:pPr>
              <w:spacing w:after="0"/>
              <w:rPr>
                <w:sz w:val="9"/>
                <w:szCs w:val="9"/>
                <w:color w:val="auto"/>
              </w:rPr>
            </w:pPr>
          </w:p>
        </w:tc>
        <w:tc>
          <w:tcPr>
            <w:tcW w:w="900" w:type="dxa"/>
            <w:vAlign w:val="bottom"/>
            <w:tcBorders>
              <w:right w:val="single" w:sz="8" w:color="auto"/>
            </w:tcBorders>
            <w:shd w:val="clear" w:color="auto" w:fill="CCEEFF"/>
          </w:tcPr>
          <w:p>
            <w:pPr>
              <w:spacing w:after="0"/>
              <w:rPr>
                <w:sz w:val="9"/>
                <w:szCs w:val="9"/>
                <w:color w:val="auto"/>
              </w:rPr>
            </w:pPr>
          </w:p>
        </w:tc>
        <w:tc>
          <w:tcPr>
            <w:tcW w:w="1000" w:type="dxa"/>
            <w:vAlign w:val="bottom"/>
            <w:tcBorders>
              <w:right w:val="single" w:sz="8" w:color="auto"/>
            </w:tcBorders>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720" w:type="dxa"/>
            <w:vAlign w:val="bottom"/>
            <w:tcBorders>
              <w:right w:val="single" w:sz="8" w:color="auto"/>
            </w:tcBorders>
            <w:shd w:val="clear" w:color="auto" w:fill="CCEEFF"/>
          </w:tcPr>
          <w:p>
            <w:pPr>
              <w:spacing w:after="0"/>
              <w:rPr>
                <w:sz w:val="9"/>
                <w:szCs w:val="9"/>
                <w:color w:val="auto"/>
              </w:rPr>
            </w:pPr>
          </w:p>
        </w:tc>
        <w:tc>
          <w:tcPr>
            <w:tcW w:w="94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6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$0.0001</w:t>
            </w:r>
          </w:p>
        </w:tc>
        <w:tc>
          <w:tcPr>
            <w:tcW w:w="8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1180" w:type="dxa"/>
            <w:vAlign w:val="bottom"/>
            <w:tcBorders>
              <w:right w:val="single" w:sz="8" w:color="auto"/>
            </w:tcBorders>
            <w:shd w:val="clear" w:color="auto" w:fill="CCEEFF"/>
          </w:tcPr>
          <w:p>
            <w:pPr>
              <w:spacing w:after="0"/>
              <w:rPr>
                <w:sz w:val="10"/>
                <w:szCs w:val="10"/>
                <w:color w:val="auto"/>
              </w:rPr>
            </w:pPr>
          </w:p>
        </w:tc>
        <w:tc>
          <w:tcPr>
            <w:tcW w:w="900" w:type="dxa"/>
            <w:vAlign w:val="bottom"/>
            <w:tcBorders>
              <w:right w:val="single" w:sz="8" w:color="auto"/>
            </w:tcBorders>
            <w:shd w:val="clear" w:color="auto" w:fill="CCEEFF"/>
          </w:tcPr>
          <w:p>
            <w:pPr>
              <w:spacing w:after="0"/>
              <w:rPr>
                <w:sz w:val="10"/>
                <w:szCs w:val="10"/>
                <w:color w:val="auto"/>
              </w:rPr>
            </w:pPr>
          </w:p>
        </w:tc>
        <w:tc>
          <w:tcPr>
            <w:tcW w:w="100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94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60" w:type="dxa"/>
            <w:vAlign w:val="bottom"/>
            <w:tcBorders>
              <w:left w:val="single" w:sz="8" w:color="auto"/>
              <w:right w:val="single" w:sz="8" w:color="auto"/>
            </w:tcBorders>
            <w:shd w:val="clear" w:color="auto" w:fill="CCEEFF"/>
          </w:tcPr>
          <w:p>
            <w:pPr>
              <w:spacing w:after="0"/>
              <w:rPr>
                <w:sz w:val="7"/>
                <w:szCs w:val="7"/>
                <w:color w:val="auto"/>
              </w:rPr>
            </w:pPr>
          </w:p>
        </w:tc>
        <w:tc>
          <w:tcPr>
            <w:tcW w:w="120" w:type="dxa"/>
            <w:vAlign w:val="bottom"/>
            <w:tcBorders>
              <w:right w:val="single" w:sz="8" w:color="auto"/>
            </w:tcBorders>
            <w:shd w:val="clear" w:color="auto" w:fill="CCEEFF"/>
          </w:tcPr>
          <w:p>
            <w:pPr>
              <w:spacing w:after="0"/>
              <w:rPr>
                <w:sz w:val="7"/>
                <w:szCs w:val="7"/>
                <w:color w:val="auto"/>
              </w:rPr>
            </w:pPr>
          </w:p>
        </w:tc>
        <w:tc>
          <w:tcPr>
            <w:tcW w:w="720" w:type="dxa"/>
            <w:vAlign w:val="bottom"/>
            <w:tcBorders>
              <w:right w:val="single" w:sz="8" w:color="auto"/>
            </w:tcBorders>
            <w:shd w:val="clear" w:color="auto" w:fill="CCEEFF"/>
          </w:tcPr>
          <w:p>
            <w:pPr>
              <w:spacing w:after="0"/>
              <w:rPr>
                <w:sz w:val="7"/>
                <w:szCs w:val="7"/>
                <w:color w:val="auto"/>
              </w:rPr>
            </w:pPr>
          </w:p>
        </w:tc>
        <w:tc>
          <w:tcPr>
            <w:tcW w:w="720" w:type="dxa"/>
            <w:vAlign w:val="bottom"/>
            <w:tcBorders>
              <w:right w:val="single" w:sz="8" w:color="auto"/>
            </w:tcBorders>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40" w:type="dxa"/>
            <w:vAlign w:val="bottom"/>
            <w:tcBorders>
              <w:right w:val="single" w:sz="8" w:color="auto"/>
            </w:tcBorders>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spacing w:after="0"/>
              <w:rPr>
                <w:sz w:val="7"/>
                <w:szCs w:val="7"/>
                <w:color w:val="auto"/>
              </w:rPr>
            </w:pPr>
          </w:p>
        </w:tc>
        <w:tc>
          <w:tcPr>
            <w:tcW w:w="860" w:type="dxa"/>
            <w:vAlign w:val="bottom"/>
            <w:tcBorders>
              <w:right w:val="single" w:sz="8" w:color="auto"/>
            </w:tcBorders>
            <w:shd w:val="clear" w:color="auto" w:fill="CCEEFF"/>
          </w:tcPr>
          <w:p>
            <w:pPr>
              <w:spacing w:after="0"/>
              <w:rPr>
                <w:sz w:val="7"/>
                <w:szCs w:val="7"/>
                <w:color w:val="auto"/>
              </w:rPr>
            </w:pPr>
          </w:p>
        </w:tc>
        <w:tc>
          <w:tcPr>
            <w:tcW w:w="1180" w:type="dxa"/>
            <w:vAlign w:val="bottom"/>
            <w:tcBorders>
              <w:right w:val="single" w:sz="8" w:color="auto"/>
            </w:tcBorders>
            <w:shd w:val="clear" w:color="auto" w:fill="CCEEFF"/>
          </w:tcPr>
          <w:p>
            <w:pPr>
              <w:spacing w:after="0"/>
              <w:rPr>
                <w:sz w:val="7"/>
                <w:szCs w:val="7"/>
                <w:color w:val="auto"/>
              </w:rPr>
            </w:pPr>
          </w:p>
        </w:tc>
        <w:tc>
          <w:tcPr>
            <w:tcW w:w="900" w:type="dxa"/>
            <w:vAlign w:val="bottom"/>
            <w:tcBorders>
              <w:right w:val="single" w:sz="8" w:color="auto"/>
            </w:tcBorders>
            <w:shd w:val="clear" w:color="auto" w:fill="CCEEFF"/>
          </w:tcPr>
          <w:p>
            <w:pPr>
              <w:spacing w:after="0"/>
              <w:rPr>
                <w:sz w:val="7"/>
                <w:szCs w:val="7"/>
                <w:color w:val="auto"/>
              </w:rPr>
            </w:pPr>
          </w:p>
        </w:tc>
        <w:tc>
          <w:tcPr>
            <w:tcW w:w="1000" w:type="dxa"/>
            <w:vAlign w:val="bottom"/>
            <w:tcBorders>
              <w:right w:val="single" w:sz="8" w:color="auto"/>
            </w:tcBorders>
            <w:shd w:val="clear" w:color="auto" w:fill="CCEEFF"/>
          </w:tcPr>
          <w:p>
            <w:pPr>
              <w:spacing w:after="0"/>
              <w:rPr>
                <w:sz w:val="7"/>
                <w:szCs w:val="7"/>
                <w:color w:val="auto"/>
              </w:rPr>
            </w:pPr>
          </w:p>
        </w:tc>
        <w:tc>
          <w:tcPr>
            <w:tcW w:w="720" w:type="dxa"/>
            <w:vAlign w:val="bottom"/>
            <w:tcBorders>
              <w:right w:val="single" w:sz="8" w:color="auto"/>
            </w:tcBorders>
            <w:shd w:val="clear" w:color="auto" w:fill="CCEEFF"/>
          </w:tcPr>
          <w:p>
            <w:pPr>
              <w:spacing w:after="0"/>
              <w:rPr>
                <w:sz w:val="7"/>
                <w:szCs w:val="7"/>
                <w:color w:val="auto"/>
              </w:rPr>
            </w:pPr>
          </w:p>
        </w:tc>
        <w:tc>
          <w:tcPr>
            <w:tcW w:w="740" w:type="dxa"/>
            <w:vAlign w:val="bottom"/>
            <w:tcBorders>
              <w:right w:val="single" w:sz="8" w:color="auto"/>
            </w:tcBorders>
            <w:shd w:val="clear" w:color="auto" w:fill="CCEEFF"/>
          </w:tcPr>
          <w:p>
            <w:pPr>
              <w:spacing w:after="0"/>
              <w:rPr>
                <w:sz w:val="7"/>
                <w:szCs w:val="7"/>
                <w:color w:val="auto"/>
              </w:rPr>
            </w:pPr>
          </w:p>
        </w:tc>
        <w:tc>
          <w:tcPr>
            <w:tcW w:w="720" w:type="dxa"/>
            <w:vAlign w:val="bottom"/>
            <w:tcBorders>
              <w:right w:val="single" w:sz="8" w:color="auto"/>
            </w:tcBorders>
            <w:shd w:val="clear" w:color="auto" w:fill="CCEEFF"/>
          </w:tcPr>
          <w:p>
            <w:pPr>
              <w:spacing w:after="0"/>
              <w:rPr>
                <w:sz w:val="7"/>
                <w:szCs w:val="7"/>
                <w:color w:val="auto"/>
              </w:rPr>
            </w:pPr>
          </w:p>
        </w:tc>
        <w:tc>
          <w:tcPr>
            <w:tcW w:w="94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80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457(c)</w:t>
            </w:r>
          </w:p>
        </w:tc>
        <w:tc>
          <w:tcPr>
            <w:tcW w:w="14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8,617,068</w:t>
            </w:r>
          </w:p>
        </w:tc>
        <w:tc>
          <w:tcPr>
            <w:tcW w:w="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$1.58</w:t>
            </w: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$13,614,967.44</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0.00013810</w:t>
            </w: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$1,880.23</w:t>
            </w: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Fees</w:t>
            </w: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Previously</w:t>
            </w: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Paid</w:t>
            </w:r>
          </w:p>
        </w:tc>
        <w:tc>
          <w:tcPr>
            <w:tcW w:w="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60" w:type="dxa"/>
            <w:vAlign w:val="bottom"/>
            <w:tcBorders>
              <w:left w:val="single" w:sz="8" w:color="auto"/>
              <w:bottom w:val="single" w:sz="8" w:color="auto"/>
              <w:right w:val="single" w:sz="8" w:color="CCEEFF"/>
            </w:tcBorders>
            <w:shd w:val="clear" w:color="auto" w:fill="CCEEFF"/>
          </w:tcPr>
          <w:p>
            <w:pPr>
              <w:spacing w:after="0"/>
              <w:rPr>
                <w:sz w:val="21"/>
                <w:szCs w:val="21"/>
                <w:color w:val="auto"/>
              </w:rPr>
            </w:pPr>
          </w:p>
        </w:tc>
        <w:tc>
          <w:tcPr>
            <w:tcW w:w="120" w:type="dxa"/>
            <w:vAlign w:val="bottom"/>
            <w:tcBorders>
              <w:bottom w:val="single" w:sz="8" w:color="auto"/>
              <w:right w:val="single" w:sz="8" w:color="CCEEFF"/>
            </w:tcBorders>
            <w:shd w:val="clear" w:color="auto" w:fill="CCEEFF"/>
          </w:tcPr>
          <w:p>
            <w:pPr>
              <w:spacing w:after="0"/>
              <w:rPr>
                <w:sz w:val="21"/>
                <w:szCs w:val="21"/>
                <w:color w:val="auto"/>
              </w:rPr>
            </w:pPr>
          </w:p>
        </w:tc>
        <w:tc>
          <w:tcPr>
            <w:tcW w:w="720" w:type="dxa"/>
            <w:vAlign w:val="bottom"/>
            <w:tcBorders>
              <w:bottom w:val="single" w:sz="8" w:color="auto"/>
              <w:right w:val="single" w:sz="8" w:color="CCEEFF"/>
            </w:tcBorders>
            <w:shd w:val="clear" w:color="auto" w:fill="CCEEFF"/>
          </w:tcPr>
          <w:p>
            <w:pPr>
              <w:spacing w:after="0"/>
              <w:rPr>
                <w:sz w:val="21"/>
                <w:szCs w:val="21"/>
                <w:color w:val="auto"/>
              </w:rPr>
            </w:pPr>
          </w:p>
        </w:tc>
        <w:tc>
          <w:tcPr>
            <w:tcW w:w="720" w:type="dxa"/>
            <w:vAlign w:val="bottom"/>
            <w:tcBorders>
              <w:bottom w:val="single" w:sz="8" w:color="auto"/>
              <w:right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CCEEFF"/>
            </w:tcBorders>
            <w:shd w:val="clear" w:color="auto" w:fill="CCEEFF"/>
          </w:tcPr>
          <w:p>
            <w:pPr>
              <w:spacing w:after="0"/>
              <w:rPr>
                <w:sz w:val="21"/>
                <w:szCs w:val="21"/>
                <w:color w:val="auto"/>
              </w:rPr>
            </w:pPr>
          </w:p>
        </w:tc>
        <w:tc>
          <w:tcPr>
            <w:tcW w:w="860" w:type="dxa"/>
            <w:vAlign w:val="bottom"/>
            <w:tcBorders>
              <w:bottom w:val="single" w:sz="8" w:color="auto"/>
              <w:right w:val="single" w:sz="8" w:color="CCEEFF"/>
            </w:tcBorders>
            <w:shd w:val="clear" w:color="auto" w:fill="CCEEFF"/>
          </w:tcPr>
          <w:p>
            <w:pPr>
              <w:spacing w:after="0"/>
              <w:rPr>
                <w:sz w:val="21"/>
                <w:szCs w:val="21"/>
                <w:color w:val="auto"/>
              </w:rPr>
            </w:pPr>
          </w:p>
        </w:tc>
        <w:tc>
          <w:tcPr>
            <w:tcW w:w="2940" w:type="dxa"/>
            <w:vAlign w:val="bottom"/>
            <w:tcBorders>
              <w:bottom w:val="single" w:sz="8" w:color="auto"/>
              <w:right w:val="single" w:sz="8" w:color="CCEEFF"/>
            </w:tcBorders>
            <w:gridSpan w:val="3"/>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Carry Forward Securities</w:t>
            </w:r>
          </w:p>
        </w:tc>
        <w:tc>
          <w:tcPr>
            <w:tcW w:w="1000" w:type="dxa"/>
            <w:vAlign w:val="bottom"/>
            <w:tcBorders>
              <w:bottom w:val="single" w:sz="8" w:color="auto"/>
              <w:right w:val="single" w:sz="8" w:color="CCEEFF"/>
            </w:tcBorders>
            <w:shd w:val="clear" w:color="auto" w:fill="CCEEFF"/>
          </w:tcPr>
          <w:p>
            <w:pPr>
              <w:spacing w:after="0"/>
              <w:rPr>
                <w:sz w:val="21"/>
                <w:szCs w:val="21"/>
                <w:color w:val="auto"/>
              </w:rPr>
            </w:pPr>
          </w:p>
        </w:tc>
        <w:tc>
          <w:tcPr>
            <w:tcW w:w="720" w:type="dxa"/>
            <w:vAlign w:val="bottom"/>
            <w:tcBorders>
              <w:bottom w:val="single" w:sz="8" w:color="auto"/>
              <w:right w:val="single" w:sz="8" w:color="CCEEFF"/>
            </w:tcBorders>
            <w:shd w:val="clear" w:color="auto" w:fill="CCEEFF"/>
          </w:tcPr>
          <w:p>
            <w:pPr>
              <w:spacing w:after="0"/>
              <w:rPr>
                <w:sz w:val="21"/>
                <w:szCs w:val="21"/>
                <w:color w:val="auto"/>
              </w:rPr>
            </w:pPr>
          </w:p>
        </w:tc>
        <w:tc>
          <w:tcPr>
            <w:tcW w:w="740" w:type="dxa"/>
            <w:vAlign w:val="bottom"/>
            <w:tcBorders>
              <w:bottom w:val="single" w:sz="8" w:color="auto"/>
              <w:right w:val="single" w:sz="8" w:color="CCEEFF"/>
            </w:tcBorders>
            <w:shd w:val="clear" w:color="auto" w:fill="CCEEFF"/>
          </w:tcPr>
          <w:p>
            <w:pPr>
              <w:spacing w:after="0"/>
              <w:rPr>
                <w:sz w:val="21"/>
                <w:szCs w:val="21"/>
                <w:color w:val="auto"/>
              </w:rPr>
            </w:pPr>
          </w:p>
        </w:tc>
        <w:tc>
          <w:tcPr>
            <w:tcW w:w="720" w:type="dxa"/>
            <w:vAlign w:val="bottom"/>
            <w:tcBorders>
              <w:bottom w:val="single" w:sz="8" w:color="auto"/>
              <w:right w:val="single" w:sz="8" w:color="CCEEFF"/>
            </w:tcBorders>
            <w:shd w:val="clear" w:color="auto" w:fill="CCEEFF"/>
          </w:tcPr>
          <w:p>
            <w:pPr>
              <w:spacing w:after="0"/>
              <w:rPr>
                <w:sz w:val="21"/>
                <w:szCs w:val="21"/>
                <w:color w:val="auto"/>
              </w:rPr>
            </w:pPr>
          </w:p>
        </w:tc>
        <w:tc>
          <w:tcPr>
            <w:tcW w:w="940" w:type="dxa"/>
            <w:vAlign w:val="bottom"/>
            <w:tcBorders>
              <w:bottom w:val="single" w:sz="8" w:color="auto"/>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860" w:type="dxa"/>
            <w:vAlign w:val="bottom"/>
            <w:tcBorders>
              <w:left w:val="single" w:sz="8" w:color="auto"/>
              <w:right w:val="single" w:sz="8" w:color="auto"/>
            </w:tcBorders>
          </w:tcPr>
          <w:p>
            <w:pPr>
              <w:ind w:left="40"/>
              <w:spacing w:after="0" w:line="206" w:lineRule="exact"/>
              <w:rPr>
                <w:sz w:val="20"/>
                <w:szCs w:val="20"/>
                <w:color w:val="auto"/>
              </w:rPr>
            </w:pPr>
            <w:r>
              <w:rPr>
                <w:rFonts w:ascii="Times New Roman" w:cs="Times New Roman" w:eastAsia="Times New Roman" w:hAnsi="Times New Roman"/>
                <w:sz w:val="18"/>
                <w:szCs w:val="18"/>
                <w:color w:val="auto"/>
              </w:rPr>
              <w:t>Carry</w:t>
            </w:r>
          </w:p>
        </w:tc>
        <w:tc>
          <w:tcPr>
            <w:tcW w:w="1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Forward</w:t>
            </w:r>
          </w:p>
        </w:tc>
        <w:tc>
          <w:tcPr>
            <w:tcW w:w="1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CCEEFF"/>
            </w:tcBorders>
            <w:shd w:val="clear" w:color="auto" w:fill="CCEEFF"/>
          </w:tcPr>
          <w:p>
            <w:pPr>
              <w:spacing w:after="0"/>
              <w:rPr>
                <w:sz w:val="20"/>
                <w:szCs w:val="20"/>
                <w:color w:val="auto"/>
              </w:rPr>
            </w:pPr>
          </w:p>
        </w:tc>
        <w:tc>
          <w:tcPr>
            <w:tcW w:w="1800" w:type="dxa"/>
            <w:vAlign w:val="bottom"/>
            <w:tcBorders>
              <w:bottom w:val="single" w:sz="8" w:color="auto"/>
              <w:right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Total Offering Amounts:</w:t>
            </w: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$65,217,897.58</w:t>
            </w: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$9,006.59</w:t>
            </w: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8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7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CCEEFF"/>
            </w:tcBorders>
            <w:shd w:val="clear" w:color="auto" w:fill="CCEEFF"/>
          </w:tcPr>
          <w:p>
            <w:pPr>
              <w:spacing w:after="0"/>
              <w:rPr>
                <w:sz w:val="20"/>
                <w:szCs w:val="20"/>
                <w:color w:val="auto"/>
              </w:rPr>
            </w:pPr>
          </w:p>
        </w:tc>
        <w:tc>
          <w:tcPr>
            <w:tcW w:w="1800" w:type="dxa"/>
            <w:vAlign w:val="bottom"/>
            <w:tcBorders>
              <w:bottom w:val="single" w:sz="8" w:color="auto"/>
              <w:right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 Fee Offsets:</w:t>
            </w: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1180" w:type="dxa"/>
            <w:vAlign w:val="bottom"/>
            <w:tcBorders>
              <w:bottom w:val="single" w:sz="8" w:color="auto"/>
              <w:right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$7,616.40</w:t>
            </w: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740" w:type="dxa"/>
            <w:vAlign w:val="bottom"/>
            <w:tcBorders>
              <w:bottom w:val="single" w:sz="8" w:color="auto"/>
              <w:right w:val="single" w:sz="8" w:color="auto"/>
            </w:tcBorders>
            <w:shd w:val="clear" w:color="auto" w:fill="CCEEFF"/>
          </w:tcPr>
          <w:p>
            <w:pPr>
              <w:spacing w:after="0"/>
              <w:rPr>
                <w:sz w:val="20"/>
                <w:szCs w:val="20"/>
                <w:color w:val="auto"/>
              </w:rPr>
            </w:pPr>
          </w:p>
        </w:tc>
        <w:tc>
          <w:tcPr>
            <w:tcW w:w="720" w:type="dxa"/>
            <w:vAlign w:val="bottom"/>
            <w:tcBorders>
              <w:bottom w:val="single" w:sz="8" w:color="auto"/>
              <w:right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0" w:type="dxa"/>
            <w:vAlign w:val="bottom"/>
            <w:tcBorders>
              <w:left w:val="single" w:sz="8" w:color="auto"/>
              <w:bottom w:val="single" w:sz="8" w:color="auto"/>
              <w:right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Net Fee Due:</w:t>
            </w:r>
          </w:p>
        </w:tc>
        <w:tc>
          <w:tcPr>
            <w:tcW w:w="8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$1,390.19</w:t>
            </w:r>
          </w:p>
        </w:tc>
        <w:tc>
          <w:tcPr>
            <w:tcW w:w="7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Offering Note</w:t>
            </w: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60" w:right="180" w:hanging="239"/>
        <w:spacing w:after="0" w:line="261" w:lineRule="auto"/>
        <w:tabs>
          <w:tab w:leader="none" w:pos="2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the securities of each identified class is being registered and may from time to time be sold at indeterminate prices. Separate consideration may or may not be received for securities that are issuable on exercise, conversion or exchange of other securities or that are represented by depositary shares. The registrant is deferring payment of all of the registration fees in accordance with Rules 456(b) and 457(r) under the Securities Act of 1933, as amended (the “Securities Act”).</w:t>
      </w:r>
    </w:p>
    <w:p>
      <w:pPr>
        <w:spacing w:after="0" w:line="45" w:lineRule="exact"/>
        <w:rPr>
          <w:sz w:val="20"/>
          <w:szCs w:val="20"/>
          <w:color w:val="auto"/>
        </w:rPr>
      </w:pPr>
    </w:p>
    <w:p>
      <w:pPr>
        <w:ind w:left="260" w:right="180" w:hanging="239"/>
        <w:spacing w:after="0" w:line="261" w:lineRule="auto"/>
        <w:tabs>
          <w:tab w:leader="none" w:pos="2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the securities of each identified class is being registered and may from time to time be sold at indeterminate prices. Separate consideration may or may not be received for securities that are issuable on exercise, conversion or exchange of other securities or that are represented by depositary shares. The registrant is deferring payment of all of the registration fees in accordance with Rules 456(b) and 457(r) under the Securities Act.</w:t>
      </w:r>
    </w:p>
    <w:p>
      <w:pPr>
        <w:spacing w:after="0" w:line="45" w:lineRule="exact"/>
        <w:rPr>
          <w:sz w:val="20"/>
          <w:szCs w:val="20"/>
          <w:color w:val="auto"/>
        </w:rPr>
      </w:pPr>
    </w:p>
    <w:p>
      <w:pPr>
        <w:ind w:left="240" w:right="200" w:hanging="232"/>
        <w:spacing w:after="0" w:line="261" w:lineRule="auto"/>
        <w:tabs>
          <w:tab w:leader="none" w:pos="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the securities of each identified class is being registered and may from time to time be sold at indeterminate prices. Separate consideration may or may not be received for securities that are issuable on exercise, conversion or exchange of other securities or that are represented by depositary shares. The registrant is deferring payment of all of the registration fees in accordance with Rules 456(b) and 457(r) under the Securities Act.</w:t>
      </w:r>
    </w:p>
    <w:p>
      <w:pPr>
        <w:sectPr>
          <w:pgSz w:w="11900" w:h="16936" w:orient="portrait"/>
          <w:cols w:equalWidth="0" w:num="1">
            <w:col w:w="11260"/>
          </w:cols>
          <w:pgMar w:left="320" w:top="252" w:right="319" w:bottom="0" w:gutter="0" w:footer="0" w:header="0"/>
        </w:sectPr>
      </w:pPr>
    </w:p>
    <w:bookmarkStart w:id="182" w:name="page183"/>
    <w:bookmarkEnd w:id="182"/>
    <w:p>
      <w:pPr>
        <w:ind w:left="240" w:right="140" w:hanging="232"/>
        <w:spacing w:after="0" w:line="261" w:lineRule="auto"/>
        <w:tabs>
          <w:tab w:leader="none" w:pos="2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aggregate initial offering price or number of the securities of each identified class is being registered and may from time to time be sold at indeterminate prices. Separate consideration may or may not be received for securities that are issuable on exercise, conversion or exchange of other securities or that are represented by depositary shares. The registrant is deferring payment of all of the registration fees in accordance with Rules 456(b) and 457(r) under the Securities Act.</w:t>
      </w:r>
    </w:p>
    <w:p>
      <w:pPr>
        <w:spacing w:after="0" w:line="45" w:lineRule="exact"/>
        <w:rPr>
          <w:sz w:val="20"/>
          <w:szCs w:val="20"/>
          <w:color w:val="auto"/>
        </w:rPr>
      </w:pPr>
    </w:p>
    <w:p>
      <w:pPr>
        <w:ind w:left="240" w:right="80" w:hanging="232"/>
        <w:spacing w:after="0" w:line="282" w:lineRule="auto"/>
        <w:tabs>
          <w:tab w:leader="none" w:pos="2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the shares being registered hereunder include such indeterminate number of shares of Common Stock as may be issuable with respect to the shares being registered hereunder as a result of stock splits, stock dividends or similar transactions.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Consists of (i) up to 3,133 shares of Common Stock issuable upon exercise of the warrants.</w:t>
      </w:r>
    </w:p>
    <w:p>
      <w:pPr>
        <w:spacing w:after="0" w:line="225" w:lineRule="exact"/>
        <w:rPr>
          <w:sz w:val="20"/>
          <w:szCs w:val="20"/>
          <w:color w:val="auto"/>
        </w:rPr>
      </w:pPr>
    </w:p>
    <w:p>
      <w:pPr>
        <w:ind w:left="240"/>
        <w:spacing w:after="0" w:line="282" w:lineRule="auto"/>
        <w:rPr>
          <w:sz w:val="20"/>
          <w:szCs w:val="20"/>
          <w:color w:val="auto"/>
        </w:rPr>
      </w:pPr>
      <w:r>
        <w:rPr>
          <w:rFonts w:ascii="Times New Roman" w:cs="Times New Roman" w:eastAsia="Times New Roman" w:hAnsi="Times New Roman"/>
          <w:sz w:val="18"/>
          <w:szCs w:val="18"/>
          <w:color w:val="auto"/>
        </w:rPr>
        <w:t>Pursuant to Rule 457(c) under the Securities Act, and solely for the purpose of calculating the registration fee, the proposed maximum offering price per share is $1.58, which is the average of the high and low prices of Common Stock on October 6, 2025 on the Nasdaq Global Market.</w:t>
      </w:r>
    </w:p>
    <w:p>
      <w:pPr>
        <w:spacing w:after="0" w:line="27" w:lineRule="exact"/>
        <w:rPr>
          <w:sz w:val="20"/>
          <w:szCs w:val="20"/>
          <w:color w:val="auto"/>
        </w:rPr>
      </w:pPr>
    </w:p>
    <w:p>
      <w:pPr>
        <w:ind w:left="240" w:right="180" w:hanging="232"/>
        <w:spacing w:after="0" w:line="282" w:lineRule="auto"/>
        <w:tabs>
          <w:tab w:leader="none" w:pos="2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up to 8,617,068 shares of Common Stock being registered for resale by the selling stockholder named in the resale prospectus supplement included in this registration statement.</w:t>
      </w:r>
    </w:p>
    <w:p>
      <w:pPr>
        <w:spacing w:after="0" w:line="161" w:lineRule="exact"/>
        <w:rPr>
          <w:rFonts w:ascii="Times New Roman" w:cs="Times New Roman" w:eastAsia="Times New Roman" w:hAnsi="Times New Roman"/>
          <w:sz w:val="18"/>
          <w:szCs w:val="18"/>
          <w:color w:val="auto"/>
        </w:rPr>
      </w:pPr>
    </w:p>
    <w:p>
      <w:pPr>
        <w:ind w:left="24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the shares of Common Stock being registered hereunder include such indeterminate number of shares of Common Stock as may be issuable with respect to the shares being registered hereunder as a result of stock splits, stock dividends or similar transactions.</w:t>
      </w:r>
    </w:p>
    <w:p>
      <w:pPr>
        <w:spacing w:after="0" w:line="175" w:lineRule="exact"/>
        <w:rPr>
          <w:rFonts w:ascii="Times New Roman" w:cs="Times New Roman" w:eastAsia="Times New Roman" w:hAnsi="Times New Roman"/>
          <w:sz w:val="18"/>
          <w:szCs w:val="18"/>
          <w:color w:val="auto"/>
        </w:rPr>
      </w:pPr>
    </w:p>
    <w:p>
      <w:pPr>
        <w:ind w:lef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457(c) under the Securities Act, and solely for the purpose of calculating the registration fee, the proposed maximum offering price per share is $1.58, which is the average of the high and low prices of the Common Stock on October 6, 2025 on the Nasdaq Global Market.</w:t>
      </w:r>
    </w:p>
    <w:p>
      <w:pPr>
        <w:sectPr>
          <w:pgSz w:w="11900" w:h="16838" w:orient="portrait"/>
          <w:cols w:equalWidth="0" w:num="1">
            <w:col w:w="11200"/>
          </w:cols>
          <w:pgMar w:left="320" w:top="202" w:right="37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Table 2: Fee Offset Claims and Sources</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900" w:type="dxa"/>
            <w:vAlign w:val="bottom"/>
            <w:tcBorders>
              <w:top w:val="single" w:sz="8" w:color="auto"/>
              <w:left w:val="single" w:sz="8" w:color="auto"/>
              <w:right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960" w:type="dxa"/>
            <w:vAlign w:val="bottom"/>
            <w:tcBorders>
              <w:top w:val="single" w:sz="8" w:color="auto"/>
              <w:right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Unsold</w:t>
            </w:r>
          </w:p>
        </w:tc>
        <w:tc>
          <w:tcPr>
            <w:tcW w:w="920" w:type="dxa"/>
            <w:vAlign w:val="bottom"/>
            <w:tcBorders>
              <w:top w:val="single" w:sz="8" w:color="auto"/>
              <w:righ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9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9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Unsold</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Associated</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Associated</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Associated</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 Paid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or</w:t>
            </w:r>
          </w:p>
        </w:tc>
        <w:tc>
          <w:tcPr>
            <w:tcW w:w="7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8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with Fee</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with Fee</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Associated with</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with Fee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with Fee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Registrant or</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Offset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Offset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Offset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 Offset</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Offset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Offset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900" w:type="dxa"/>
            <w:vAlign w:val="bottom"/>
            <w:tcBorders>
              <w:left w:val="single" w:sz="8" w:color="auto"/>
              <w:bottom w:val="single" w:sz="8" w:color="auto"/>
              <w:right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Filer Name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Type</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Claimed</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Claimed</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Claimed</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Claimed</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Claimed</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Source</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90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Rules 457(b) and 0-11(a)(2)</w:t>
            </w:r>
          </w:p>
        </w:tc>
        <w:tc>
          <w:tcPr>
            <w:tcW w:w="9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0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Rule 457(p)</w:t>
            </w:r>
          </w:p>
        </w:tc>
        <w:tc>
          <w:tcPr>
            <w:tcW w:w="8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900" w:type="dxa"/>
            <w:vAlign w:val="bottom"/>
            <w:tcBorders>
              <w:left w:val="single" w:sz="8" w:color="auto"/>
              <w:right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1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 Offset</w:t>
            </w:r>
          </w:p>
        </w:tc>
        <w:tc>
          <w:tcPr>
            <w:tcW w:w="120" w:type="dxa"/>
            <w:vAlign w:val="bottom"/>
            <w:tcBorders>
              <w:right w:val="single" w:sz="8" w:color="auto"/>
            </w:tcBorders>
            <w:shd w:val="clear" w:color="auto" w:fill="CCEEFF"/>
          </w:tcPr>
          <w:p>
            <w:pPr>
              <w:spacing w:after="0"/>
              <w:rPr>
                <w:sz w:val="18"/>
                <w:szCs w:val="18"/>
                <w:color w:val="auto"/>
              </w:rPr>
            </w:pPr>
          </w:p>
        </w:tc>
        <w:tc>
          <w:tcPr>
            <w:tcW w:w="12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Tilray Brands,</w:t>
            </w:r>
          </w:p>
        </w:tc>
        <w:tc>
          <w:tcPr>
            <w:tcW w:w="68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Stock, par</w:t>
            </w:r>
          </w:p>
        </w:tc>
        <w:tc>
          <w:tcPr>
            <w:tcW w:w="1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1200" w:type="dxa"/>
            <w:vAlign w:val="bottom"/>
            <w:tcBorders>
              <w:right w:val="single" w:sz="8" w:color="auto"/>
            </w:tcBorders>
            <w:vMerge w:val="continue"/>
            <w:shd w:val="clear" w:color="auto" w:fill="CCEEFF"/>
          </w:tcPr>
          <w:p>
            <w:pPr>
              <w:spacing w:after="0"/>
              <w:rPr>
                <w:sz w:val="9"/>
                <w:szCs w:val="9"/>
                <w:color w:val="auto"/>
              </w:rPr>
            </w:pPr>
          </w:p>
        </w:tc>
        <w:tc>
          <w:tcPr>
            <w:tcW w:w="6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780" w:type="dxa"/>
            <w:vAlign w:val="bottom"/>
            <w:tcBorders>
              <w:right w:val="single" w:sz="8" w:color="auto"/>
            </w:tcBorders>
            <w:vMerge w:val="continue"/>
            <w:shd w:val="clear" w:color="auto" w:fill="CCEEFF"/>
          </w:tcPr>
          <w:p>
            <w:pPr>
              <w:spacing w:after="0"/>
              <w:rPr>
                <w:sz w:val="9"/>
                <w:szCs w:val="9"/>
                <w:color w:val="auto"/>
              </w:rPr>
            </w:pPr>
          </w:p>
        </w:tc>
        <w:tc>
          <w:tcPr>
            <w:tcW w:w="8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05/17/2024</w:t>
            </w:r>
          </w:p>
        </w:tc>
        <w:tc>
          <w:tcPr>
            <w:tcW w:w="8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$7,615.86</w:t>
            </w:r>
          </w:p>
        </w:tc>
        <w:tc>
          <w:tcPr>
            <w:tcW w:w="8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9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1280" w:type="dxa"/>
            <w:vAlign w:val="bottom"/>
            <w:tcBorders>
              <w:right w:val="single" w:sz="8" w:color="auto"/>
            </w:tcBorders>
            <w:shd w:val="clear" w:color="auto" w:fill="CCEEFF"/>
          </w:tcPr>
          <w:p>
            <w:pPr>
              <w:spacing w:after="0"/>
              <w:rPr>
                <w:sz w:val="9"/>
                <w:szCs w:val="9"/>
                <w:color w:val="auto"/>
              </w:rPr>
            </w:pPr>
          </w:p>
        </w:tc>
        <w:tc>
          <w:tcPr>
            <w:tcW w:w="10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$51,597,980</w:t>
            </w:r>
          </w:p>
        </w:tc>
        <w:tc>
          <w:tcPr>
            <w:tcW w:w="920" w:type="dxa"/>
            <w:vAlign w:val="bottom"/>
            <w:tcBorders>
              <w:right w:val="single" w:sz="8" w:color="auto"/>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00" w:type="dxa"/>
            <w:vAlign w:val="bottom"/>
            <w:tcBorders>
              <w:left w:val="single" w:sz="8" w:color="auto"/>
              <w:right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Claims</w:t>
            </w:r>
          </w:p>
        </w:tc>
        <w:tc>
          <w:tcPr>
            <w:tcW w:w="120" w:type="dxa"/>
            <w:vAlign w:val="bottom"/>
            <w:tcBorders>
              <w:right w:val="single" w:sz="8" w:color="auto"/>
            </w:tcBorders>
            <w:vMerge w:val="continue"/>
            <w:shd w:val="clear" w:color="auto" w:fill="CCEEFF"/>
          </w:tcPr>
          <w:p>
            <w:pPr>
              <w:spacing w:after="0"/>
              <w:rPr>
                <w:sz w:val="15"/>
                <w:szCs w:val="15"/>
                <w:color w:val="auto"/>
              </w:rPr>
            </w:pPr>
          </w:p>
        </w:tc>
        <w:tc>
          <w:tcPr>
            <w:tcW w:w="1200" w:type="dxa"/>
            <w:vAlign w:val="bottom"/>
            <w:tcBorders>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rPr>
              <w:t>Inc.</w:t>
            </w:r>
          </w:p>
        </w:tc>
        <w:tc>
          <w:tcPr>
            <w:tcW w:w="680" w:type="dxa"/>
            <w:vAlign w:val="bottom"/>
            <w:tcBorders>
              <w:right w:val="single" w:sz="8" w:color="auto"/>
            </w:tcBorders>
            <w:vMerge w:val="continue"/>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267788</w:t>
            </w:r>
          </w:p>
        </w:tc>
        <w:tc>
          <w:tcPr>
            <w:tcW w:w="860" w:type="dxa"/>
            <w:vAlign w:val="bottom"/>
            <w:tcBorders>
              <w:right w:val="single" w:sz="8" w:color="auto"/>
            </w:tcBorders>
            <w:vMerge w:val="continue"/>
            <w:shd w:val="clear" w:color="auto" w:fill="CCEEFF"/>
          </w:tcPr>
          <w:p>
            <w:pPr>
              <w:spacing w:after="0"/>
              <w:rPr>
                <w:sz w:val="15"/>
                <w:szCs w:val="15"/>
                <w:color w:val="auto"/>
              </w:rPr>
            </w:pPr>
          </w:p>
        </w:tc>
        <w:tc>
          <w:tcPr>
            <w:tcW w:w="840" w:type="dxa"/>
            <w:vAlign w:val="bottom"/>
            <w:tcBorders>
              <w:right w:val="single" w:sz="8" w:color="auto"/>
            </w:tcBorders>
            <w:vMerge w:val="continue"/>
            <w:shd w:val="clear" w:color="auto" w:fill="CCEEFF"/>
          </w:tcPr>
          <w:p>
            <w:pPr>
              <w:spacing w:after="0"/>
              <w:rPr>
                <w:sz w:val="15"/>
                <w:szCs w:val="15"/>
                <w:color w:val="auto"/>
              </w:rPr>
            </w:pPr>
          </w:p>
        </w:tc>
        <w:tc>
          <w:tcPr>
            <w:tcW w:w="800" w:type="dxa"/>
            <w:vAlign w:val="bottom"/>
            <w:tcBorders>
              <w:right w:val="single" w:sz="8" w:color="auto"/>
            </w:tcBorders>
            <w:vMerge w:val="continue"/>
            <w:shd w:val="clear" w:color="auto" w:fill="CCEEFF"/>
          </w:tcPr>
          <w:p>
            <w:pPr>
              <w:spacing w:after="0"/>
              <w:rPr>
                <w:sz w:val="15"/>
                <w:szCs w:val="15"/>
                <w:color w:val="auto"/>
              </w:rPr>
            </w:pPr>
          </w:p>
        </w:tc>
        <w:tc>
          <w:tcPr>
            <w:tcW w:w="860" w:type="dxa"/>
            <w:vAlign w:val="bottom"/>
            <w:tcBorders>
              <w:right w:val="single" w:sz="8" w:color="auto"/>
            </w:tcBorders>
            <w:vMerge w:val="continue"/>
            <w:shd w:val="clear" w:color="auto" w:fill="CCEEFF"/>
          </w:tcPr>
          <w:p>
            <w:pPr>
              <w:spacing w:after="0"/>
              <w:rPr>
                <w:sz w:val="15"/>
                <w:szCs w:val="15"/>
                <w:color w:val="auto"/>
              </w:rPr>
            </w:pPr>
          </w:p>
        </w:tc>
        <w:tc>
          <w:tcPr>
            <w:tcW w:w="960" w:type="dxa"/>
            <w:vAlign w:val="bottom"/>
            <w:tcBorders>
              <w:right w:val="single" w:sz="8" w:color="auto"/>
            </w:tcBorders>
            <w:vMerge w:val="continue"/>
            <w:shd w:val="clear" w:color="auto" w:fill="CCEEFF"/>
          </w:tcPr>
          <w:p>
            <w:pPr>
              <w:spacing w:after="0"/>
              <w:rPr>
                <w:sz w:val="15"/>
                <w:szCs w:val="15"/>
                <w:color w:val="auto"/>
              </w:rPr>
            </w:pPr>
          </w:p>
        </w:tc>
        <w:tc>
          <w:tcPr>
            <w:tcW w:w="1280" w:type="dxa"/>
            <w:vAlign w:val="bottom"/>
            <w:tcBorders>
              <w:right w:val="single" w:sz="8" w:color="auto"/>
            </w:tcBorders>
            <w:shd w:val="clear" w:color="auto" w:fill="CCEEFF"/>
          </w:tcPr>
          <w:p>
            <w:pPr>
              <w:spacing w:after="0"/>
              <w:rPr>
                <w:sz w:val="15"/>
                <w:szCs w:val="15"/>
                <w:color w:val="auto"/>
              </w:rPr>
            </w:pPr>
          </w:p>
        </w:tc>
        <w:tc>
          <w:tcPr>
            <w:tcW w:w="1000" w:type="dxa"/>
            <w:vAlign w:val="bottom"/>
            <w:tcBorders>
              <w:right w:val="single" w:sz="8" w:color="auto"/>
            </w:tcBorders>
            <w:vMerge w:val="continue"/>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900" w:type="dxa"/>
            <w:vAlign w:val="bottom"/>
            <w:tcBorders>
              <w:left w:val="single" w:sz="8" w:color="auto"/>
              <w:right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200" w:type="dxa"/>
            <w:vAlign w:val="bottom"/>
            <w:tcBorders>
              <w:right w:val="single" w:sz="8" w:color="auto"/>
            </w:tcBorders>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spacing w:after="0"/>
              <w:rPr>
                <w:sz w:val="12"/>
                <w:szCs w:val="12"/>
                <w:color w:val="auto"/>
              </w:rPr>
            </w:pPr>
          </w:p>
        </w:tc>
        <w:tc>
          <w:tcPr>
            <w:tcW w:w="860" w:type="dxa"/>
            <w:vAlign w:val="bottom"/>
            <w:tcBorders>
              <w:right w:val="single" w:sz="8" w:color="auto"/>
            </w:tcBorders>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86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jc w:val="center"/>
              <w:spacing w:after="0" w:line="144" w:lineRule="exact"/>
              <w:rPr>
                <w:sz w:val="20"/>
                <w:szCs w:val="20"/>
                <w:color w:val="auto"/>
              </w:rPr>
            </w:pPr>
            <w:r>
              <w:rPr>
                <w:rFonts w:ascii="Times New Roman" w:cs="Times New Roman" w:eastAsia="Times New Roman" w:hAnsi="Times New Roman"/>
                <w:sz w:val="16"/>
                <w:szCs w:val="16"/>
                <w:color w:val="auto"/>
              </w:rPr>
              <w:t>$0.0001 per</w:t>
            </w:r>
          </w:p>
        </w:tc>
        <w:tc>
          <w:tcPr>
            <w:tcW w:w="1280" w:type="dxa"/>
            <w:vAlign w:val="bottom"/>
            <w:tcBorders>
              <w:right w:val="single" w:sz="8" w:color="auto"/>
            </w:tcBorders>
            <w:shd w:val="clear" w:color="auto" w:fill="CCEEFF"/>
          </w:tcPr>
          <w:p>
            <w:pPr>
              <w:spacing w:after="0"/>
              <w:rPr>
                <w:sz w:val="12"/>
                <w:szCs w:val="12"/>
                <w:color w:val="auto"/>
              </w:rPr>
            </w:pPr>
          </w:p>
        </w:tc>
        <w:tc>
          <w:tcPr>
            <w:tcW w:w="1000" w:type="dxa"/>
            <w:vAlign w:val="bottom"/>
            <w:tcBorders>
              <w:right w:val="single" w:sz="8" w:color="auto"/>
            </w:tcBorders>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90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spacing w:after="0"/>
              <w:rPr>
                <w:sz w:val="20"/>
                <w:szCs w:val="20"/>
                <w:color w:val="auto"/>
              </w:rPr>
            </w:pPr>
          </w:p>
        </w:tc>
        <w:tc>
          <w:tcPr>
            <w:tcW w:w="680" w:type="dxa"/>
            <w:vAlign w:val="bottom"/>
            <w:tcBorders>
              <w:bottom w:val="single" w:sz="8" w:color="auto"/>
              <w:right w:val="single" w:sz="8" w:color="auto"/>
            </w:tcBorders>
            <w:shd w:val="clear" w:color="auto" w:fill="CCEEFF"/>
          </w:tcPr>
          <w:p>
            <w:pPr>
              <w:spacing w:after="0"/>
              <w:rPr>
                <w:sz w:val="20"/>
                <w:szCs w:val="20"/>
                <w:color w:val="auto"/>
              </w:rPr>
            </w:pPr>
          </w:p>
        </w:tc>
        <w:tc>
          <w:tcPr>
            <w:tcW w:w="78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920" w:type="dxa"/>
            <w:vAlign w:val="bottom"/>
            <w:tcBorders>
              <w:bottom w:val="single" w:sz="8" w:color="auto"/>
              <w:right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Fee Offset</w:t>
            </w: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Tilray Brands,</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05/17/2024</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$7,615.86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Sources</w:t>
            </w:r>
          </w:p>
        </w:tc>
        <w:tc>
          <w:tcPr>
            <w:tcW w:w="1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Inc.</w:t>
            </w:r>
          </w:p>
        </w:tc>
        <w:tc>
          <w:tcPr>
            <w:tcW w:w="68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267788</w:t>
            </w:r>
          </w:p>
        </w:tc>
        <w:tc>
          <w:tcPr>
            <w:tcW w:w="86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vMerge w:val="continue"/>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vMerge w:val="continue"/>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900" w:type="dxa"/>
            <w:vAlign w:val="bottom"/>
            <w:tcBorders>
              <w:left w:val="single" w:sz="8" w:color="auto"/>
              <w:right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1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 Offset</w:t>
            </w:r>
          </w:p>
        </w:tc>
        <w:tc>
          <w:tcPr>
            <w:tcW w:w="120" w:type="dxa"/>
            <w:vAlign w:val="bottom"/>
            <w:tcBorders>
              <w:right w:val="single" w:sz="8" w:color="auto"/>
            </w:tcBorders>
            <w:shd w:val="clear" w:color="auto" w:fill="CCEEFF"/>
          </w:tcPr>
          <w:p>
            <w:pPr>
              <w:spacing w:after="0"/>
              <w:rPr>
                <w:sz w:val="18"/>
                <w:szCs w:val="18"/>
                <w:color w:val="auto"/>
              </w:rPr>
            </w:pPr>
          </w:p>
        </w:tc>
        <w:tc>
          <w:tcPr>
            <w:tcW w:w="12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Tilray Brands,</w:t>
            </w:r>
          </w:p>
        </w:tc>
        <w:tc>
          <w:tcPr>
            <w:tcW w:w="680" w:type="dxa"/>
            <w:vAlign w:val="bottom"/>
            <w:tcBorders>
              <w:right w:val="single" w:sz="8" w:color="auto"/>
            </w:tcBorders>
            <w:shd w:val="clear" w:color="auto" w:fill="CCEEFF"/>
          </w:tcPr>
          <w:p>
            <w:pPr>
              <w:spacing w:after="0"/>
              <w:rPr>
                <w:sz w:val="18"/>
                <w:szCs w:val="18"/>
                <w:color w:val="auto"/>
              </w:rPr>
            </w:pP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6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Stock, par</w:t>
            </w:r>
          </w:p>
        </w:tc>
        <w:tc>
          <w:tcPr>
            <w:tcW w:w="1280" w:type="dxa"/>
            <w:vAlign w:val="bottom"/>
            <w:tcBorders>
              <w:right w:val="single" w:sz="8" w:color="auto"/>
            </w:tcBorders>
            <w:shd w:val="clear" w:color="auto" w:fill="CCEEFF"/>
          </w:tcPr>
          <w:p>
            <w:pPr>
              <w:spacing w:after="0"/>
              <w:rPr>
                <w:sz w:val="18"/>
                <w:szCs w:val="18"/>
                <w:color w:val="auto"/>
              </w:rPr>
            </w:pPr>
          </w:p>
        </w:tc>
        <w:tc>
          <w:tcPr>
            <w:tcW w:w="100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0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1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1200" w:type="dxa"/>
            <w:vAlign w:val="bottom"/>
            <w:tcBorders>
              <w:right w:val="single" w:sz="8" w:color="auto"/>
            </w:tcBorders>
            <w:vMerge w:val="continue"/>
            <w:shd w:val="clear" w:color="auto" w:fill="CCEEFF"/>
          </w:tcPr>
          <w:p>
            <w:pPr>
              <w:spacing w:after="0"/>
              <w:rPr>
                <w:sz w:val="9"/>
                <w:szCs w:val="9"/>
                <w:color w:val="auto"/>
              </w:rPr>
            </w:pPr>
          </w:p>
        </w:tc>
        <w:tc>
          <w:tcPr>
            <w:tcW w:w="6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780" w:type="dxa"/>
            <w:vAlign w:val="bottom"/>
            <w:tcBorders>
              <w:right w:val="single" w:sz="8" w:color="auto"/>
            </w:tcBorders>
            <w:vMerge w:val="continue"/>
            <w:shd w:val="clear" w:color="auto" w:fill="CCEEFF"/>
          </w:tcPr>
          <w:p>
            <w:pPr>
              <w:spacing w:after="0"/>
              <w:rPr>
                <w:sz w:val="9"/>
                <w:szCs w:val="9"/>
                <w:color w:val="auto"/>
              </w:rPr>
            </w:pPr>
          </w:p>
        </w:tc>
        <w:tc>
          <w:tcPr>
            <w:tcW w:w="8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06/22/2023</w:t>
            </w:r>
          </w:p>
        </w:tc>
        <w:tc>
          <w:tcPr>
            <w:tcW w:w="8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tcBorders>
              <w:right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$0.54</w:t>
            </w:r>
          </w:p>
        </w:tc>
        <w:tc>
          <w:tcPr>
            <w:tcW w:w="8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9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value</w:t>
            </w:r>
          </w:p>
        </w:tc>
        <w:tc>
          <w:tcPr>
            <w:tcW w:w="12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3,133</w:t>
            </w:r>
          </w:p>
        </w:tc>
        <w:tc>
          <w:tcPr>
            <w:tcW w:w="1000" w:type="dxa"/>
            <w:vAlign w:val="bottom"/>
            <w:tcBorders>
              <w:right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$4,950.14</w:t>
            </w:r>
          </w:p>
        </w:tc>
        <w:tc>
          <w:tcPr>
            <w:tcW w:w="920" w:type="dxa"/>
            <w:vAlign w:val="bottom"/>
            <w:tcBorders>
              <w:right w:val="single" w:sz="8" w:color="auto"/>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00" w:type="dxa"/>
            <w:vAlign w:val="bottom"/>
            <w:tcBorders>
              <w:left w:val="single" w:sz="8" w:color="auto"/>
              <w:right w:val="single" w:sz="8" w:color="auto"/>
            </w:tcBorders>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Claims</w:t>
            </w:r>
          </w:p>
        </w:tc>
        <w:tc>
          <w:tcPr>
            <w:tcW w:w="120" w:type="dxa"/>
            <w:vAlign w:val="bottom"/>
            <w:tcBorders>
              <w:right w:val="single" w:sz="8" w:color="auto"/>
            </w:tcBorders>
            <w:vMerge w:val="continue"/>
            <w:shd w:val="clear" w:color="auto" w:fill="CCEEFF"/>
          </w:tcPr>
          <w:p>
            <w:pPr>
              <w:spacing w:after="0"/>
              <w:rPr>
                <w:sz w:val="15"/>
                <w:szCs w:val="15"/>
                <w:color w:val="auto"/>
              </w:rPr>
            </w:pPr>
          </w:p>
        </w:tc>
        <w:tc>
          <w:tcPr>
            <w:tcW w:w="1200" w:type="dxa"/>
            <w:vAlign w:val="bottom"/>
            <w:tcBorders>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rPr>
              <w:t>Inc.</w:t>
            </w:r>
          </w:p>
        </w:tc>
        <w:tc>
          <w:tcPr>
            <w:tcW w:w="680" w:type="dxa"/>
            <w:vAlign w:val="bottom"/>
            <w:tcBorders>
              <w:right w:val="single" w:sz="8" w:color="auto"/>
            </w:tcBorders>
            <w:vMerge w:val="continue"/>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267788</w:t>
            </w:r>
          </w:p>
        </w:tc>
        <w:tc>
          <w:tcPr>
            <w:tcW w:w="860" w:type="dxa"/>
            <w:vAlign w:val="bottom"/>
            <w:tcBorders>
              <w:right w:val="single" w:sz="8" w:color="auto"/>
            </w:tcBorders>
            <w:vMerge w:val="continue"/>
            <w:shd w:val="clear" w:color="auto" w:fill="CCEEFF"/>
          </w:tcPr>
          <w:p>
            <w:pPr>
              <w:spacing w:after="0"/>
              <w:rPr>
                <w:sz w:val="15"/>
                <w:szCs w:val="15"/>
                <w:color w:val="auto"/>
              </w:rPr>
            </w:pPr>
          </w:p>
        </w:tc>
        <w:tc>
          <w:tcPr>
            <w:tcW w:w="840" w:type="dxa"/>
            <w:vAlign w:val="bottom"/>
            <w:tcBorders>
              <w:right w:val="single" w:sz="8" w:color="auto"/>
            </w:tcBorders>
            <w:vMerge w:val="continue"/>
            <w:shd w:val="clear" w:color="auto" w:fill="CCEEFF"/>
          </w:tcPr>
          <w:p>
            <w:pPr>
              <w:spacing w:after="0"/>
              <w:rPr>
                <w:sz w:val="15"/>
                <w:szCs w:val="15"/>
                <w:color w:val="auto"/>
              </w:rPr>
            </w:pPr>
          </w:p>
        </w:tc>
        <w:tc>
          <w:tcPr>
            <w:tcW w:w="800" w:type="dxa"/>
            <w:vAlign w:val="bottom"/>
            <w:tcBorders>
              <w:right w:val="single" w:sz="8" w:color="auto"/>
            </w:tcBorders>
            <w:vMerge w:val="continue"/>
            <w:shd w:val="clear" w:color="auto" w:fill="CCEEFF"/>
          </w:tcPr>
          <w:p>
            <w:pPr>
              <w:spacing w:after="0"/>
              <w:rPr>
                <w:sz w:val="15"/>
                <w:szCs w:val="15"/>
                <w:color w:val="auto"/>
              </w:rPr>
            </w:pPr>
          </w:p>
        </w:tc>
        <w:tc>
          <w:tcPr>
            <w:tcW w:w="860" w:type="dxa"/>
            <w:vAlign w:val="bottom"/>
            <w:tcBorders>
              <w:right w:val="single" w:sz="8" w:color="auto"/>
            </w:tcBorders>
            <w:vMerge w:val="continue"/>
            <w:shd w:val="clear" w:color="auto" w:fill="CCEEFF"/>
          </w:tcPr>
          <w:p>
            <w:pPr>
              <w:spacing w:after="0"/>
              <w:rPr>
                <w:sz w:val="15"/>
                <w:szCs w:val="15"/>
                <w:color w:val="auto"/>
              </w:rPr>
            </w:pPr>
          </w:p>
        </w:tc>
        <w:tc>
          <w:tcPr>
            <w:tcW w:w="960" w:type="dxa"/>
            <w:vAlign w:val="bottom"/>
            <w:tcBorders>
              <w:right w:val="single" w:sz="8" w:color="auto"/>
            </w:tcBorders>
            <w:vMerge w:val="continue"/>
            <w:shd w:val="clear" w:color="auto" w:fill="CCEEFF"/>
          </w:tcPr>
          <w:p>
            <w:pPr>
              <w:spacing w:after="0"/>
              <w:rPr>
                <w:sz w:val="15"/>
                <w:szCs w:val="15"/>
                <w:color w:val="auto"/>
              </w:rPr>
            </w:pPr>
          </w:p>
        </w:tc>
        <w:tc>
          <w:tcPr>
            <w:tcW w:w="1280" w:type="dxa"/>
            <w:vAlign w:val="bottom"/>
            <w:tcBorders>
              <w:right w:val="single" w:sz="8" w:color="auto"/>
            </w:tcBorders>
            <w:vMerge w:val="continue"/>
            <w:shd w:val="clear" w:color="auto" w:fill="CCEEFF"/>
          </w:tcPr>
          <w:p>
            <w:pPr>
              <w:spacing w:after="0"/>
              <w:rPr>
                <w:sz w:val="15"/>
                <w:szCs w:val="15"/>
                <w:color w:val="auto"/>
              </w:rPr>
            </w:pPr>
          </w:p>
        </w:tc>
        <w:tc>
          <w:tcPr>
            <w:tcW w:w="1000" w:type="dxa"/>
            <w:vAlign w:val="bottom"/>
            <w:tcBorders>
              <w:right w:val="single" w:sz="8" w:color="auto"/>
            </w:tcBorders>
            <w:vMerge w:val="continue"/>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900" w:type="dxa"/>
            <w:vAlign w:val="bottom"/>
            <w:tcBorders>
              <w:left w:val="single" w:sz="8" w:color="auto"/>
              <w:right w:val="single" w:sz="8" w:color="auto"/>
            </w:tcBorders>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200" w:type="dxa"/>
            <w:vAlign w:val="bottom"/>
            <w:tcBorders>
              <w:right w:val="single" w:sz="8" w:color="auto"/>
            </w:tcBorders>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80" w:type="dxa"/>
            <w:vAlign w:val="bottom"/>
            <w:tcBorders>
              <w:right w:val="single" w:sz="8" w:color="auto"/>
            </w:tcBorders>
            <w:shd w:val="clear" w:color="auto" w:fill="CCEEFF"/>
          </w:tcPr>
          <w:p>
            <w:pPr>
              <w:spacing w:after="0"/>
              <w:rPr>
                <w:sz w:val="12"/>
                <w:szCs w:val="12"/>
                <w:color w:val="auto"/>
              </w:rPr>
            </w:pPr>
          </w:p>
        </w:tc>
        <w:tc>
          <w:tcPr>
            <w:tcW w:w="860" w:type="dxa"/>
            <w:vAlign w:val="bottom"/>
            <w:tcBorders>
              <w:right w:val="single" w:sz="8" w:color="auto"/>
            </w:tcBorders>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86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jc w:val="center"/>
              <w:spacing w:after="0" w:line="144" w:lineRule="exact"/>
              <w:rPr>
                <w:sz w:val="20"/>
                <w:szCs w:val="20"/>
                <w:color w:val="auto"/>
              </w:rPr>
            </w:pPr>
            <w:r>
              <w:rPr>
                <w:rFonts w:ascii="Times New Roman" w:cs="Times New Roman" w:eastAsia="Times New Roman" w:hAnsi="Times New Roman"/>
                <w:sz w:val="16"/>
                <w:szCs w:val="16"/>
                <w:color w:val="auto"/>
              </w:rPr>
              <w:t>$0.0001 per</w:t>
            </w:r>
          </w:p>
        </w:tc>
        <w:tc>
          <w:tcPr>
            <w:tcW w:w="1280" w:type="dxa"/>
            <w:vAlign w:val="bottom"/>
            <w:tcBorders>
              <w:right w:val="single" w:sz="8" w:color="auto"/>
            </w:tcBorders>
            <w:shd w:val="clear" w:color="auto" w:fill="CCEEFF"/>
          </w:tcPr>
          <w:p>
            <w:pPr>
              <w:spacing w:after="0"/>
              <w:rPr>
                <w:sz w:val="12"/>
                <w:szCs w:val="12"/>
                <w:color w:val="auto"/>
              </w:rPr>
            </w:pPr>
          </w:p>
        </w:tc>
        <w:tc>
          <w:tcPr>
            <w:tcW w:w="1000" w:type="dxa"/>
            <w:vAlign w:val="bottom"/>
            <w:tcBorders>
              <w:right w:val="single" w:sz="8" w:color="auto"/>
            </w:tcBorders>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90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20" w:type="dxa"/>
            <w:vAlign w:val="bottom"/>
            <w:tcBorders>
              <w:bottom w:val="single" w:sz="8" w:color="auto"/>
              <w:right w:val="single" w:sz="8" w:color="auto"/>
            </w:tcBorders>
            <w:shd w:val="clear" w:color="auto" w:fill="CCEEFF"/>
          </w:tcPr>
          <w:p>
            <w:pPr>
              <w:spacing w:after="0"/>
              <w:rPr>
                <w:sz w:val="20"/>
                <w:szCs w:val="20"/>
                <w:color w:val="auto"/>
              </w:rPr>
            </w:pPr>
          </w:p>
        </w:tc>
        <w:tc>
          <w:tcPr>
            <w:tcW w:w="1200" w:type="dxa"/>
            <w:vAlign w:val="bottom"/>
            <w:tcBorders>
              <w:bottom w:val="single" w:sz="8" w:color="auto"/>
              <w:right w:val="single" w:sz="8" w:color="auto"/>
            </w:tcBorders>
            <w:shd w:val="clear" w:color="auto" w:fill="CCEEFF"/>
          </w:tcPr>
          <w:p>
            <w:pPr>
              <w:spacing w:after="0"/>
              <w:rPr>
                <w:sz w:val="20"/>
                <w:szCs w:val="20"/>
                <w:color w:val="auto"/>
              </w:rPr>
            </w:pPr>
          </w:p>
        </w:tc>
        <w:tc>
          <w:tcPr>
            <w:tcW w:w="680" w:type="dxa"/>
            <w:vAlign w:val="bottom"/>
            <w:tcBorders>
              <w:bottom w:val="single" w:sz="8" w:color="auto"/>
              <w:right w:val="single" w:sz="8" w:color="auto"/>
            </w:tcBorders>
            <w:shd w:val="clear" w:color="auto" w:fill="CCEEFF"/>
          </w:tcPr>
          <w:p>
            <w:pPr>
              <w:spacing w:after="0"/>
              <w:rPr>
                <w:sz w:val="20"/>
                <w:szCs w:val="20"/>
                <w:color w:val="auto"/>
              </w:rPr>
            </w:pPr>
          </w:p>
        </w:tc>
        <w:tc>
          <w:tcPr>
            <w:tcW w:w="78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800" w:type="dxa"/>
            <w:vAlign w:val="bottom"/>
            <w:tcBorders>
              <w:bottom w:val="single" w:sz="8" w:color="auto"/>
              <w:right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auto"/>
            </w:tcBorders>
            <w:shd w:val="clear" w:color="auto" w:fill="CCEEFF"/>
          </w:tcPr>
          <w:p>
            <w:pPr>
              <w:spacing w:after="0"/>
              <w:rPr>
                <w:sz w:val="20"/>
                <w:szCs w:val="20"/>
                <w:color w:val="auto"/>
              </w:rPr>
            </w:pP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280" w:type="dxa"/>
            <w:vAlign w:val="bottom"/>
            <w:tcBorders>
              <w:bottom w:val="single" w:sz="8" w:color="auto"/>
              <w:right w:val="single" w:sz="8" w:color="auto"/>
            </w:tcBorders>
            <w:shd w:val="clear" w:color="auto" w:fill="CCEEFF"/>
          </w:tcPr>
          <w:p>
            <w:pPr>
              <w:spacing w:after="0"/>
              <w:rPr>
                <w:sz w:val="20"/>
                <w:szCs w:val="20"/>
                <w:color w:val="auto"/>
              </w:rPr>
            </w:pPr>
          </w:p>
        </w:tc>
        <w:tc>
          <w:tcPr>
            <w:tcW w:w="1000" w:type="dxa"/>
            <w:vAlign w:val="bottom"/>
            <w:tcBorders>
              <w:bottom w:val="single" w:sz="8" w:color="auto"/>
              <w:right w:val="single" w:sz="8" w:color="auto"/>
            </w:tcBorders>
            <w:shd w:val="clear" w:color="auto" w:fill="CCEEFF"/>
          </w:tcPr>
          <w:p>
            <w:pPr>
              <w:spacing w:after="0"/>
              <w:rPr>
                <w:sz w:val="20"/>
                <w:szCs w:val="20"/>
                <w:color w:val="auto"/>
              </w:rPr>
            </w:pPr>
          </w:p>
        </w:tc>
        <w:tc>
          <w:tcPr>
            <w:tcW w:w="920" w:type="dxa"/>
            <w:vAlign w:val="bottom"/>
            <w:tcBorders>
              <w:bottom w:val="single" w:sz="8" w:color="auto"/>
              <w:right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Fee Offset</w:t>
            </w:r>
          </w:p>
        </w:tc>
        <w:tc>
          <w:tcPr>
            <w:tcW w:w="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Tilray Brands,</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S-3</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06/22/2023</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Sources</w:t>
            </w:r>
          </w:p>
        </w:tc>
        <w:tc>
          <w:tcPr>
            <w:tcW w:w="12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Inc.</w:t>
            </w:r>
          </w:p>
        </w:tc>
        <w:tc>
          <w:tcPr>
            <w:tcW w:w="68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267788</w:t>
            </w:r>
          </w:p>
        </w:tc>
        <w:tc>
          <w:tcPr>
            <w:tcW w:w="86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vMerge w:val="continue"/>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vMerge w:val="continue"/>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b w:val="1"/>
          <w:bCs w:val="1"/>
          <w:color w:val="auto"/>
        </w:rPr>
        <w:t>Rule 457(p) Statement of Withdrawal, Termination, or Completion:</w:t>
      </w:r>
    </w:p>
    <w:p>
      <w:pPr>
        <w:spacing w:after="0" w:line="207" w:lineRule="exact"/>
        <w:rPr>
          <w:sz w:val="20"/>
          <w:szCs w:val="20"/>
          <w:color w:val="auto"/>
        </w:rPr>
      </w:pPr>
    </w:p>
    <w:p>
      <w:pPr>
        <w:ind w:left="260" w:right="40" w:hanging="239"/>
        <w:spacing w:after="0" w:line="254" w:lineRule="auto"/>
        <w:tabs>
          <w:tab w:leader="none" w:pos="2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previously registered the offer, sale, and issuance of shares of Common Stock having an aggregate offering price of up to $250,000,000 by means of a prospectus supplement filed pursuant to Rule 424(b)(5) under the Securities Act on May 17, 2024 (the “ATM Prospectus Supplement”), pursuant to the Company’s registration statement on Form S-3ASR (File No. 333-267788) filed on October 7, 2022 (the “2022 Registration Statement”) with the Securities and Exchange Commission (“SEC”). In connection with the filing of the ATM Prospectus Supplement, the registrant paid filing fees of $36,900. As of the date of this registration statement, shares of Common Stock having an aggregate offering price of $198,402,020 have been sold under the ATM Prospectus Supplement. Pursuant to Rule 457(p) under the Securities Act, the registration fee of $7,615.86 that has already been paid and remains unused with respect to securities that were previously registered pursuant to the ATM Prospectus Supplement and were not sold thereunder may be applied to the filing fees payable pursuant to this registration statement. The registrant has terminated the offering that included the unsold securities under the 2022 Registration Statement.</w:t>
      </w:r>
    </w:p>
    <w:p>
      <w:pPr>
        <w:spacing w:after="0" w:line="26" w:lineRule="exact"/>
        <w:rPr>
          <w:sz w:val="20"/>
          <w:szCs w:val="20"/>
          <w:color w:val="auto"/>
        </w:rPr>
      </w:pPr>
    </w:p>
    <w:p>
      <w:pPr>
        <w:ind w:left="260" w:right="20" w:hanging="239"/>
        <w:spacing w:after="0" w:line="254" w:lineRule="auto"/>
        <w:tabs>
          <w:tab w:leader="none" w:pos="2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previously registered the issuance of up to 3,133 shares of Common Stock issuable upon exercise of certain outstanding warrants by means of a prospectus supplement filed pursuant to Rule 424(b)(5) under the Securities Act on June 22, 2023 (the “Warrant Shares Prospectus Supplement”), pursuant to the 2022 Registration Statement filed with the SEC. In connection with the filing of the Warrant Shares Prospectus Supplement, the registrant paid filing fees of $252.93. As of the date of this registration statement, 3,133 shares of Common Stock remain issuable upon exercise of the warrants currently outstanding. Pursuant to Rule 457(p) under the Securities Act, the registration fee of $0.54 that has already been paid and remains unused with respect to securities that were previously registered pursuant to the Warrant Shares Prospectus Supplement and were not sold thereunder may be applied to the filing fees payable pursuant to this registration statement. The registrant has terminated the offering that included the unsold securities under the 2022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
      <w:numFmt w:val="bullet"/>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
      <w:numFmt w:val="bullet"/>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
      <w:numFmt w:val="bullet"/>
      <w:start w:val="1"/>
    </w:lvl>
  </w:abstractNum>
  <w:abstractNum w:abstractNumId="14">
    <w:nsid w:val="6EB5BD4"/>
    <w:multiLevelType w:val="hybridMultilevel"/>
    <w:lvl w:ilvl="0">
      <w:lvlJc w:val="left"/>
      <w:lvlText w:val="•"/>
      <w:numFmt w:val="bullet"/>
      <w:start w:val="1"/>
    </w:lvl>
  </w:abstractNum>
  <w:abstractNum w:abstractNumId="15">
    <w:nsid w:val="6F6DD9AC"/>
    <w:multiLevelType w:val="hybridMultilevel"/>
    <w:lvl w:ilvl="0">
      <w:lvlJc w:val="left"/>
      <w:lvlText w:val="•"/>
      <w:numFmt w:val="bullet"/>
      <w:start w:val="1"/>
    </w:lvl>
  </w:abstractNum>
  <w:abstractNum w:abstractNumId="16">
    <w:nsid w:val="94211F2"/>
    <w:multiLevelType w:val="hybridMultilevel"/>
    <w:lvl w:ilvl="0">
      <w:lvlJc w:val="left"/>
      <w:lvlText w:val="•"/>
      <w:numFmt w:val="bullet"/>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
      <w:numFmt w:val="bullet"/>
      <w:start w:val="1"/>
    </w:lvl>
  </w:abstractNum>
  <w:abstractNum w:abstractNumId="19">
    <w:nsid w:val="4C04A8AF"/>
    <w:multiLevelType w:val="hybridMultilevel"/>
    <w:lvl w:ilvl="0">
      <w:lvlJc w:val="left"/>
      <w:lvlText w:val="•"/>
      <w:numFmt w:val="bullet"/>
      <w:start w:val="1"/>
    </w:lvl>
  </w:abstractNum>
  <w:abstractNum w:abstractNumId="20">
    <w:nsid w:val="1716703B"/>
    <w:multiLevelType w:val="hybridMultilevel"/>
    <w:lvl w:ilvl="0">
      <w:lvlJc w:val="left"/>
      <w:lvlText w:val="•"/>
      <w:numFmt w:val="bullet"/>
      <w:start w:val="1"/>
    </w:lvl>
  </w:abstractNum>
  <w:abstractNum w:abstractNumId="21">
    <w:nsid w:val="14E17E33"/>
    <w:multiLevelType w:val="hybridMultilevel"/>
    <w:lvl w:ilvl="0">
      <w:lvlJc w:val="left"/>
      <w:lvlText w:val="•"/>
      <w:numFmt w:val="bullet"/>
      <w:start w:val="1"/>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
      <w:numFmt w:val="bullet"/>
      <w:start w:val="1"/>
    </w:lvl>
  </w:abstractNum>
  <w:abstractNum w:abstractNumId="27">
    <w:nsid w:val="4A2AC315"/>
    <w:multiLevelType w:val="hybridMultilevel"/>
    <w:lvl w:ilvl="0">
      <w:lvlJc w:val="left"/>
      <w:lvlText w:val="•"/>
      <w:numFmt w:val="bullet"/>
      <w:start w:val="1"/>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
      <w:numFmt w:val="bullet"/>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
      <w:numFmt w:val="bullet"/>
      <w:start w:val="1"/>
    </w:lvl>
  </w:abstractNum>
  <w:abstractNum w:abstractNumId="34">
    <w:nsid w:val="7F01579B"/>
    <w:multiLevelType w:val="hybridMultilevel"/>
    <w:lvl w:ilvl="0">
      <w:lvlJc w:val="left"/>
      <w:lvlText w:val="•"/>
      <w:numFmt w:val="bullet"/>
      <w:start w:val="1"/>
    </w:lvl>
  </w:abstractNum>
  <w:abstractNum w:abstractNumId="35">
    <w:nsid w:val="49DA307D"/>
    <w:multiLevelType w:val="hybridMultilevel"/>
    <w:lvl w:ilvl="0">
      <w:lvlJc w:val="left"/>
      <w:lvlText w:val="•"/>
      <w:numFmt w:val="bullet"/>
      <w:start w:val="1"/>
    </w:lvl>
  </w:abstractNum>
  <w:abstractNum w:abstractNumId="36">
    <w:nsid w:val="7055A5F5"/>
    <w:multiLevelType w:val="hybridMultilevel"/>
    <w:lvl w:ilvl="0">
      <w:lvlJc w:val="left"/>
      <w:lvlText w:val="•"/>
      <w:numFmt w:val="bullet"/>
      <w:start w:val="1"/>
    </w:lvl>
  </w:abstractNum>
  <w:abstractNum w:abstractNumId="37">
    <w:nsid w:val="5FB8370B"/>
    <w:multiLevelType w:val="hybridMultilevel"/>
    <w:lvl w:ilvl="0">
      <w:lvlJc w:val="left"/>
      <w:lvlText w:val="(%1)"/>
      <w:numFmt w:val="decimal"/>
      <w:start w:val="844"/>
    </w:lvl>
  </w:abstractNum>
  <w:abstractNum w:abstractNumId="38">
    <w:nsid w:val="50801EE1"/>
    <w:multiLevelType w:val="hybridMultilevel"/>
    <w:lvl w:ilvl="0">
      <w:lvlJc w:val="left"/>
      <w:lvlText w:val="•"/>
      <w:numFmt w:val="bullet"/>
      <w:start w:val="1"/>
    </w:lvl>
  </w:abstractNum>
  <w:abstractNum w:abstractNumId="39">
    <w:nsid w:val="488AC1A"/>
    <w:multiLevelType w:val="hybridMultilevel"/>
    <w:lvl w:ilvl="0">
      <w:lvlJc w:val="left"/>
      <w:lvlText w:val="•"/>
      <w:numFmt w:val="bullet"/>
      <w:start w:val="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
      <w:numFmt w:val="bullet"/>
      <w:start w:val="1"/>
    </w:lvl>
  </w:abstractNum>
  <w:abstractNum w:abstractNumId="42">
    <w:nsid w:val="7672BD23"/>
    <w:multiLevelType w:val="hybridMultilevel"/>
    <w:lvl w:ilvl="0">
      <w:lvlJc w:val="left"/>
      <w:lvlText w:val="•"/>
      <w:numFmt w:val="bullet"/>
      <w:start w:val="1"/>
    </w:lvl>
  </w:abstractNum>
  <w:abstractNum w:abstractNumId="43">
    <w:nsid w:val="6FC75AF8"/>
    <w:multiLevelType w:val="hybridMultilevel"/>
    <w:lvl w:ilvl="0">
      <w:lvlJc w:val="left"/>
      <w:lvlText w:val="(%1)"/>
      <w:numFmt w:val="upperLetter"/>
      <w:start w:val="2"/>
    </w:lvl>
  </w:abstractNum>
  <w:abstractNum w:abstractNumId="44">
    <w:nsid w:val="6A5F7029"/>
    <w:multiLevelType w:val="hybridMultilevel"/>
    <w:lvl w:ilvl="0">
      <w:lvlJc w:val="left"/>
      <w:lvlText w:val="•"/>
      <w:numFmt w:val="bullet"/>
      <w:start w:val="1"/>
    </w:lvl>
  </w:abstractNum>
  <w:abstractNum w:abstractNumId="45">
    <w:nsid w:val="7D5E18F8"/>
    <w:multiLevelType w:val="hybridMultilevel"/>
    <w:lvl w:ilvl="0">
      <w:lvlJc w:val="left"/>
      <w:lvlText w:val="(%1)"/>
      <w:numFmt w:val="decimal"/>
      <w:start w:val="844"/>
    </w:lvl>
  </w:abstractNum>
  <w:abstractNum w:abstractNumId="46">
    <w:nsid w:val="5F3534A4"/>
    <w:multiLevelType w:val="hybridMultilevel"/>
    <w:lvl w:ilvl="0">
      <w:lvlJc w:val="left"/>
      <w:lvlText w:val="•"/>
      <w:numFmt w:val="bullet"/>
      <w:start w:val="1"/>
    </w:lvl>
  </w:abstractNum>
  <w:abstractNum w:abstractNumId="47">
    <w:nsid w:val="73A1821B"/>
    <w:multiLevelType w:val="hybridMultilevel"/>
    <w:lvl w:ilvl="0">
      <w:lvlJc w:val="left"/>
      <w:lvlText w:val="•"/>
      <w:numFmt w:val="bullet"/>
      <w:start w:val="1"/>
    </w:lvl>
  </w:abstractNum>
  <w:abstractNum w:abstractNumId="48">
    <w:nsid w:val="7DE67713"/>
    <w:multiLevelType w:val="hybridMultilevel"/>
    <w:lvl w:ilvl="0">
      <w:lvlJc w:val="left"/>
      <w:lvlText w:val="•"/>
      <w:numFmt w:val="bullet"/>
      <w:start w:val="1"/>
    </w:lvl>
  </w:abstractNum>
  <w:abstractNum w:abstractNumId="49">
    <w:nsid w:val="555C55B5"/>
    <w:multiLevelType w:val="hybridMultilevel"/>
    <w:lvl w:ilvl="0">
      <w:lvlJc w:val="left"/>
      <w:lvlText w:val="•"/>
      <w:numFmt w:val="bullet"/>
      <w:start w:val="1"/>
    </w:lvl>
  </w:abstractNum>
  <w:abstractNum w:abstractNumId="50">
    <w:nsid w:val="3FA62ACA"/>
    <w:multiLevelType w:val="hybridMultilevel"/>
    <w:lvl w:ilvl="0">
      <w:lvlJc w:val="left"/>
      <w:lvlText w:val="*"/>
      <w:numFmt w:val="bullet"/>
      <w:start w:val="1"/>
    </w:lvl>
  </w:abstractNum>
  <w:abstractNum w:abstractNumId="51">
    <w:nsid w:val="14FCE74E"/>
    <w:multiLevelType w:val="hybridMultilevel"/>
    <w:lvl w:ilvl="0">
      <w:lvlJc w:val="left"/>
      <w:lvlText w:val="(%1)"/>
      <w:numFmt w:val="decimal"/>
      <w:start w:val="1"/>
    </w:lvl>
  </w:abstractNum>
  <w:abstractNum w:abstractNumId="52">
    <w:nsid w:val="6A3DD3E8"/>
    <w:multiLevelType w:val="hybridMultilevel"/>
    <w:lvl w:ilvl="0">
      <w:lvlJc w:val="left"/>
      <w:lvlText w:val="•"/>
      <w:numFmt w:val="bullet"/>
      <w:start w:val="1"/>
    </w:lvl>
  </w:abstractNum>
  <w:abstractNum w:abstractNumId="53">
    <w:nsid w:val="71C91298"/>
    <w:multiLevelType w:val="hybridMultilevel"/>
    <w:lvl w:ilvl="0">
      <w:lvlJc w:val="left"/>
      <w:lvlText w:val="•"/>
      <w:numFmt w:val="bullet"/>
      <w:start w:val="1"/>
    </w:lvl>
  </w:abstractNum>
  <w:abstractNum w:abstractNumId="54">
    <w:nsid w:val="9DAF632"/>
    <w:multiLevelType w:val="hybridMultilevel"/>
    <w:lvl w:ilvl="0">
      <w:lvlJc w:val="left"/>
      <w:lvlText w:val="(%1)"/>
      <w:numFmt w:val="decimal"/>
      <w:start w:val="844"/>
    </w:lvl>
  </w:abstractNum>
  <w:abstractNum w:abstractNumId="55">
    <w:nsid w:val="53299938"/>
    <w:multiLevelType w:val="hybridMultilevel"/>
    <w:lvl w:ilvl="0">
      <w:lvlJc w:val="left"/>
      <w:lvlText w:val="(%1)"/>
      <w:numFmt w:val="decimal"/>
      <w:start w:val="1"/>
    </w:lvl>
  </w:abstractNum>
  <w:abstractNum w:abstractNumId="56">
    <w:nsid w:val="1FBFE8E0"/>
    <w:multiLevelType w:val="hybridMultilevel"/>
    <w:lvl w:ilvl="0">
      <w:lvlJc w:val="left"/>
      <w:lvlText w:val="*"/>
      <w:numFmt w:val="bullet"/>
      <w:start w:val="1"/>
    </w:lvl>
  </w:abstractNum>
  <w:abstractNum w:abstractNumId="57">
    <w:nsid w:val="5092CA79"/>
    <w:multiLevelType w:val="hybridMultilevel"/>
    <w:lvl w:ilvl="0">
      <w:lvlJc w:val="left"/>
      <w:lvlText w:val="*"/>
      <w:numFmt w:val="bullet"/>
      <w:start w:val="1"/>
    </w:lvl>
  </w:abstractNum>
  <w:abstractNum w:abstractNumId="58">
    <w:nsid w:val="1D545C4D"/>
    <w:multiLevelType w:val="hybridMultilevel"/>
    <w:lvl w:ilvl="0">
      <w:lvlJc w:val="left"/>
      <w:lvlText w:val="#"/>
      <w:numFmt w:val="bullet"/>
      <w:start w:val="1"/>
    </w:lvl>
  </w:abstractNum>
  <w:abstractNum w:abstractNumId="59">
    <w:nsid w:val="59ADEA3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0">
    <w:nsid w:val="288F1A34"/>
    <w:multiLevelType w:val="hybridMultilevel"/>
    <w:lvl w:ilvl="0">
      <w:lvlJc w:val="left"/>
      <w:lvlText w:val="(%1)"/>
      <w:numFmt w:val="decimal"/>
      <w:start w:val="2"/>
    </w:lvl>
    <w:lvl w:ilvl="1">
      <w:lvlJc w:val="left"/>
      <w:lvlText w:val="(%2)"/>
      <w:numFmt w:val="lowerRoman"/>
      <w:start w:val="1"/>
    </w:lvl>
  </w:abstractNum>
  <w:abstractNum w:abstractNumId="61">
    <w:nsid w:val="2A155DBC"/>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62">
    <w:nsid w:val="1D9F6E5F"/>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63">
    <w:nsid w:val="97E1B4E"/>
    <w:multiLevelType w:val="hybridMultilevel"/>
    <w:lvl w:ilvl="0">
      <w:lvlJc w:val="left"/>
      <w:lvlText w:val="(%1)"/>
      <w:numFmt w:val="lowerLetter"/>
      <w:start w:val="1"/>
    </w:lvl>
  </w:abstractNum>
  <w:abstractNum w:abstractNumId="64">
    <w:nsid w:val="51088277"/>
    <w:multiLevelType w:val="hybridMultilevel"/>
    <w:lvl w:ilvl="0">
      <w:lvlJc w:val="left"/>
      <w:lvlText w:val="(%1)"/>
      <w:numFmt w:val="decimal"/>
      <w:start w:val="1"/>
    </w:lvl>
  </w:abstractNum>
  <w:abstractNum w:abstractNumId="65">
    <w:nsid w:val="1CA0C5FA"/>
    <w:multiLevelType w:val="hybridMultilevel"/>
    <w:lvl w:ilvl="0">
      <w:lvlJc w:val="left"/>
      <w:lvlText w:val="(%1)"/>
      <w:numFmt w:val="decimal"/>
      <w:start w:val="9"/>
    </w:lvl>
  </w:abstractNum>
  <w:abstractNum w:abstractNumId="66">
    <w:nsid w:val="53584BCB"/>
    <w:multiLevelType w:val="hybridMultilevel"/>
    <w:lvl w:ilvl="0">
      <w:lvlJc w:val="left"/>
      <w:lvlText w:val="(%1)"/>
      <w:numFmt w:val="decimal"/>
      <w:start w:val="25"/>
    </w:lvl>
  </w:abstractNum>
  <w:abstractNum w:abstractNumId="67">
    <w:nsid w:val="415E286C"/>
    <w:multiLevelType w:val="hybridMultilevel"/>
    <w:lvl w:ilvl="0">
      <w:lvlJc w:val="left"/>
      <w:lvlText w:val="(%1)"/>
      <w:numFmt w:val="decimal"/>
      <w:start w:val="1"/>
    </w:lvl>
  </w:abstractNum>
  <w:abstractNum w:abstractNumId="68">
    <w:nsid w:val="7C58FD05"/>
    <w:multiLevelType w:val="hybridMultilevel"/>
    <w:lvl w:ilvl="0">
      <w:lvlJc w:val="left"/>
      <w:lvlText w:val="(%1)"/>
      <w:numFmt w:val="lowerLetter"/>
      <w:start w:val="1"/>
    </w:lvl>
  </w:abstractNum>
  <w:abstractNum w:abstractNumId="69">
    <w:nsid w:val="23D86AAC"/>
    <w:multiLevelType w:val="hybridMultilevel"/>
    <w:lvl w:ilvl="0">
      <w:lvlJc w:val="left"/>
      <w:lvlText w:val="(%1)"/>
      <w:numFmt w:val="lowerLetter"/>
      <w:start w:val="3"/>
    </w:lvl>
  </w:abstractNum>
  <w:abstractNum w:abstractNumId="70">
    <w:nsid w:val="45E6D486"/>
    <w:multiLevelType w:val="hybridMultilevel"/>
    <w:lvl w:ilvl="0">
      <w:lvlJc w:val="left"/>
      <w:lvlText w:val="(%1)"/>
      <w:numFmt w:val="lowerLetter"/>
      <w:start w:val="1"/>
    </w:lvl>
  </w:abstractNum>
  <w:abstractNum w:abstractNumId="71">
    <w:nsid w:val="5C10FE21"/>
    <w:multiLevelType w:val="hybridMultilevel"/>
    <w:lvl w:ilvl="0">
      <w:lvlJc w:val="left"/>
      <w:lvlText w:val="(%1)"/>
      <w:numFmt w:val="lowerLetter"/>
      <w:start w:val="2"/>
    </w:lvl>
  </w:abstractNum>
  <w:abstractNum w:abstractNumId="72">
    <w:nsid w:val="E7FFA2B"/>
    <w:multiLevelType w:val="hybridMultilevel"/>
    <w:lvl w:ilvl="0">
      <w:lvlJc w:val="left"/>
      <w:lvlText w:val="(%1)"/>
      <w:numFmt w:val="lowerLetter"/>
      <w:start w:val="1"/>
    </w:lvl>
  </w:abstractNum>
  <w:abstractNum w:abstractNumId="73">
    <w:nsid w:val="3C5991AA"/>
    <w:multiLevelType w:val="hybridMultilevel"/>
    <w:lvl w:ilvl="0">
      <w:lvlJc w:val="left"/>
      <w:lvlText w:val="(%1)"/>
      <w:numFmt w:val="lowerLetter"/>
      <w:start w:val="2"/>
    </w:lvl>
  </w:abstractNum>
  <w:abstractNum w:abstractNumId="74">
    <w:nsid w:val="4BD8591A"/>
    <w:multiLevelType w:val="hybridMultilevel"/>
    <w:lvl w:ilvl="0">
      <w:lvlJc w:val="left"/>
      <w:lvlText w:val="(%1)"/>
      <w:numFmt w:val="lowerLetter"/>
      <w:start w:val="1"/>
    </w:lvl>
  </w:abstractNum>
  <w:abstractNum w:abstractNumId="75">
    <w:nsid w:val="78DF6A55"/>
    <w:multiLevelType w:val="hybridMultilevel"/>
    <w:lvl w:ilvl="0">
      <w:lvlJc w:val="left"/>
      <w:lvlText w:val="(%1)"/>
      <w:numFmt w:val="lowerLetter"/>
      <w:start w:val="1"/>
    </w:lvl>
  </w:abstractNum>
  <w:abstractNum w:abstractNumId="76">
    <w:nsid w:val="39B7AAA2"/>
    <w:multiLevelType w:val="hybridMultilevel"/>
    <w:lvl w:ilvl="0">
      <w:lvlJc w:val="left"/>
      <w:lvlText w:val="(%1)"/>
      <w:numFmt w:val="decimal"/>
      <w:start w:val="1"/>
    </w:lvl>
  </w:abstractNum>
  <w:abstractNum w:abstractNumId="77">
    <w:nsid w:val="2B0D8DBE"/>
    <w:multiLevelType w:val="hybridMultilevel"/>
    <w:lvl w:ilvl="0">
      <w:lvlJc w:val="left"/>
      <w:lvlText w:val="(%1)"/>
      <w:numFmt w:val="lowerLetter"/>
      <w:start w:val="2"/>
    </w:lvl>
  </w:abstractNum>
  <w:abstractNum w:abstractNumId="78">
    <w:nsid w:val="6C80EC70"/>
    <w:multiLevelType w:val="hybridMultilevel"/>
    <w:lvl w:ilvl="0">
      <w:lvlJc w:val="left"/>
      <w:lvlText w:val="(%1)"/>
      <w:numFmt w:val="lowerLetter"/>
      <w:start w:val="1"/>
    </w:lvl>
  </w:abstractNum>
  <w:abstractNum w:abstractNumId="79">
    <w:nsid w:val="379E21B5"/>
    <w:multiLevelType w:val="hybridMultilevel"/>
    <w:lvl w:ilvl="0">
      <w:lvlJc w:val="left"/>
      <w:lvlText w:val="(%1)"/>
      <w:numFmt w:val="lowerLetter"/>
      <w:start w:val="1"/>
    </w:lvl>
  </w:abstractNum>
  <w:abstractNum w:abstractNumId="80">
    <w:nsid w:val="69E373"/>
    <w:multiLevelType w:val="hybridMultilevel"/>
    <w:lvl w:ilvl="0">
      <w:lvlJc w:val="left"/>
      <w:lvlText w:val="(%1)"/>
      <w:numFmt w:val="lowerLetter"/>
      <w:start w:val="2"/>
    </w:lvl>
  </w:abstractNum>
  <w:abstractNum w:abstractNumId="81">
    <w:nsid w:val="2C27173B"/>
    <w:multiLevelType w:val="hybridMultilevel"/>
    <w:lvl w:ilvl="0">
      <w:lvlJc w:val="left"/>
      <w:lvlText w:val="(%1)"/>
      <w:numFmt w:val="lowerLetter"/>
      <w:start w:val="1"/>
    </w:lvl>
  </w:abstractNum>
  <w:abstractNum w:abstractNumId="82">
    <w:nsid w:val="4C9B0904"/>
    <w:multiLevelType w:val="hybridMultilevel"/>
    <w:lvl w:ilvl="0">
      <w:lvlJc w:val="left"/>
      <w:lvlText w:val="(%1)"/>
      <w:numFmt w:val="lowerLetter"/>
      <w:start w:val="1"/>
    </w:lvl>
  </w:abstractNum>
  <w:abstractNum w:abstractNumId="83">
    <w:nsid w:val="6AA7B75C"/>
    <w:multiLevelType w:val="hybridMultilevel"/>
    <w:lvl w:ilvl="0">
      <w:lvlJc w:val="left"/>
      <w:lvlText w:val="(%1)"/>
      <w:numFmt w:val="decimal"/>
      <w:start w:val="1"/>
    </w:lvl>
  </w:abstractNum>
  <w:abstractNum w:abstractNumId="84">
    <w:nsid w:val="1DF029D3"/>
    <w:multiLevelType w:val="hybridMultilevel"/>
    <w:lvl w:ilvl="0">
      <w:lvlJc w:val="left"/>
      <w:lvlText w:val="(%1)"/>
      <w:numFmt w:val="decimal"/>
      <w:start w:val="5"/>
    </w:lvl>
  </w:abstractNum>
  <w:abstractNum w:abstractNumId="85">
    <w:nsid w:val="5675FF36"/>
    <w:multiLevelType w:val="hybridMultilevel"/>
    <w:lvl w:ilvl="0">
      <w:lvlJc w:val="left"/>
      <w:lvlText w:val="(%1)"/>
      <w:numFmt w:val="lowerLetter"/>
      <w:start w:val="2"/>
    </w:lvl>
  </w:abstractNum>
  <w:abstractNum w:abstractNumId="86">
    <w:nsid w:val="3DD15094"/>
    <w:multiLevelType w:val="hybridMultilevel"/>
    <w:lvl w:ilvl="0">
      <w:lvlJc w:val="left"/>
      <w:lvlText w:val="(%1)"/>
      <w:numFmt w:val="lowerLetter"/>
      <w:start w:val="4"/>
    </w:lvl>
  </w:abstractNum>
  <w:abstractNum w:abstractNumId="87">
    <w:nsid w:val="3DB012B3"/>
    <w:multiLevelType w:val="hybridMultilevel"/>
    <w:lvl w:ilvl="0">
      <w:lvlJc w:val="left"/>
      <w:lvlText w:val="(%1)"/>
      <w:numFmt w:val="lowerLetter"/>
      <w:start w:val="1"/>
    </w:lvl>
  </w:abstractNum>
  <w:abstractNum w:abstractNumId="88">
    <w:nsid w:val="2708C9AF"/>
    <w:multiLevelType w:val="hybridMultilevel"/>
    <w:lvl w:ilvl="0">
      <w:lvlJc w:val="left"/>
      <w:lvlText w:val="(%1)"/>
      <w:numFmt w:val="lowerLetter"/>
      <w:start w:val="2"/>
    </w:lvl>
  </w:abstractNum>
  <w:abstractNum w:abstractNumId="89">
    <w:nsid w:val="5B25ACE2"/>
    <w:multiLevelType w:val="hybridMultilevel"/>
    <w:lvl w:ilvl="0">
      <w:lvlJc w:val="left"/>
      <w:lvlText w:val="(%1)"/>
      <w:numFmt w:val="lowerLetter"/>
      <w:start w:val="1"/>
    </w:lvl>
  </w:abstractNum>
  <w:abstractNum w:abstractNumId="90">
    <w:nsid w:val="175DFCF0"/>
    <w:multiLevelType w:val="hybridMultilevel"/>
    <w:lvl w:ilvl="0">
      <w:lvlJc w:val="left"/>
      <w:lvlText w:val="(%1)"/>
      <w:numFmt w:val="lowerLetter"/>
      <w:start w:val="1"/>
    </w:lvl>
  </w:abstractNum>
  <w:abstractNum w:abstractNumId="91">
    <w:nsid w:val="4F97E3E4"/>
    <w:multiLevelType w:val="hybridMultilevel"/>
    <w:lvl w:ilvl="0">
      <w:lvlJc w:val="left"/>
      <w:lvlText w:val="(%1)"/>
      <w:numFmt w:val="lowerRoman"/>
      <w:start w:val="1"/>
    </w:lvl>
  </w:abstractNum>
  <w:abstractNum w:abstractNumId="92">
    <w:nsid w:val="53B0A9E"/>
    <w:multiLevelType w:val="hybridMultilevel"/>
    <w:lvl w:ilvl="0">
      <w:lvlJc w:val="left"/>
      <w:lvlText w:val="(%1)"/>
      <w:numFmt w:val="upperLetter"/>
      <w:start w:val="1"/>
    </w:lvl>
  </w:abstractNum>
  <w:abstractNum w:abstractNumId="93">
    <w:nsid w:val="34FD6B4F"/>
    <w:multiLevelType w:val="hybridMultilevel"/>
    <w:lvl w:ilvl="0">
      <w:lvlJc w:val="left"/>
      <w:lvlText w:val="(%1)"/>
      <w:numFmt w:val="lowerRoman"/>
      <w:start w:val="2"/>
    </w:lvl>
  </w:abstractNum>
  <w:abstractNum w:abstractNumId="94">
    <w:nsid w:val="5915FF32"/>
    <w:multiLevelType w:val="hybridMultilevel"/>
    <w:lvl w:ilvl="0">
      <w:lvlJc w:val="left"/>
      <w:lvlText w:val="(%1)"/>
      <w:numFmt w:val="lowerLetter"/>
      <w:start w:val="1"/>
    </w:lvl>
  </w:abstractNum>
  <w:abstractNum w:abstractNumId="95">
    <w:nsid w:val="56438D15"/>
    <w:multiLevelType w:val="hybridMultilevel"/>
    <w:lvl w:ilvl="0">
      <w:lvlJc w:val="left"/>
      <w:lvlText w:val="(%1)"/>
      <w:numFmt w:val="lowerLetter"/>
      <w:start w:val="6"/>
    </w:lvl>
  </w:abstractNum>
  <w:abstractNum w:abstractNumId="96">
    <w:nsid w:val="519E3149"/>
    <w:multiLevelType w:val="hybridMultilevel"/>
    <w:lvl w:ilvl="0">
      <w:lvlJc w:val="left"/>
      <w:lvlText w:val="(%1)"/>
      <w:numFmt w:val="lowerLetter"/>
      <w:start w:val="1"/>
    </w:lvl>
  </w:abstractNum>
  <w:abstractNum w:abstractNumId="97">
    <w:nsid w:val="2C6E4AFD"/>
    <w:multiLevelType w:val="hybridMultilevel"/>
    <w:lvl w:ilvl="0">
      <w:lvlJc w:val="left"/>
      <w:lvlText w:val="(%1)"/>
      <w:numFmt w:val="lowerLetter"/>
      <w:start w:val="2"/>
    </w:lvl>
  </w:abstractNum>
  <w:abstractNum w:abstractNumId="98">
    <w:nsid w:val="17A1B582"/>
    <w:multiLevelType w:val="hybridMultilevel"/>
    <w:lvl w:ilvl="0">
      <w:lvlJc w:val="left"/>
      <w:lvlText w:val="(%1)"/>
      <w:numFmt w:val="lowerLetter"/>
      <w:start w:val="1"/>
    </w:lvl>
  </w:abstractNum>
  <w:abstractNum w:abstractNumId="99">
    <w:nsid w:val="4DF72E4E"/>
    <w:multiLevelType w:val="hybridMultilevel"/>
    <w:lvl w:ilvl="0">
      <w:lvlJc w:val="left"/>
      <w:lvlText w:val="(%1)"/>
      <w:numFmt w:val="lowerLetter"/>
      <w:start w:val="1"/>
    </w:lvl>
  </w:abstractNum>
  <w:abstractNum w:abstractNumId="100">
    <w:nsid w:val="5046B5A9"/>
    <w:multiLevelType w:val="hybridMultilevel"/>
    <w:lvl w:ilvl="0">
      <w:lvlJc w:val="left"/>
      <w:lvlText w:val="(%1)"/>
      <w:numFmt w:val="lowerRoman"/>
      <w:start w:val="1"/>
    </w:lvl>
  </w:abstractNum>
  <w:abstractNum w:abstractNumId="101">
    <w:nsid w:val="5D888A08"/>
    <w:multiLevelType w:val="hybridMultilevel"/>
    <w:lvl w:ilvl="0">
      <w:lvlJc w:val="left"/>
      <w:lvlText w:val="(%1)"/>
      <w:numFmt w:val="lowerLetter"/>
      <w:start w:val="3"/>
    </w:lvl>
  </w:abstractNum>
  <w:abstractNum w:abstractNumId="102">
    <w:nsid w:val="2A082C70"/>
    <w:multiLevelType w:val="hybridMultilevel"/>
    <w:lvl w:ilvl="0">
      <w:lvlJc w:val="left"/>
      <w:lvlText w:val="(%1)"/>
      <w:numFmt w:val="lowerLetter"/>
      <w:start w:val="1"/>
    </w:lvl>
  </w:abstractNum>
  <w:abstractNum w:abstractNumId="103">
    <w:nsid w:val="5EC6AFD4"/>
    <w:multiLevelType w:val="hybridMultilevel"/>
    <w:lvl w:ilvl="0">
      <w:lvlJc w:val="left"/>
      <w:lvlText w:val="(%1)"/>
      <w:numFmt w:val="lowerLetter"/>
      <w:start w:val="3"/>
    </w:lvl>
  </w:abstractNum>
  <w:abstractNum w:abstractNumId="104">
    <w:nsid w:val="19E21BB2"/>
    <w:multiLevelType w:val="hybridMultilevel"/>
    <w:lvl w:ilvl="0">
      <w:lvlJc w:val="left"/>
      <w:lvlText w:val="(%1)"/>
      <w:numFmt w:val="lowerLetter"/>
      <w:start w:val="1"/>
    </w:lvl>
  </w:abstractNum>
  <w:abstractNum w:abstractNumId="105">
    <w:nsid w:val="75E0858A"/>
    <w:multiLevelType w:val="hybridMultilevel"/>
    <w:lvl w:ilvl="0">
      <w:lvlJc w:val="left"/>
      <w:lvlText w:val="(%1)"/>
      <w:numFmt w:val="lowerLetter"/>
      <w:start w:val="1"/>
    </w:lvl>
  </w:abstractNum>
  <w:abstractNum w:abstractNumId="106">
    <w:nsid w:val="57A61A29"/>
    <w:multiLevelType w:val="hybridMultilevel"/>
    <w:lvl w:ilvl="0">
      <w:lvlJc w:val="left"/>
      <w:lvlText w:val="(%1)"/>
      <w:numFmt w:val="lowerLetter"/>
      <w:start w:val="1"/>
    </w:lvl>
  </w:abstractNum>
  <w:abstractNum w:abstractNumId="107">
    <w:nsid w:val="5399C654"/>
    <w:multiLevelType w:val="hybridMultilevel"/>
    <w:lvl w:ilvl="0">
      <w:lvlJc w:val="left"/>
      <w:lvlText w:val="(%1)"/>
      <w:numFmt w:val="lowerLetter"/>
      <w:start w:val="1"/>
    </w:lvl>
  </w:abstractNum>
  <w:abstractNum w:abstractNumId="108">
    <w:nsid w:val="20EE1348"/>
    <w:multiLevelType w:val="hybridMultilevel"/>
    <w:lvl w:ilvl="0">
      <w:lvlJc w:val="left"/>
      <w:lvlText w:val="(%1)"/>
      <w:numFmt w:val="lowerLetter"/>
      <w:start w:val="9"/>
    </w:lvl>
  </w:abstractNum>
  <w:abstractNum w:abstractNumId="109">
    <w:nsid w:val="4427069A"/>
    <w:multiLevelType w:val="hybridMultilevel"/>
    <w:lvl w:ilvl="0">
      <w:lvlJc w:val="left"/>
      <w:lvlText w:val="(%1)"/>
      <w:numFmt w:val="decimal"/>
      <w:start w:val="1"/>
    </w:lvl>
  </w:abstractNum>
  <w:abstractNum w:abstractNumId="110">
    <w:nsid w:val="B37E80A"/>
    <w:multiLevelType w:val="hybridMultilevel"/>
    <w:lvl w:ilvl="0">
      <w:lvlJc w:val="left"/>
      <w:lvlText w:val="(%1)"/>
      <w:numFmt w:val="lowerLetter"/>
      <w:start w:val="1"/>
    </w:lvl>
  </w:abstractNum>
  <w:abstractNum w:abstractNumId="111">
    <w:nsid w:val="2157F6BC"/>
    <w:multiLevelType w:val="hybridMultilevel"/>
    <w:lvl w:ilvl="0">
      <w:lvlJc w:val="left"/>
      <w:lvlText w:val="(%1)"/>
      <w:numFmt w:val="lowerLetter"/>
      <w:start w:val="1"/>
    </w:lvl>
  </w:abstractNum>
  <w:abstractNum w:abstractNumId="112">
    <w:nsid w:val="704E1DD5"/>
    <w:multiLevelType w:val="hybridMultilevel"/>
    <w:lvl w:ilvl="0">
      <w:lvlJc w:val="left"/>
      <w:lvlText w:val="(%1)"/>
      <w:numFmt w:val="lowerRoman"/>
      <w:start w:val="1"/>
    </w:lvl>
  </w:abstractNum>
  <w:abstractNum w:abstractNumId="113">
    <w:nsid w:val="57D2F10E"/>
    <w:multiLevelType w:val="hybridMultilevel"/>
    <w:lvl w:ilvl="0">
      <w:lvlJc w:val="left"/>
      <w:lvlText w:val="(%1)"/>
      <w:numFmt w:val="lowerRoman"/>
      <w:start w:val="4"/>
    </w:lvl>
  </w:abstractNum>
  <w:abstractNum w:abstractNumId="114">
    <w:nsid w:val="BFFAE18"/>
    <w:multiLevelType w:val="hybridMultilevel"/>
    <w:lvl w:ilvl="0">
      <w:lvlJc w:val="left"/>
      <w:lvlText w:val="(%1)"/>
      <w:numFmt w:val="lowerLetter"/>
      <w:start w:val="3"/>
    </w:lvl>
  </w:abstractNum>
  <w:abstractNum w:abstractNumId="115">
    <w:nsid w:val="E3E47A8"/>
    <w:multiLevelType w:val="hybridMultilevel"/>
    <w:lvl w:ilvl="0">
      <w:lvlJc w:val="left"/>
      <w:lvlText w:val="(%1)"/>
      <w:numFmt w:val="lowerLetter"/>
      <w:start w:val="6"/>
    </w:lvl>
  </w:abstractNum>
  <w:abstractNum w:abstractNumId="116">
    <w:nsid w:val="2E48F044"/>
    <w:multiLevelType w:val="hybridMultilevel"/>
    <w:lvl w:ilvl="0">
      <w:lvlJc w:val="left"/>
      <w:lvlText w:val="(%1)"/>
      <w:numFmt w:val="lowerLetter"/>
      <w:start w:val="1"/>
    </w:lvl>
  </w:abstractNum>
  <w:abstractNum w:abstractNumId="117">
    <w:nsid w:val="49D0FEAC"/>
    <w:multiLevelType w:val="hybridMultilevel"/>
    <w:lvl w:ilvl="0">
      <w:lvlJc w:val="left"/>
      <w:lvlText w:val="(%1)"/>
      <w:numFmt w:val="lowerLetter"/>
      <w:start w:val="3"/>
    </w:lvl>
  </w:abstractNum>
  <w:abstractNum w:abstractNumId="118">
    <w:nsid w:val="4BEE5A5B"/>
    <w:multiLevelType w:val="hybridMultilevel"/>
    <w:lvl w:ilvl="0">
      <w:lvlJc w:val="left"/>
      <w:lvlText w:val="(%1)"/>
      <w:numFmt w:val="lowerLetter"/>
      <w:start w:val="1"/>
    </w:lvl>
  </w:abstractNum>
  <w:abstractNum w:abstractNumId="119">
    <w:nsid w:val="5551B9F3"/>
    <w:multiLevelType w:val="hybridMultilevel"/>
    <w:lvl w:ilvl="0">
      <w:lvlJc w:val="left"/>
      <w:lvlText w:val="(%1)"/>
      <w:numFmt w:val="lowerRoman"/>
      <w:start w:val="1"/>
    </w:lvl>
  </w:abstractNum>
  <w:abstractNum w:abstractNumId="120">
    <w:nsid w:val="24F6AB8E"/>
    <w:multiLevelType w:val="hybridMultilevel"/>
    <w:lvl w:ilvl="0">
      <w:lvlJc w:val="left"/>
      <w:lvlText w:val="(%1)"/>
      <w:numFmt w:val="lowerLetter"/>
      <w:start w:val="1"/>
    </w:lvl>
  </w:abstractNum>
  <w:abstractNum w:abstractNumId="121">
    <w:nsid w:val="634C574C"/>
    <w:multiLevelType w:val="hybridMultilevel"/>
    <w:lvl w:ilvl="0">
      <w:lvlJc w:val="left"/>
      <w:lvlText w:val="(%1)"/>
      <w:numFmt w:val="lowerLetter"/>
      <w:start w:val="4"/>
    </w:lvl>
  </w:abstractNum>
  <w:abstractNum w:abstractNumId="122">
    <w:nsid w:val="24E99DD7"/>
    <w:multiLevelType w:val="hybridMultilevel"/>
    <w:lvl w:ilvl="0">
      <w:lvlJc w:val="left"/>
      <w:lvlText w:val="(%1)"/>
      <w:numFmt w:val="lowerLetter"/>
      <w:start w:val="5"/>
    </w:lvl>
  </w:abstractNum>
  <w:abstractNum w:abstractNumId="123">
    <w:nsid w:val="2A31B62D"/>
    <w:multiLevelType w:val="hybridMultilevel"/>
    <w:lvl w:ilvl="0">
      <w:lvlJc w:val="left"/>
      <w:lvlText w:val="(%1)"/>
      <w:numFmt w:val="lowerLetter"/>
      <w:start w:val="1"/>
    </w:lvl>
  </w:abstractNum>
  <w:abstractNum w:abstractNumId="124">
    <w:nsid w:val="1849C29B"/>
    <w:multiLevelType w:val="hybridMultilevel"/>
    <w:lvl w:ilvl="0">
      <w:lvlJc w:val="left"/>
      <w:lvlText w:val="(%1)"/>
      <w:numFmt w:val="lowerLetter"/>
      <w:start w:val="1"/>
    </w:lvl>
  </w:abstractNum>
  <w:abstractNum w:abstractNumId="125">
    <w:nsid w:val="7DFF9D09"/>
    <w:multiLevelType w:val="hybridMultilevel"/>
    <w:lvl w:ilvl="0">
      <w:lvlJc w:val="left"/>
      <w:lvlText w:val="(%1)"/>
      <w:numFmt w:val="lowerRoman"/>
      <w:start w:val="1"/>
    </w:lvl>
  </w:abstractNum>
  <w:abstractNum w:abstractNumId="126">
    <w:nsid w:val="754342"/>
    <w:multiLevelType w:val="hybridMultilevel"/>
    <w:lvl w:ilvl="0">
      <w:lvlJc w:val="left"/>
      <w:lvlText w:val="(%1)"/>
      <w:numFmt w:val="lowerRoman"/>
      <w:start w:val="4"/>
    </w:lvl>
  </w:abstractNum>
  <w:abstractNum w:abstractNumId="127">
    <w:nsid w:val="69E7F3E5"/>
    <w:multiLevelType w:val="hybridMultilevel"/>
    <w:lvl w:ilvl="0">
      <w:lvlJc w:val="left"/>
      <w:lvlText w:val="(%1)"/>
      <w:numFmt w:val="lowerLetter"/>
      <w:start w:val="3"/>
    </w:lvl>
  </w:abstractNum>
  <w:abstractNum w:abstractNumId="128">
    <w:nsid w:val="2A6DE806"/>
    <w:multiLevelType w:val="hybridMultilevel"/>
    <w:lvl w:ilvl="0">
      <w:lvlJc w:val="left"/>
      <w:lvlText w:val="(%1)"/>
      <w:numFmt w:val="lowerLetter"/>
      <w:start w:val="6"/>
    </w:lvl>
  </w:abstractNum>
  <w:abstractNum w:abstractNumId="129">
    <w:nsid w:val="1816F8C4"/>
    <w:multiLevelType w:val="hybridMultilevel"/>
    <w:lvl w:ilvl="0">
      <w:lvlJc w:val="left"/>
      <w:lvlText w:val="(%1)"/>
      <w:numFmt w:val="lowerLetter"/>
      <w:start w:val="25"/>
    </w:lvl>
  </w:abstractNum>
  <w:abstractNum w:abstractNumId="130">
    <w:nsid w:val="37DF2233"/>
    <w:multiLevelType w:val="hybridMultilevel"/>
    <w:lvl w:ilvl="0">
      <w:lvlJc w:val="left"/>
      <w:lvlText w:val="(%1)"/>
      <w:numFmt w:val="lowerLetter"/>
      <w:start w:val="1"/>
    </w:lvl>
  </w:abstractNum>
  <w:abstractNum w:abstractNumId="131">
    <w:nsid w:val="7AB49DAF"/>
    <w:multiLevelType w:val="hybridMultilevel"/>
    <w:lvl w:ilvl="0">
      <w:lvlJc w:val="left"/>
      <w:lvlText w:val="(%1)"/>
      <w:numFmt w:val="lowerLetter"/>
      <w:start w:val="2"/>
    </w:lvl>
  </w:abstractNum>
  <w:abstractNum w:abstractNumId="132">
    <w:nsid w:val="759F82CD"/>
    <w:multiLevelType w:val="hybridMultilevel"/>
    <w:lvl w:ilvl="0">
      <w:lvlJc w:val="left"/>
      <w:lvlText w:val="(%1)"/>
      <w:numFmt w:val="lowerLetter"/>
      <w:start w:val="1"/>
    </w:lvl>
  </w:abstractNum>
  <w:abstractNum w:abstractNumId="133">
    <w:nsid w:val="61E74EA3"/>
    <w:multiLevelType w:val="hybridMultilevel"/>
    <w:lvl w:ilvl="0">
      <w:lvlJc w:val="left"/>
      <w:lvlText w:val="(%1)"/>
      <w:numFmt w:val="lowerLetter"/>
      <w:start w:val="7"/>
    </w:lvl>
  </w:abstractNum>
  <w:abstractNum w:abstractNumId="134">
    <w:nsid w:val="597B4D84"/>
    <w:multiLevelType w:val="hybridMultilevel"/>
    <w:lvl w:ilvl="0">
      <w:lvlJc w:val="left"/>
      <w:lvlText w:val="(%1)"/>
      <w:numFmt w:val="lowerLetter"/>
      <w:start w:val="1"/>
    </w:lvl>
  </w:abstractNum>
  <w:abstractNum w:abstractNumId="135">
    <w:nsid w:val="F819E7F"/>
    <w:multiLevelType w:val="hybridMultilevel"/>
    <w:lvl w:ilvl="0">
      <w:lvlJc w:val="left"/>
      <w:lvlText w:val="(%1)"/>
      <w:numFmt w:val="lowerLetter"/>
      <w:start w:val="4"/>
    </w:lvl>
  </w:abstractNum>
  <w:abstractNum w:abstractNumId="136">
    <w:nsid w:val="57C7D42D"/>
    <w:multiLevelType w:val="hybridMultilevel"/>
    <w:lvl w:ilvl="0">
      <w:lvlJc w:val="left"/>
      <w:lvlText w:val="(%1)"/>
      <w:numFmt w:val="lowerLetter"/>
      <w:start w:val="1"/>
    </w:lvl>
  </w:abstractNum>
  <w:abstractNum w:abstractNumId="137">
    <w:nsid w:val="312167AD"/>
    <w:multiLevelType w:val="hybridMultilevel"/>
    <w:lvl w:ilvl="0">
      <w:lvlJc w:val="left"/>
      <w:lvlText w:val="(%1)"/>
      <w:numFmt w:val="lowerLetter"/>
      <w:start w:val="5"/>
    </w:lvl>
  </w:abstractNum>
  <w:abstractNum w:abstractNumId="138">
    <w:nsid w:val="631B64D4"/>
    <w:multiLevelType w:val="hybridMultilevel"/>
    <w:lvl w:ilvl="0">
      <w:lvlJc w:val="left"/>
      <w:lvlText w:val="(%1)"/>
      <w:numFmt w:val="lowerLetter"/>
      <w:start w:val="1"/>
    </w:lvl>
  </w:abstractNum>
  <w:abstractNum w:abstractNumId="139">
    <w:nsid w:val="78B5E776"/>
    <w:multiLevelType w:val="hybridMultilevel"/>
    <w:lvl w:ilvl="0">
      <w:lvlJc w:val="left"/>
      <w:lvlText w:val="(%1)"/>
      <w:numFmt w:val="lowerLetter"/>
      <w:start w:val="8"/>
    </w:lvl>
  </w:abstractNum>
  <w:abstractNum w:abstractNumId="140">
    <w:nsid w:val="75486E47"/>
    <w:multiLevelType w:val="hybridMultilevel"/>
    <w:lvl w:ilvl="0">
      <w:lvlJc w:val="left"/>
      <w:lvlText w:val="(%1)"/>
      <w:numFmt w:val="lowerLetter"/>
      <w:start w:val="1"/>
    </w:lvl>
  </w:abstractNum>
  <w:abstractNum w:abstractNumId="141">
    <w:nsid w:val="6E534CDE"/>
    <w:multiLevelType w:val="hybridMultilevel"/>
    <w:lvl w:ilvl="0">
      <w:lvlJc w:val="left"/>
      <w:lvlText w:val="(%1)"/>
      <w:numFmt w:val="lowerLetter"/>
      <w:start w:val="5"/>
    </w:lvl>
  </w:abstractNum>
  <w:abstractNum w:abstractNumId="142">
    <w:nsid w:val="1A0DDE32"/>
    <w:multiLevelType w:val="hybridMultilevel"/>
    <w:lvl w:ilvl="0">
      <w:lvlJc w:val="left"/>
      <w:lvlText w:val="(%1)"/>
      <w:numFmt w:val="lowerLetter"/>
      <w:start w:val="1"/>
    </w:lvl>
    <w:lvl w:ilvl="1">
      <w:lvlJc w:val="left"/>
      <w:lvlText w:val="(%2)"/>
      <w:numFmt w:val="lowerRoman"/>
      <w:start w:val="1"/>
    </w:lvl>
  </w:abstractNum>
  <w:abstractNum w:abstractNumId="143">
    <w:nsid w:val="65968C1C"/>
    <w:multiLevelType w:val="hybridMultilevel"/>
    <w:lvl w:ilvl="0">
      <w:lvlJc w:val="left"/>
      <w:lvlText w:val="(%1)"/>
      <w:numFmt w:val="lowerLetter"/>
      <w:start w:val="1"/>
    </w:lvl>
  </w:abstractNum>
  <w:abstractNum w:abstractNumId="144">
    <w:nsid w:val="46263DEC"/>
    <w:multiLevelType w:val="hybridMultilevel"/>
    <w:lvl w:ilvl="0">
      <w:lvlJc w:val="left"/>
      <w:lvlText w:val="(%1)"/>
      <w:numFmt w:val="lowerLetter"/>
      <w:start w:val="6"/>
    </w:lvl>
  </w:abstractNum>
  <w:abstractNum w:abstractNumId="145">
    <w:nsid w:val="260D8C4A"/>
    <w:multiLevelType w:val="hybridMultilevel"/>
    <w:lvl w:ilvl="0">
      <w:lvlJc w:val="left"/>
      <w:lvlText w:val="%1)"/>
      <w:numFmt w:val="decimal"/>
      <w:start w:val="1"/>
    </w:lvl>
  </w:abstractNum>
  <w:abstractNum w:abstractNumId="146">
    <w:nsid w:val="73D4D3C4"/>
    <w:multiLevelType w:val="hybridMultilevel"/>
    <w:lvl w:ilvl="0">
      <w:lvlJc w:val="left"/>
      <w:lvlText w:val="%1)"/>
      <w:numFmt w:val="decimal"/>
      <w:start w:val="1"/>
    </w:lvl>
  </w:abstractNum>
  <w:abstractNum w:abstractNumId="147">
    <w:nsid w:val="746F2E30"/>
    <w:multiLevelType w:val="hybridMultilevel"/>
    <w:lvl w:ilvl="0">
      <w:lvlJc w:val="left"/>
      <w:lvlText w:val="1"/>
      <w:numFmt w:val="bullet"/>
      <w:start w:val="1"/>
    </w:lvl>
  </w:abstractNum>
  <w:abstractNum w:abstractNumId="148">
    <w:nsid w:val="6FDE8AF6"/>
    <w:multiLevelType w:val="hybridMultilevel"/>
    <w:lvl w:ilvl="0">
      <w:lvlJc w:val="left"/>
      <w:lvlText w:val="2"/>
      <w:numFmt w:val="bullet"/>
      <w:start w:val="1"/>
    </w:lvl>
  </w:abstractNum>
  <w:abstractNum w:abstractNumId="149">
    <w:nsid w:val="3FC32E20"/>
    <w:multiLevelType w:val="hybridMultilevel"/>
    <w:lvl w:ilvl="0">
      <w:lvlJc w:val="left"/>
      <w:lvlText w:val="3"/>
      <w:numFmt w:val="bullet"/>
      <w:start w:val="1"/>
    </w:lvl>
  </w:abstractNum>
  <w:abstractNum w:abstractNumId="150">
    <w:nsid w:val="49C0E823"/>
    <w:multiLevelType w:val="hybridMultilevel"/>
    <w:lvl w:ilvl="0">
      <w:lvlJc w:val="left"/>
      <w:lvlText w:val="4"/>
      <w:numFmt w:val="bullet"/>
      <w:start w:val="1"/>
    </w:lvl>
  </w:abstractNum>
  <w:abstractNum w:abstractNumId="151">
    <w:nsid w:val="14D53685"/>
    <w:multiLevelType w:val="hybridMultilevel"/>
    <w:lvl w:ilvl="0">
      <w:lvlJc w:val="left"/>
      <w:lvlText w:val="5"/>
      <w:numFmt w:val="bullet"/>
      <w:start w:val="1"/>
    </w:lvl>
  </w:abstractNum>
  <w:abstractNum w:abstractNumId="152">
    <w:nsid w:val="230F856C"/>
    <w:multiLevelType w:val="hybridMultilevel"/>
    <w:lvl w:ilvl="0">
      <w:lvlJc w:val="left"/>
      <w:lvlText w:val="7"/>
      <w:numFmt w:val="bullet"/>
      <w:start w:val="1"/>
    </w:lvl>
  </w:abstractNum>
  <w:abstractNum w:abstractNumId="153">
    <w:nsid w:val="6EAA85FB"/>
    <w:multiLevelType w:val="hybridMultilevel"/>
    <w:lvl w:ilvl="0">
      <w:lvlJc w:val="left"/>
      <w:lvlText w:val="1"/>
      <w:numFmt w:val="bullet"/>
      <w:start w:val="1"/>
    </w:lvl>
  </w:abstractNum>
  <w:abstractNum w:abstractNumId="154">
    <w:nsid w:val="3F06ECB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12"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4" Type="http://schemas.openxmlformats.org/officeDocument/2006/relationships/image" Target="media/image122.png"/><Relationship Id="rId145"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48"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jpe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jpe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jpe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jpeg"/><Relationship Id="rId294" Type="http://schemas.openxmlformats.org/officeDocument/2006/relationships/image" Target="media/image272.png"/><Relationship Id="rId295" Type="http://schemas.openxmlformats.org/officeDocument/2006/relationships/image" Target="media/image273.png"/><Relationship Id="rId296" Type="http://schemas.openxmlformats.org/officeDocument/2006/relationships/image" Target="media/image274.png"/><Relationship Id="rId297" Type="http://schemas.openxmlformats.org/officeDocument/2006/relationships/image" Target="media/image275.png"/><Relationship Id="rId298" Type="http://schemas.openxmlformats.org/officeDocument/2006/relationships/image" Target="media/image276.png"/><Relationship Id="rId299" Type="http://schemas.openxmlformats.org/officeDocument/2006/relationships/image" Target="media/image277.png"/><Relationship Id="rId49" Type="http://schemas.openxmlformats.org/officeDocument/2006/relationships/hyperlink" Target="https://www.sec.gov/ix?doc=/Archives/edgar/data/1731348/000143774925023703/tlry20250531_10k.htm" TargetMode="External"/><Relationship Id="rId50" Type="http://schemas.openxmlformats.org/officeDocument/2006/relationships/hyperlink" Target="https://www.sec.gov/ix?doc=/Archives/edgar/data/1731348/000114036125036324/ny20053807x2_def14a.htm" TargetMode="External"/><Relationship Id="rId51" Type="http://schemas.openxmlformats.org/officeDocument/2006/relationships/hyperlink" Target="https://www.sec.gov/ix?doc=/Archives/edgar/data/0001731348/000143774925021037/tlry20250621_8k.htm" TargetMode="External"/><Relationship Id="rId52" Type="http://schemas.openxmlformats.org/officeDocument/2006/relationships/hyperlink" Target="https://www.sec.gov/ix?doc=/Archives/edgar/data/0001731348/000114036125022089/ef20050460_8k.htm" TargetMode="External"/><Relationship Id="rId53" Type="http://schemas.openxmlformats.org/officeDocument/2006/relationships/hyperlink" Target="https://www.sec.gov/Archives/edgar/data/1731348/000119312520261461/d89853d8a12ba.htm" TargetMode="External"/><Relationship Id="rId54" Type="http://schemas.openxmlformats.org/officeDocument/2006/relationships/hyperlink" Target="https://www.sec.gov/Archives/edgar/data/1731348/000143774925023703/ex_802151.htm" TargetMode="External"/><Relationship Id="rId106" Type="http://schemas.openxmlformats.org/officeDocument/2006/relationships/hyperlink" Target="https://www.sec.gov/Archives/edgar/data/1731348/000114036124026595/ny20029327x2_ex1-1.htm" TargetMode="External"/><Relationship Id="rId107" Type="http://schemas.openxmlformats.org/officeDocument/2006/relationships/hyperlink" Target="https://www.sec.gov/Archives/edgar/data/1731348/000143774925000868/ex_761773.htm" TargetMode="External"/><Relationship Id="rId108" Type="http://schemas.openxmlformats.org/officeDocument/2006/relationships/hyperlink" Target="https://www.sec.gov/Archives/edgar/data/1731348/000156459022000856/tlry-ex32_7.htm" TargetMode="External"/><Relationship Id="rId109" Type="http://schemas.openxmlformats.org/officeDocument/2006/relationships/hyperlink" Target="https://www.sec.gov/Archives/edgar/data/1731348/000114036123027543/ny20009174x9_ex4-1.htm" TargetMode="External"/><Relationship Id="rId110" Type="http://schemas.openxmlformats.org/officeDocument/2006/relationships/hyperlink" Target="https://www.sec.gov/Archives/edgar/data/1731348/000114036123027543/ny20009174x9_ex4-2.htm" TargetMode="External"/><Relationship Id="rId111" Type="http://schemas.openxmlformats.org/officeDocument/2006/relationships/hyperlink" Target="https://www.sec.gov/Archives/edgar/data/1690947/000119312521256514/d120567dex993.htm" TargetMode="External"/><Relationship Id="rId113" Type="http://schemas.openxmlformats.org/officeDocument/2006/relationships/hyperlink" Target="https://www.sec.gov/Archives/edgar/data/1731348/000114036123030980/ny20009174x12_ex4-12.htm" TargetMode="External"/><Relationship Id="rId114" Type="http://schemas.openxmlformats.org/officeDocument/2006/relationships/hyperlink" Target="https://www.sec.gov/Archives/edgar/data/1731348/000143774923009862/ex_498879.htm" TargetMode="External"/><Relationship Id="rId115" Type="http://schemas.openxmlformats.org/officeDocument/2006/relationships/hyperlink" Target="https://www.sec.gov/Archives/edgar/data/1731348/000143774923016398/ex_5285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2025-10-09T16:26:44Z</dcterms:created>
  <dcterms:modified xsi:type="dcterms:W3CDTF">2025-10-09T16:26:44Z</dcterms:modified>
</cp:coreProperties>
</file>