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1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-605155</wp:posOffset>
            </wp:positionV>
            <wp:extent cx="57150"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84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-605155</wp:posOffset>
            </wp:positionV>
            <wp:extent cx="57150" cy="618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849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642620</wp:posOffset>
            </wp:positionV>
            <wp:extent cx="6998335" cy="49269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4926965"/>
                    </a:xfrm>
                    <a:prstGeom prst="rect">
                      <a:avLst/>
                    </a:prstGeom>
                    <a:noFill/>
                  </pic:spPr>
                </pic:pic>
              </a:graphicData>
            </a:graphic>
          </wp:anchor>
        </w:drawing>
      </w:r>
    </w:p>
    <w:p>
      <w:pPr>
        <w:spacing w:after="0" w:line="1085" w:lineRule="exact"/>
        <w:rPr>
          <w:sz w:val="24"/>
          <w:szCs w:val="24"/>
          <w:color w:val="auto"/>
        </w:rPr>
      </w:pPr>
    </w:p>
    <w:p>
      <w:pPr>
        <w:sectPr>
          <w:pgSz w:w="11900" w:h="16838" w:orient="portrait"/>
          <w:cols w:equalWidth="0" w:num="2">
            <w:col w:w="2320" w:space="360"/>
            <w:col w:w="8400"/>
          </w:cols>
          <w:pgMar w:left="460" w:top="214"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Clanachan David F</w:t>
        </w:r>
      </w:hyperlink>
    </w:p>
    <w:p>
      <w:pPr>
        <w:spacing w:after="0" w:line="28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right="1040"/>
        <w:spacing w:after="0" w:line="316" w:lineRule="auto"/>
        <w:rPr>
          <w:sz w:val="20"/>
          <w:szCs w:val="20"/>
          <w:color w:val="auto"/>
        </w:rPr>
      </w:pPr>
      <w:r>
        <w:rPr>
          <w:rFonts w:ascii="Times New Roman" w:cs="Times New Roman" w:eastAsia="Times New Roman" w:hAnsi="Times New Roman"/>
          <w:sz w:val="16"/>
          <w:szCs w:val="16"/>
          <w:color w:val="0000FF"/>
        </w:rPr>
        <w:t>C/O TILRAY BRANDS, INC. 265 TALBOT STREET WEST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Tilray Brands,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TLRY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07/29/2025</w:t>
      </w:r>
    </w:p>
    <w:p>
      <w:pPr>
        <w:spacing w:after="0" w:line="20" w:lineRule="exact"/>
        <w:rPr>
          <w:sz w:val="24"/>
          <w:szCs w:val="24"/>
          <w:color w:val="auto"/>
        </w:rPr>
      </w:pPr>
      <w:r>
        <w:rPr>
          <w:sz w:val="24"/>
          <w:szCs w:val="24"/>
          <w:color w:val="auto"/>
        </w:rPr>
        <w:br w:type="column"/>
      </w:r>
    </w:p>
    <w:p>
      <w:pPr>
        <w:ind w:left="-3" w:right="720" w:firstLine="3"/>
        <w:spacing w:after="0" w:line="284" w:lineRule="auto"/>
        <w:tabs>
          <w:tab w:leader="none" w:pos="13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0" w:lineRule="exact"/>
        <w:rPr>
          <w:sz w:val="24"/>
          <w:szCs w:val="24"/>
          <w:color w:val="auto"/>
        </w:rPr>
      </w:pPr>
    </w:p>
    <w:p>
      <w:pPr>
        <w:ind w:left="517"/>
        <w:spacing w:after="0"/>
        <w:tabs>
          <w:tab w:leader="none" w:pos="2076"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4"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17"/>
        <w:spacing w:after="0"/>
        <w:tabs>
          <w:tab w:leader="none" w:pos="207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596" w:lineRule="exact"/>
        <w:rPr>
          <w:sz w:val="24"/>
          <w:szCs w:val="24"/>
          <w:color w:val="auto"/>
        </w:rPr>
      </w:pPr>
    </w:p>
    <w:p>
      <w:pPr>
        <w:sectPr>
          <w:pgSz w:w="11900" w:h="16838" w:orient="portrait"/>
          <w:cols w:equalWidth="0" w:num="3">
            <w:col w:w="3180" w:space="720"/>
            <w:col w:w="3123" w:space="720"/>
            <w:col w:w="3337"/>
          </w:cols>
          <w:pgMar w:left="460" w:top="214" w:right="359" w:bottom="1440" w:gutter="0" w:footer="0" w:header="0"/>
          <w:type w:val="continuous"/>
        </w:sectPr>
      </w:pPr>
    </w:p>
    <w:tbl>
      <w:tblPr>
        <w:tblLayout w:type="fixed"/>
        <w:tblInd w:w="0" w:type="dxa"/>
        <w:tblCellMar>
          <w:top w:w="0" w:type="dxa"/>
          <w:left w:w="0" w:type="dxa"/>
          <w:bottom w:w="0" w:type="dxa"/>
          <w:right w:w="0" w:type="dxa"/>
        </w:tblCellMar>
      </w:tblP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720" w:type="dxa"/>
            <w:vAlign w:val="bottom"/>
            <w:gridSpan w:val="7"/>
          </w:tcPr>
          <w:p>
            <w:pPr>
              <w:jc w:val="center"/>
              <w:ind w:right="215"/>
              <w:spacing w:after="0" w:line="106" w:lineRule="exact"/>
              <w:rPr>
                <w:sz w:val="20"/>
                <w:szCs w:val="20"/>
                <w:color w:val="auto"/>
              </w:rPr>
            </w:pPr>
            <w:r>
              <w:rPr>
                <w:rFonts w:ascii="Arial" w:cs="Arial" w:eastAsia="Arial" w:hAnsi="Arial"/>
                <w:sz w:val="12"/>
                <w:szCs w:val="12"/>
                <w:color w:val="auto"/>
              </w:rPr>
              <w:t>4. If Amendment, Date of Original Filed (Month/Day/Year)</w:t>
            </w:r>
          </w:p>
        </w:tc>
        <w:tc>
          <w:tcPr>
            <w:tcW w:w="3600" w:type="dxa"/>
            <w:vAlign w:val="bottom"/>
            <w:gridSpan w:val="9"/>
          </w:tcPr>
          <w:p>
            <w:pPr>
              <w:ind w:left="260"/>
              <w:spacing w:after="0" w:line="106"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gridSpan w:val="2"/>
          </w:tcPr>
          <w:p>
            <w:pPr>
              <w:ind w:left="260"/>
              <w:spacing w:after="0"/>
              <w:rPr>
                <w:sz w:val="20"/>
                <w:szCs w:val="20"/>
                <w:color w:val="auto"/>
              </w:rPr>
            </w:pPr>
            <w:r>
              <w:rPr>
                <w:rFonts w:ascii="Arial" w:cs="Arial" w:eastAsia="Arial" w:hAnsi="Arial"/>
                <w:sz w:val="12"/>
                <w:szCs w:val="12"/>
                <w:color w:val="auto"/>
              </w:rPr>
              <w:t>Line)</w:t>
            </w:r>
          </w:p>
        </w:tc>
        <w:tc>
          <w:tcPr>
            <w:tcW w:w="296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LEAMINGTON  A6</w:t>
            </w: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N8H 4H3</w:t>
            </w: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20" w:type="dxa"/>
            <w:vAlign w:val="bottom"/>
            <w:gridSpan w:val="3"/>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1740" w:type="dxa"/>
            <w:vAlign w:val="bottom"/>
            <w:tcBorders>
              <w:bottom w:val="single" w:sz="8" w:color="9A9A9A"/>
            </w:tcBorders>
            <w:gridSpan w:val="2"/>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1740" w:type="dxa"/>
            <w:vAlign w:val="bottom"/>
            <w:gridSpan w:val="2"/>
          </w:tcPr>
          <w:p>
            <w:pPr>
              <w:ind w:left="660"/>
              <w:spacing w:after="0"/>
              <w:rPr>
                <w:sz w:val="20"/>
                <w:szCs w:val="20"/>
                <w:color w:val="auto"/>
              </w:rPr>
            </w:pPr>
            <w:r>
              <w:rPr>
                <w:rFonts w:ascii="Arial" w:cs="Arial" w:eastAsia="Arial" w:hAnsi="Arial"/>
                <w:sz w:val="12"/>
                <w:szCs w:val="12"/>
                <w:color w:val="auto"/>
              </w:rPr>
              <w:t>(State)</w:t>
            </w:r>
          </w:p>
        </w:tc>
        <w:tc>
          <w:tcPr>
            <w:tcW w:w="1100" w:type="dxa"/>
            <w:vAlign w:val="bottom"/>
          </w:tcPr>
          <w:p>
            <w:pPr>
              <w:ind w:left="14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4320" w:type="dxa"/>
            <w:vAlign w:val="bottom"/>
            <w:tcBorders>
              <w:bottom w:val="single" w:sz="8" w:color="2C2C2C"/>
            </w:tcBorders>
            <w:gridSpan w:val="8"/>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380" w:type="dxa"/>
            <w:vAlign w:val="bottom"/>
            <w:tcBorders>
              <w:top w:val="single" w:sz="8" w:color="2C2C2C"/>
            </w:tcBorders>
            <w:gridSpan w:val="12"/>
          </w:tcPr>
          <w:p>
            <w:pPr>
              <w:jc w:val="center"/>
              <w:ind w:right="1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00" w:type="dxa"/>
            <w:vAlign w:val="bottom"/>
            <w:tcBorders>
              <w:bottom w:val="single" w:sz="8" w:color="2C2C2C"/>
            </w:tcBorders>
            <w:gridSpan w:val="4"/>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3"/>
          </w:tcPr>
          <w:p>
            <w:pPr>
              <w:ind w:left="9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ind w:left="92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ind w:left="920"/>
              <w:spacing w:after="0" w:line="125"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0"/>
                <w:szCs w:val="10"/>
                <w:color w:val="auto"/>
              </w:rPr>
            </w:pPr>
          </w:p>
        </w:tc>
        <w:tc>
          <w:tcPr>
            <w:tcW w:w="60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restart"/>
          </w:tcPr>
          <w:p>
            <w:pPr>
              <w:jc w:val="center"/>
              <w:ind w:right="15"/>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4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ind w:left="1020"/>
              <w:spacing w:after="0"/>
              <w:rPr>
                <w:sz w:val="20"/>
                <w:szCs w:val="20"/>
                <w:color w:val="auto"/>
              </w:rPr>
            </w:pPr>
            <w:r>
              <w:rPr>
                <w:rFonts w:ascii="Times New Roman" w:cs="Times New Roman" w:eastAsia="Times New Roman" w:hAnsi="Times New Roman"/>
                <w:sz w:val="16"/>
                <w:szCs w:val="16"/>
                <w:color w:val="0000FF"/>
              </w:rPr>
              <w:t>07/30/2025</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4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6"/>
                <w:szCs w:val="16"/>
                <w:color w:val="0000FF"/>
                <w:w w:val="91"/>
              </w:rPr>
              <w:t>124,378</w:t>
            </w:r>
            <w:r>
              <w:rPr>
                <w:rFonts w:ascii="Times New Roman" w:cs="Times New Roman" w:eastAsia="Times New Roman" w:hAnsi="Times New Roman"/>
                <w:sz w:val="20"/>
                <w:szCs w:val="20"/>
                <w:color w:val="008000"/>
                <w:w w:val="91"/>
                <w:vertAlign w:val="superscript"/>
              </w:rPr>
              <w:t>(1)</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ind w:left="1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0.61</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6"/>
                <w:szCs w:val="16"/>
                <w:color w:val="0000FF"/>
              </w:rPr>
              <w:t>236,880</w:t>
            </w:r>
            <w:r>
              <w:rPr>
                <w:rFonts w:ascii="Times New Roman" w:cs="Times New Roman" w:eastAsia="Times New Roman" w:hAnsi="Times New Roman"/>
                <w:sz w:val="20"/>
                <w:szCs w:val="20"/>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ind w:left="1020"/>
              <w:spacing w:after="0"/>
              <w:rPr>
                <w:sz w:val="20"/>
                <w:szCs w:val="20"/>
                <w:color w:val="auto"/>
              </w:rPr>
            </w:pPr>
            <w:r>
              <w:rPr>
                <w:rFonts w:ascii="Times New Roman" w:cs="Times New Roman" w:eastAsia="Times New Roman" w:hAnsi="Times New Roman"/>
                <w:sz w:val="16"/>
                <w:szCs w:val="16"/>
                <w:color w:val="0000FF"/>
              </w:rPr>
              <w:t>07/30/2025</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6"/>
                <w:szCs w:val="16"/>
                <w:color w:val="0000FF"/>
                <w:w w:val="93"/>
              </w:rPr>
              <w:t>65,921</w:t>
            </w:r>
            <w:r>
              <w:rPr>
                <w:rFonts w:ascii="Times New Roman" w:cs="Times New Roman" w:eastAsia="Times New Roman" w:hAnsi="Times New Roman"/>
                <w:sz w:val="20"/>
                <w:szCs w:val="20"/>
                <w:color w:val="008000"/>
                <w:w w:val="93"/>
                <w:vertAlign w:val="superscript"/>
              </w:rPr>
              <w:t>(2)</w:t>
            </w: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Borders>
              <w:bottom w:val="single" w:sz="8" w:color="2C2C2C"/>
            </w:tcBorders>
          </w:tcPr>
          <w:p>
            <w:pPr>
              <w:ind w:left="1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0.61</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6"/>
                <w:szCs w:val="16"/>
                <w:color w:val="0000FF"/>
              </w:rPr>
              <w:t>170,959</w:t>
            </w:r>
            <w:r>
              <w:rPr>
                <w:rFonts w:ascii="Times New Roman" w:cs="Times New Roman" w:eastAsia="Times New Roman" w:hAnsi="Times New Roman"/>
                <w:sz w:val="20"/>
                <w:szCs w:val="20"/>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380" w:type="dxa"/>
            <w:vAlign w:val="bottom"/>
            <w:tcBorders>
              <w:top w:val="single" w:sz="8" w:color="2C2C2C"/>
            </w:tcBorders>
            <w:gridSpan w:val="12"/>
          </w:tcPr>
          <w:p>
            <w:pPr>
              <w:ind w:left="2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700" w:type="dxa"/>
            <w:vAlign w:val="bottom"/>
            <w:gridSpan w:val="11"/>
          </w:tcPr>
          <w:p>
            <w:pPr>
              <w:ind w:left="8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46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restart"/>
          </w:tcPr>
          <w:p>
            <w:pPr>
              <w:ind w:left="20"/>
              <w:spacing w:after="0" w:line="125"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(5)</w:t>
            </w:r>
          </w:p>
        </w:tc>
        <w:tc>
          <w:tcPr>
            <w:tcW w:w="20" w:type="dxa"/>
            <w:vAlign w:val="bottom"/>
          </w:tcPr>
          <w:p>
            <w:pPr>
              <w:spacing w:after="0"/>
              <w:rPr>
                <w:sz w:val="15"/>
                <w:szCs w:val="15"/>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124,378</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(6)</w:t>
            </w: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10"/>
                <w:szCs w:val="10"/>
                <w:color w:val="auto"/>
              </w:rPr>
            </w:pPr>
          </w:p>
        </w:tc>
        <w:tc>
          <w:tcPr>
            <w:tcW w:w="1000" w:type="dxa"/>
            <w:vAlign w:val="bottom"/>
          </w:tcPr>
          <w:p>
            <w:pPr>
              <w:jc w:val="right"/>
              <w:ind w:right="121"/>
              <w:spacing w:after="0" w:line="125" w:lineRule="exact"/>
              <w:rPr>
                <w:sz w:val="20"/>
                <w:szCs w:val="20"/>
                <w:color w:val="auto"/>
              </w:rPr>
            </w:pPr>
            <w:r>
              <w:rPr>
                <w:rFonts w:ascii="Times New Roman" w:cs="Times New Roman" w:eastAsia="Times New Roman" w:hAnsi="Times New Roman"/>
                <w:sz w:val="12"/>
                <w:szCs w:val="12"/>
                <w:color w:val="0000FF"/>
              </w:rPr>
              <w:t>07/30/2025</w:t>
            </w:r>
          </w:p>
        </w:tc>
        <w:tc>
          <w:tcPr>
            <w:tcW w:w="1100" w:type="dxa"/>
            <w:vAlign w:val="bottom"/>
          </w:tcPr>
          <w:p>
            <w:pPr>
              <w:spacing w:after="0"/>
              <w:rPr>
                <w:sz w:val="10"/>
                <w:szCs w:val="10"/>
                <w:color w:val="auto"/>
              </w:rPr>
            </w:pPr>
          </w:p>
        </w:tc>
        <w:tc>
          <w:tcPr>
            <w:tcW w:w="800" w:type="dxa"/>
            <w:vAlign w:val="bottom"/>
            <w:gridSpan w:val="2"/>
          </w:tcPr>
          <w:p>
            <w:pPr>
              <w:ind w:left="160"/>
              <w:spacing w:after="0" w:line="125" w:lineRule="exact"/>
              <w:rPr>
                <w:sz w:val="20"/>
                <w:szCs w:val="20"/>
                <w:color w:val="auto"/>
              </w:rPr>
            </w:pPr>
            <w:r>
              <w:rPr>
                <w:rFonts w:ascii="Times New Roman" w:cs="Times New Roman" w:eastAsia="Times New Roman" w:hAnsi="Times New Roman"/>
                <w:sz w:val="12"/>
                <w:szCs w:val="12"/>
                <w:color w:val="0000FF"/>
              </w:rPr>
              <w:t>M</w:t>
            </w:r>
          </w:p>
        </w:tc>
        <w:tc>
          <w:tcPr>
            <w:tcW w:w="580" w:type="dxa"/>
            <w:vAlign w:val="bottom"/>
          </w:tcPr>
          <w:p>
            <w:pPr>
              <w:spacing w:after="0"/>
              <w:rPr>
                <w:sz w:val="10"/>
                <w:szCs w:val="10"/>
                <w:color w:val="auto"/>
              </w:rPr>
            </w:pPr>
          </w:p>
        </w:tc>
        <w:tc>
          <w:tcPr>
            <w:tcW w:w="480" w:type="dxa"/>
            <w:vAlign w:val="bottom"/>
          </w:tcPr>
          <w:p>
            <w:pPr>
              <w:spacing w:after="0" w:line="125" w:lineRule="exact"/>
              <w:rPr>
                <w:sz w:val="20"/>
                <w:szCs w:val="20"/>
                <w:color w:val="auto"/>
              </w:rPr>
            </w:pPr>
            <w:r>
              <w:rPr>
                <w:rFonts w:ascii="Times New Roman" w:cs="Times New Roman" w:eastAsia="Times New Roman" w:hAnsi="Times New Roman"/>
                <w:sz w:val="12"/>
                <w:szCs w:val="12"/>
                <w:color w:val="0000FF"/>
              </w:rPr>
              <w:t>124,378</w:t>
            </w:r>
          </w:p>
        </w:tc>
        <w:tc>
          <w:tcPr>
            <w:tcW w:w="7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24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ind w:left="34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jc w:val="center"/>
              <w:ind w:right="55"/>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(5)</w:t>
            </w:r>
          </w:p>
        </w:tc>
        <w:tc>
          <w:tcPr>
            <w:tcW w:w="20" w:type="dxa"/>
            <w:vAlign w:val="bottom"/>
          </w:tcPr>
          <w:p>
            <w:pPr>
              <w:spacing w:after="0"/>
              <w:rPr>
                <w:sz w:val="15"/>
                <w:szCs w:val="15"/>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431,034</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gridSpan w:val="2"/>
            <w:vMerge w:val="restart"/>
          </w:tcPr>
          <w:p>
            <w:pPr>
              <w:jc w:val="center"/>
              <w:ind w:right="84"/>
              <w:spacing w:after="0"/>
              <w:rPr>
                <w:sz w:val="20"/>
                <w:szCs w:val="20"/>
                <w:color w:val="auto"/>
              </w:rPr>
            </w:pPr>
            <w:r>
              <w:rPr>
                <w:rFonts w:ascii="Times New Roman" w:cs="Times New Roman" w:eastAsia="Times New Roman" w:hAnsi="Times New Roman"/>
                <w:sz w:val="12"/>
                <w:szCs w:val="12"/>
                <w:color w:val="0000FF"/>
              </w:rPr>
              <w:t>431,034</w:t>
            </w:r>
            <w:r>
              <w:rPr>
                <w:rFonts w:ascii="Times New Roman" w:cs="Times New Roman" w:eastAsia="Times New Roman" w:hAnsi="Times New Roman"/>
                <w:sz w:val="20"/>
                <w:szCs w:val="20"/>
                <w:color w:val="008000"/>
                <w:vertAlign w:val="superscript"/>
              </w:rPr>
              <w:t>(6)</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11"/>
                <w:szCs w:val="11"/>
                <w:color w:val="auto"/>
              </w:rPr>
            </w:pP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2"/>
                <w:szCs w:val="12"/>
                <w:color w:val="0000FF"/>
              </w:rPr>
              <w:t>07/29/2025</w:t>
            </w:r>
          </w:p>
        </w:tc>
        <w:tc>
          <w:tcPr>
            <w:tcW w:w="1100" w:type="dxa"/>
            <w:vAlign w:val="bottom"/>
          </w:tcPr>
          <w:p>
            <w:pPr>
              <w:spacing w:after="0"/>
              <w:rPr>
                <w:sz w:val="11"/>
                <w:szCs w:val="11"/>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8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431,034</w:t>
            </w:r>
          </w:p>
        </w:tc>
        <w:tc>
          <w:tcPr>
            <w:tcW w:w="4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240"/>
              <w:spacing w:after="0" w:line="13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vMerge w:val="continue"/>
          </w:tcPr>
          <w:p>
            <w:pPr>
              <w:spacing w:after="0"/>
              <w:rPr>
                <w:sz w:val="11"/>
                <w:szCs w:val="11"/>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jc w:val="center"/>
              <w:ind w:right="55"/>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-1964690</wp:posOffset>
            </wp:positionV>
            <wp:extent cx="28575" cy="1970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7040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July 30, 2025, a total of 124,378 RSUs vested. Each RSU represents a contingent right to receive one (1) share of Tilray Common Stock.</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withheld by the Company to satisfy the tax withholding obligation associated with the vesting of 124,378 LTIP RSUs previously granted on July 30, 2024.</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includes shares of Common Stock beneficially owned by the reporting person, but excludes other unvested RSUs.</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restricted stock unit represents a contingent right to receive one (1) share of Tilray Common Stock.</w:t>
      </w:r>
    </w:p>
    <w:p>
      <w:pPr>
        <w:spacing w:after="0" w:line="48" w:lineRule="exact"/>
        <w:rPr>
          <w:rFonts w:ascii="Times New Roman" w:cs="Times New Roman" w:eastAsia="Times New Roman" w:hAnsi="Times New Roman"/>
          <w:sz w:val="12"/>
          <w:szCs w:val="12"/>
          <w:color w:val="008000"/>
        </w:rPr>
      </w:pPr>
    </w:p>
    <w:p>
      <w:pPr>
        <w:ind w:left="40" w:right="420" w:hanging="3"/>
        <w:spacing w:after="0" w:line="281"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Subject to the reporting person's continuous service, the restricted stock units shall vest one year from the date of grant, with accelerated vesting solely upon death or disability prior to such date. In the event of a voluntary resignation by the reporting person prior to the vesting date, all restricted stock units will be forfeited.</w:t>
      </w: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represents the total amount of unvested RSUs and underlying shares of Tilray Common Stock.</w:t>
      </w:r>
    </w:p>
    <w:p>
      <w:pPr>
        <w:spacing w:after="0" w:line="44"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Carl A. Merton, as Attorney-</w:t>
            </w:r>
          </w:p>
        </w:tc>
        <w:tc>
          <w:tcPr>
            <w:tcW w:w="60" w:type="dxa"/>
            <w:vAlign w:val="bottom"/>
          </w:tcPr>
          <w:p>
            <w:pPr>
              <w:spacing w:after="0"/>
              <w:rPr>
                <w:sz w:val="17"/>
                <w:szCs w:val="17"/>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w w:val="98"/>
              </w:rPr>
              <w:t>07/31/2025</w:t>
            </w:r>
          </w:p>
        </w:tc>
        <w:tc>
          <w:tcPr>
            <w:tcW w:w="0" w:type="dxa"/>
            <w:vAlign w:val="bottom"/>
          </w:tcPr>
          <w:p>
            <w:pPr>
              <w:spacing w:after="0"/>
              <w:rPr>
                <w:sz w:val="1"/>
                <w:szCs w:val="1"/>
                <w:color w:val="auto"/>
              </w:rPr>
            </w:pPr>
          </w:p>
        </w:tc>
      </w:tr>
      <w:tr>
        <w:trPr>
          <w:trHeight w:val="80"/>
        </w:trPr>
        <w:tc>
          <w:tcPr>
            <w:tcW w:w="2140" w:type="dxa"/>
            <w:vAlign w:val="bottom"/>
            <w:gridSpan w:val="3"/>
            <w:vMerge w:val="restart"/>
          </w:tcPr>
          <w:p>
            <w:pPr>
              <w:spacing w:after="0" w:line="179" w:lineRule="exact"/>
              <w:rPr>
                <w:sz w:val="20"/>
                <w:szCs w:val="20"/>
                <w:color w:val="auto"/>
              </w:rPr>
            </w:pPr>
            <w:r>
              <w:rPr>
                <w:rFonts w:ascii="Times New Roman" w:cs="Times New Roman" w:eastAsia="Times New Roman" w:hAnsi="Times New Roman"/>
                <w:sz w:val="16"/>
                <w:szCs w:val="16"/>
                <w:color w:val="0000FF"/>
              </w:rPr>
              <w:t>in-Fact for David Clanachan</w:t>
            </w: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14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184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 Signature of Reporting Person</w:t>
            </w:r>
          </w:p>
        </w:tc>
        <w:tc>
          <w:tcPr>
            <w:tcW w:w="300" w:type="dxa"/>
            <w:vAlign w:val="bottom"/>
            <w:gridSpan w:val="2"/>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4"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55095" TargetMode="External"/><Relationship Id="rId14" Type="http://schemas.openxmlformats.org/officeDocument/2006/relationships/hyperlink" Target="http://www.sec.gov/cgi-bin/browse-edgar?action=getcompany&amp;CIK=00017313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2025-07-31T17:24:07Z</dcterms:created>
  <dcterms:modified xsi:type="dcterms:W3CDTF">2025-07-31T17:24:07Z</dcterms:modified>
</cp:coreProperties>
</file>