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Merton Carl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TILRAY BRANDS,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265 TALBOT STREET WEST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LEAMINGTON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A6</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N8H 4H3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CANADA (FEDERAL LEVEL)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Tilray Brands, Inc.</w:t>
              </w:r>
            </w:hyperlink>
            <w:r>
              <w:rPr/>
              <w:t xml:space="preserve"> [ </w:t>
            </w:r>
            <w:r>
              <w:rPr>
                <w:rFonts w:ascii="Times;serif" w:hAnsi="Times;serif"/>
                <w:color w:val="0000FF"/>
                <w:sz w:val="24"/>
                <w:shd w:fill="FFFFFF" w:val="clear"/>
              </w:rPr>
              <w:t>TLRY</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07/29/2026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64"/>
        <w:gridCol w:w="905"/>
        <w:gridCol w:w="774"/>
        <w:gridCol w:w="601"/>
        <w:gridCol w:w="348"/>
        <w:gridCol w:w="973"/>
        <w:gridCol w:w="454"/>
        <w:gridCol w:w="670"/>
        <w:gridCol w:w="1195"/>
        <w:gridCol w:w="997"/>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6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9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6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6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07/29/2026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60,417</w:t>
            </w:r>
            <w:r>
              <w:rPr>
                <w:rFonts w:ascii="Times;serif" w:hAnsi="Times;serif"/>
                <w:color w:val="008000"/>
                <w:position w:val="7"/>
                <w:sz w:val="16"/>
                <w:sz w:val="20"/>
                <w:shd w:fill="FFFFFF" w:val="clear"/>
              </w:rPr>
              <w:t>(1)</w:t>
            </w:r>
          </w:p>
        </w:tc>
        <w:tc>
          <w:tcPr>
            <w:tcW w:w="4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w:t>
            </w:r>
          </w:p>
        </w:tc>
        <w:tc>
          <w:tcPr>
            <w:tcW w:w="11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152,467</w:t>
            </w:r>
            <w:r>
              <w:rPr>
                <w:rFonts w:ascii="Times;serif" w:hAnsi="Times;serif"/>
                <w:color w:val="008000"/>
                <w:position w:val="7"/>
                <w:sz w:val="16"/>
                <w:sz w:val="20"/>
                <w:shd w:fill="FFFFFF" w:val="clear"/>
              </w:rPr>
              <w:t>(2)(3)</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6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07/29/2026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30,209</w:t>
            </w:r>
          </w:p>
        </w:tc>
        <w:tc>
          <w:tcPr>
            <w:tcW w:w="4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3.99</w:t>
            </w:r>
          </w:p>
        </w:tc>
        <w:tc>
          <w:tcPr>
            <w:tcW w:w="11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122,258</w:t>
            </w:r>
            <w:r>
              <w:rPr>
                <w:rFonts w:ascii="Times;serif" w:hAnsi="Times;serif"/>
                <w:color w:val="008000"/>
                <w:position w:val="7"/>
                <w:sz w:val="16"/>
                <w:sz w:val="20"/>
                <w:shd w:fill="FFFFFF" w:val="clear"/>
              </w:rPr>
              <w:t>(2)</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6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07/30/2026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16,656</w:t>
            </w:r>
            <w:r>
              <w:rPr>
                <w:rFonts w:ascii="Times;serif" w:hAnsi="Times;serif"/>
                <w:color w:val="008000"/>
                <w:position w:val="7"/>
                <w:sz w:val="16"/>
                <w:sz w:val="20"/>
                <w:shd w:fill="FFFFFF" w:val="clear"/>
              </w:rPr>
              <w:t>(1)</w:t>
            </w:r>
          </w:p>
        </w:tc>
        <w:tc>
          <w:tcPr>
            <w:tcW w:w="4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w:t>
            </w:r>
          </w:p>
        </w:tc>
        <w:tc>
          <w:tcPr>
            <w:tcW w:w="11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138,914</w:t>
            </w:r>
            <w:r>
              <w:rPr>
                <w:rFonts w:ascii="Times;serif" w:hAnsi="Times;serif"/>
                <w:color w:val="008000"/>
                <w:position w:val="7"/>
                <w:sz w:val="16"/>
                <w:sz w:val="20"/>
                <w:shd w:fill="FFFFFF" w:val="clear"/>
              </w:rPr>
              <w:t>(2)</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6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07/30/2026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9,161</w:t>
            </w:r>
          </w:p>
        </w:tc>
        <w:tc>
          <w:tcPr>
            <w:tcW w:w="4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4.2</w:t>
            </w:r>
          </w:p>
        </w:tc>
        <w:tc>
          <w:tcPr>
            <w:tcW w:w="119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129,753</w:t>
            </w:r>
            <w:r>
              <w:rPr>
                <w:rFonts w:ascii="Times;serif" w:hAnsi="Times;serif"/>
                <w:color w:val="008000"/>
                <w:position w:val="7"/>
                <w:sz w:val="16"/>
                <w:sz w:val="20"/>
                <w:shd w:fill="FFFFFF" w:val="clear"/>
              </w:rPr>
              <w:t>(2)</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85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816"/>
        <w:gridCol w:w="711"/>
        <w:gridCol w:w="906"/>
        <w:gridCol w:w="801"/>
        <w:gridCol w:w="891"/>
        <w:gridCol w:w="921"/>
        <w:gridCol w:w="801"/>
        <w:gridCol w:w="936"/>
        <w:gridCol w:w="831"/>
        <w:gridCol w:w="846"/>
      </w:tblGrid>
      <w:tr>
        <w:trPr>
          <w:tblHeader w:val="true"/>
        </w:trPr>
        <w:tc>
          <w:tcPr>
            <w:tcW w:w="1285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07/29/2026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60,417</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60,417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93,685</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07/29/2026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180,302</w:t>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180,302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281,901</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07/30/2026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16,656</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16,656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unit represents a contingent right to receive one (1) share of Tilray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Amount includes shares of Common Stock beneficially owned by the reporting person but excludes other unvested restricted stock unites ("RSUs").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Effective December 2, 2025, Tilray implemented a 1-for-10 reverse stock split (the "Reverse Stock Split") of its outstanding shares of Common Stock. All RSUs and listed securities amounts have been adjusted to reflect the Reverse Stock Split.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Subject to the reporting person's continuous employment through the vesting date, the LTIP RSUs shall vest in two (2) equal annual installments, commencing on July 29, 2026, and July 29, 2027, except in the case of the reporting person's earlier voluntary resignation, death or disability. In the event of a voluntary termination by the reporting person prior to the vesting date, all RSUs will be forfeited.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Subject to the reporting person's continued employment through the vesting date, the RSUs shall vest as follows: 50% on the 1-year anniversary of grant date, July 29, 2027 and the remaining 50% on the 2-year anniversary, July 29, 2028.</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Subject to the reporting person's continuous employment through the vesting date, the 2024 LTIP RSUs shall vest in two (2) equal annual installments, commencing on July 26, 2025, and July 26, 2026, except in the case of the reporting person's earlier voluntary resignation, death or disability. In the event of a voluntary resignation by the reporting person prior to the vesting date, all RSUs will be forfeited.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Carl Merton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07/31/2026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60546" TargetMode="External"/><Relationship Id="rId5" Type="http://schemas.openxmlformats.org/officeDocument/2006/relationships/hyperlink" Target="http://www.sec.gov/cgi-bin/browse-edgar?action=getcompany&amp;CIK=000173134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893</Words>
  <Characters>4772</Characters>
  <CharactersWithSpaces>5531</CharactersWithSpaces>
  <Paragraphs>163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