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680" w:right="1760" w:hanging="3672"/>
        <w:spacing w:after="0" w:line="391"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30, 2025</w:t>
      </w:r>
    </w:p>
    <w:p>
      <w:pPr>
        <w:spacing w:after="0" w:line="280" w:lineRule="exact"/>
        <w:rPr>
          <w:sz w:val="24"/>
          <w:szCs w:val="24"/>
          <w:color w:val="auto"/>
        </w:rPr>
      </w:pPr>
    </w:p>
    <w:p>
      <w:pPr>
        <w:ind w:left="4360" w:right="1740" w:hanging="4352"/>
        <w:spacing w:after="0" w:line="375" w:lineRule="auto"/>
        <w:tabs>
          <w:tab w:leader="none" w:pos="32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57"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149"/>
        </w:trPr>
        <w:tc>
          <w:tcPr>
            <w:tcW w:w="432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4320" w:type="dxa"/>
            <w:vAlign w:val="bottom"/>
          </w:tcPr>
          <w:p>
            <w:pPr>
              <w:jc w:val="center"/>
              <w:ind w:right="1859"/>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040" w:type="dxa"/>
            <w:vAlign w:val="bottom"/>
          </w:tcPr>
          <w:p>
            <w:pPr>
              <w:spacing w:after="0"/>
              <w:rPr>
                <w:sz w:val="18"/>
                <w:szCs w:val="18"/>
                <w:color w:val="auto"/>
              </w:rPr>
            </w:pPr>
          </w:p>
        </w:tc>
      </w:t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Leamington, ON</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39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2"/>
        </w:trPr>
        <w:tc>
          <w:tcPr>
            <w:tcW w:w="45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TLRY</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00" w:lineRule="exact"/>
        <w:rPr>
          <w:sz w:val="24"/>
          <w:szCs w:val="24"/>
          <w:color w:val="auto"/>
        </w:rPr>
      </w:pPr>
    </w:p>
    <w:p>
      <w:pPr>
        <w:jc w:val="both"/>
        <w:ind w:firstLine="45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2" w:lineRule="exact"/>
        <w:rPr>
          <w:sz w:val="24"/>
          <w:szCs w:val="24"/>
          <w:color w:val="auto"/>
        </w:rPr>
      </w:pPr>
    </w:p>
    <w:p>
      <w:pPr>
        <w:jc w:val="both"/>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 w:name="page2"/>
    <w:bookmarkEnd w:id="1"/>
    <w:p>
      <w:pPr>
        <w:jc w:val="both"/>
        <w:ind w:firstLine="45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25" w:lineRule="exact"/>
        <w:rPr>
          <w:sz w:val="20"/>
          <w:szCs w:val="20"/>
          <w:color w:val="auto"/>
        </w:rPr>
      </w:pPr>
    </w:p>
    <w:p>
      <w:pPr>
        <w:ind w:right="20"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0"/>
          <w:szCs w:val="20"/>
          <w:color w:val="auto"/>
        </w:rPr>
      </w:pPr>
    </w:p>
    <w:p>
      <w:pPr>
        <w:ind w:left="460"/>
        <w:spacing w:after="0" w:line="184" w:lineRule="exact"/>
        <w:tabs>
          <w:tab w:leader="none" w:pos="8000" w:val="left"/>
          <w:tab w:leader="none" w:pos="86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0"/>
          <w:szCs w:val="20"/>
          <w:color w:val="auto"/>
        </w:rPr>
      </w:pPr>
    </w:p>
    <w:p>
      <w:pPr>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January 6, 2026, the registrant had 116,506,916 shares of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8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40" w:type="dxa"/>
            <w:vAlign w:val="bottom"/>
            <w:gridSpan w:val="3"/>
            <w:vMerge w:val="restart"/>
          </w:tcPr>
          <w:p>
            <w:pPr>
              <w:spacing w:after="0"/>
              <w:rPr>
                <w:sz w:val="24"/>
                <w:szCs w:val="24"/>
                <w:color w:val="auto"/>
              </w:rPr>
            </w:pP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720" w:type="dxa"/>
            <w:vAlign w:val="bottom"/>
            <w:gridSpan w:val="10"/>
            <w:vMerge w:val="restart"/>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640" w:type="dxa"/>
            <w:vAlign w:val="bottom"/>
            <w:gridSpan w:val="2"/>
            <w:vMerge w:val="continue"/>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7720" w:type="dxa"/>
            <w:vAlign w:val="bottom"/>
            <w:gridSpan w:val="10"/>
            <w:vMerge w:val="continue"/>
          </w:tcPr>
          <w:p>
            <w:pPr>
              <w:spacing w:after="0"/>
              <w:rPr>
                <w:sz w:val="14"/>
                <w:szCs w:val="14"/>
                <w:color w:val="auto"/>
              </w:rPr>
            </w:pPr>
          </w:p>
        </w:tc>
        <w:tc>
          <w:tcPr>
            <w:tcW w:w="38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and Comprehensive Loss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(Unaudited)</w:t>
            </w:r>
          </w:p>
        </w:tc>
        <w:tc>
          <w:tcPr>
            <w:tcW w:w="4840" w:type="dxa"/>
            <w:vAlign w:val="bottom"/>
            <w:gridSpan w:val="3"/>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5540" w:type="dxa"/>
            <w:vAlign w:val="bottom"/>
            <w:gridSpan w:val="4"/>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Interim Consolidated 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44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20" w:type="dxa"/>
            <w:vAlign w:val="bottom"/>
            <w:tcBorders>
              <w:top w:val="single" w:sz="8" w:color="0000EE"/>
            </w:tcBorders>
            <w:gridSpan w:val="3"/>
          </w:tcPr>
          <w:p>
            <w:pPr>
              <w:spacing w:after="0"/>
              <w:rPr>
                <w:sz w:val="17"/>
                <w:szCs w:val="17"/>
                <w:color w:val="auto"/>
              </w:rPr>
            </w:pPr>
          </w:p>
        </w:tc>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8200" w:type="dxa"/>
            <w:vAlign w:val="bottom"/>
            <w:gridSpan w:val="12"/>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2"/>
          </w:tcPr>
          <w:p>
            <w:pPr>
              <w:spacing w:after="0"/>
              <w:rPr>
                <w:sz w:val="17"/>
                <w:szCs w:val="17"/>
                <w:color w:val="auto"/>
              </w:rPr>
            </w:pPr>
          </w:p>
        </w:tc>
        <w:tc>
          <w:tcPr>
            <w:tcW w:w="810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62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3"/>
          </w:tcPr>
          <w:p>
            <w:pPr>
              <w:spacing w:after="0"/>
              <w:rPr>
                <w:sz w:val="17"/>
                <w:szCs w:val="17"/>
                <w:color w:val="auto"/>
              </w:rPr>
            </w:pPr>
          </w:p>
        </w:tc>
        <w:tc>
          <w:tcPr>
            <w:tcW w:w="76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360" w:type="dxa"/>
            <w:vAlign w:val="bottom"/>
            <w:gridSpan w:val="4"/>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66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for the fiscal quarter ended November 30, 2025 (the “Form 10-Q”) contains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Such statements involve risks, uncertainties and assumptions. If the risks or uncertainties ever materialize or the assumptions prove incorrect, our results may differ materially from those expressed or implied by such forward-looking statements under the Canadian securities laws and within the meaning of Section 27A of the Securities Act of 1933, as amended, and Section 21E of the Securities Exchange Act of 1934, as amended, that are intended to be subject to the “safe harbor” created</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by those sections and other applicable laws. The words “anticipate,” “believe,” “continue,” “could,” “estimate,” “expect,” “intend,” “may,” “might,” “plan,” “project,” “will,” “would,” “seek,” or “should,” or the negative or plural of these words or similar expressions or variations are intended to identify such forward-looking statements. Forward-looking statements include, among other things, our beliefs or expectations relating to our future performance, results of operations and financial condition; our intentions regarding our cost savings initiatives; our strategic initiatives, business strategy, supply chain, brand portfolio, product performance and expansion efforts; our intentions regarding the use of net proceeds from our ATM Program; our intentions regarding our capital structure and TLRY 27 Notes; current or future macroeconomic trends; industry trends; or legislative or regulatory changes; our statements regarding the consolidation of the Canadian cannabis industry; our expectations for our positioning and cannabis market share in Europe and other markets; future corporate acquisitions and strategic transactions; and our synergies, cash savings and efficiencies anticipated from the integration of our completed acquisitions and strategic transactions.</w:t>
      </w:r>
    </w:p>
    <w:p>
      <w:pPr>
        <w:spacing w:after="0" w:line="200" w:lineRule="exact"/>
        <w:rPr>
          <w:sz w:val="20"/>
          <w:szCs w:val="20"/>
          <w:color w:val="auto"/>
        </w:rPr>
      </w:pPr>
    </w:p>
    <w:p>
      <w:pPr>
        <w:spacing w:after="0" w:line="20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forward-looking statements include, but are not limited to, those identified in this Form 10-Q and other risks and matters described in our most recent Annual Report on Form 10-K for the fiscal year ended May 31, 2025 as well as our other filings made from time to time with the U.S. Securities and Exchange Commission and in our Canadian securities filings.</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forward-looking statements to reflect actual results or changes in assumptions or circumstances,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TILRAY BRANDS, INC.</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Financial Position</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of United States dollars, 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246,703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221,666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34,697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109,071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121,489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283,198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270,882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34,092</w:t>
            </w:r>
          </w:p>
        </w:tc>
        <w:tc>
          <w:tcPr>
            <w:tcW w:w="0" w:type="dxa"/>
            <w:vAlign w:val="bottom"/>
          </w:tcPr>
          <w:p>
            <w:pPr>
              <w:spacing w:after="0"/>
              <w:rPr>
                <w:sz w:val="1"/>
                <w:szCs w:val="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729,317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550,101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568,433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22,279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21,423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752,350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752,350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10,132</w:t>
            </w:r>
          </w:p>
        </w:tc>
        <w:tc>
          <w:tcPr>
            <w:tcW w:w="0" w:type="dxa"/>
            <w:vAlign w:val="bottom"/>
          </w:tcPr>
          <w:p>
            <w:pPr>
              <w:spacing w:after="0"/>
              <w:rPr>
                <w:sz w:val="1"/>
                <w:szCs w:val="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11,084</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2,098,599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2,074,327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indebtedness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226,422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235,322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14,767</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61,742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64,925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138,739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148,493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86,428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552,090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(refer to Note 19)</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1,416,000,000 common shares authorized; 116,522,600 and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line="235" w:lineRule="exact"/>
              <w:rPr>
                <w:sz w:val="20"/>
                <w:szCs w:val="20"/>
                <w:color w:val="auto"/>
              </w:rPr>
            </w:pPr>
            <w:r>
              <w:rPr>
                <w:rFonts w:ascii="Times New Roman" w:cs="Times New Roman" w:eastAsia="Times New Roman" w:hAnsi="Times New Roman"/>
                <w:sz w:val="17"/>
                <w:szCs w:val="17"/>
                <w:color w:val="auto"/>
              </w:rPr>
              <w:t>106,067,875 common shares issued and outstanding, respectively)</w:t>
            </w:r>
            <w:r>
              <w:rPr>
                <w:rFonts w:ascii="Times New Roman" w:cs="Times New Roman" w:eastAsia="Times New Roman" w:hAnsi="Times New Roman"/>
                <w:sz w:val="27"/>
                <w:szCs w:val="27"/>
                <w:color w:val="auto"/>
                <w:vertAlign w:val="superscript"/>
              </w:rPr>
              <w:t>1</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Treasury Stock (321,391 and 200,422 treasury shares issued and outstanding, respectively)</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10,000,000 preferred shares authorized; nil and nil preferred shares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6,511,483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6,401,657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(43,063)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(4,892,479)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(4,847,226)</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Tilray Brands, Inc. stockholders' equity</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1,579,827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(21,899)</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1,546,509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1,489,575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2,098,599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2,074,327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Current and prior year share amounts have been retrospectively adjusted to reflect the Reverse Stock Split (as defined below), which became effective on December 2, 2025. See Note 1 for details.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and per share data,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9"/>
        </w:trPr>
        <w:tc>
          <w:tcPr>
            <w:tcW w:w="5980" w:type="dxa"/>
            <w:vAlign w:val="bottom"/>
          </w:tcPr>
          <w:p>
            <w:pPr>
              <w:spacing w:after="0"/>
              <w:rPr>
                <w:sz w:val="19"/>
                <w:szCs w:val="19"/>
                <w:color w:val="auto"/>
              </w:rPr>
            </w:pPr>
          </w:p>
        </w:tc>
        <w:tc>
          <w:tcPr>
            <w:tcW w:w="138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410,994</w:t>
            </w: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160,010</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149,730</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312,042</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290,068</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51,175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92,228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90,110</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11,781</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16,162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24,704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27,852</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4,358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22,927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44,731</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9,981</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9,720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20,136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21,286</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2,496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6,869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11,116</w:t>
            </w: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1,958</w:t>
            </w: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79,776</w:t>
            </w:r>
          </w:p>
        </w:tc>
        <w:tc>
          <w:tcPr>
            <w:tcW w:w="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103,438</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135,153</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199,714</w:t>
            </w:r>
          </w:p>
        </w:tc>
        <w:tc>
          <w:tcPr>
            <w:tcW w:w="100" w:type="dxa"/>
            <w:vAlign w:val="bottom"/>
            <w:tcBorders>
              <w:bottom w:val="single" w:sz="8" w:color="CCEEFF"/>
            </w:tcBorders>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(5,374)</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(7,766)</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(12,070)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(17,608)</w:t>
            </w: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(12,310)</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(33,255)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(8,478)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(20,609)</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(39,963)</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(83,239)</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(117,005)</w:t>
            </w: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(recovery), net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3,546</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2,036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2,922</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(43,509</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(85,275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(119,927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net income (loss) attributable to:</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(44,931)</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(85,342)</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(45,253)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(124,507)</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1,422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4,580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4,464</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(8,966)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4,276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(39,045</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(94,241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(124,733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comprehensive income (loss) attributable to:</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(40,994)</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(93,422)</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(41,483)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(128,965)</w:t>
            </w: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1,949</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3,763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4,232</w:t>
            </w:r>
          </w:p>
        </w:tc>
      </w:tr>
      <w:tr>
        <w:trPr>
          <w:trHeight w:val="209"/>
        </w:trPr>
        <w:tc>
          <w:tcPr>
            <w:tcW w:w="598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Weighted average number of common shares - basic</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110,343,368</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86,497,456</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108,173,486</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83,740,894</w:t>
            </w: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Weighted average number of common shares - diluted</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110,343,368</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86,497,456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108,173,486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83,740,894</w:t>
            </w:r>
          </w:p>
        </w:tc>
      </w:tr>
      <w:tr>
        <w:trPr>
          <w:trHeight w:val="210"/>
        </w:trPr>
        <w:tc>
          <w:tcPr>
            <w:tcW w:w="598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Net loss per share - basic</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60" w:type="dxa"/>
            <w:vAlign w:val="bottom"/>
          </w:tcPr>
          <w:p>
            <w:pPr>
              <w:spacing w:after="0"/>
              <w:rPr>
                <w:sz w:val="18"/>
                <w:szCs w:val="18"/>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Net loss per share - diluted</w:t>
            </w:r>
            <w:r>
              <w:rPr>
                <w:rFonts w:ascii="Times New Roman" w:cs="Times New Roman" w:eastAsia="Times New Roman" w:hAnsi="Times New Roman"/>
                <w:sz w:val="28"/>
                <w:szCs w:val="28"/>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(0.41)</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(0.99)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(0.42)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Current and prior year share and amounts have been retrospectively adjusted to reflect the Reverse Stock Split, which became effective on December 2,</w:t>
      </w:r>
    </w:p>
    <w:p>
      <w:pPr>
        <w:spacing w:after="0"/>
        <w:rPr>
          <w:sz w:val="20"/>
          <w:szCs w:val="20"/>
          <w:color w:val="auto"/>
        </w:rPr>
      </w:pPr>
      <w:r>
        <w:rPr>
          <w:rFonts w:ascii="Times New Roman" w:cs="Times New Roman" w:eastAsia="Times New Roman" w:hAnsi="Times New Roman"/>
          <w:sz w:val="18"/>
          <w:szCs w:val="18"/>
          <w:color w:val="auto"/>
        </w:rPr>
        <w:t>2025. See Note 1 for details.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data,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00" w:type="dxa"/>
            <w:vAlign w:val="bottom"/>
          </w:tcPr>
          <w:p>
            <w:pPr>
              <w:spacing w:after="0"/>
              <w:rPr>
                <w:sz w:val="17"/>
                <w:szCs w:val="17"/>
                <w:color w:val="auto"/>
              </w:rPr>
            </w:pPr>
          </w:p>
        </w:tc>
        <w:tc>
          <w:tcPr>
            <w:tcW w:w="98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Non-</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8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8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2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1020" w:type="dxa"/>
            <w:vAlign w:val="bottom"/>
            <w:gridSpan w:val="2"/>
          </w:tcPr>
          <w:p>
            <w:pPr>
              <w:jc w:val="center"/>
              <w:ind w:right="120"/>
              <w:spacing w:after="0" w:line="222" w:lineRule="exact"/>
              <w:rPr>
                <w:sz w:val="20"/>
                <w:szCs w:val="20"/>
                <w:color w:val="auto"/>
              </w:rPr>
            </w:pPr>
            <w:r>
              <w:rPr>
                <w:rFonts w:ascii="Times New Roman" w:cs="Times New Roman" w:eastAsia="Times New Roman" w:hAnsi="Times New Roman"/>
                <w:sz w:val="16"/>
                <w:szCs w:val="16"/>
                <w:b w:val="1"/>
                <w:bCs w:val="1"/>
                <w:color w:val="auto"/>
                <w:w w:val="96"/>
              </w:rPr>
              <w:t>shares</w:t>
            </w:r>
            <w:r>
              <w:rPr>
                <w:rFonts w:ascii="Times New Roman" w:cs="Times New Roman" w:eastAsia="Times New Roman" w:hAnsi="Times New Roman"/>
                <w:sz w:val="25"/>
                <w:szCs w:val="25"/>
                <w:b w:val="1"/>
                <w:bCs w:val="1"/>
                <w:color w:val="auto"/>
                <w:w w:val="96"/>
                <w:vertAlign w:val="superscript"/>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80" w:type="dxa"/>
            <w:vAlign w:val="bottom"/>
            <w:gridSpan w:val="2"/>
          </w:tcPr>
          <w:p>
            <w:pPr>
              <w:jc w:val="center"/>
              <w:ind w:right="59"/>
              <w:spacing w:after="0" w:line="222" w:lineRule="exact"/>
              <w:rPr>
                <w:sz w:val="20"/>
                <w:szCs w:val="20"/>
                <w:color w:val="auto"/>
              </w:rPr>
            </w:pPr>
            <w:r>
              <w:rPr>
                <w:rFonts w:ascii="Times New Roman" w:cs="Times New Roman" w:eastAsia="Times New Roman" w:hAnsi="Times New Roman"/>
                <w:sz w:val="16"/>
                <w:szCs w:val="16"/>
                <w:b w:val="1"/>
                <w:bCs w:val="1"/>
                <w:color w:val="auto"/>
                <w:w w:val="96"/>
              </w:rPr>
              <w:t>shares</w:t>
            </w:r>
            <w:r>
              <w:rPr>
                <w:rFonts w:ascii="Times New Roman" w:cs="Times New Roman" w:eastAsia="Times New Roman" w:hAnsi="Times New Roman"/>
                <w:sz w:val="25"/>
                <w:szCs w:val="25"/>
                <w:b w:val="1"/>
                <w:bCs w:val="1"/>
                <w:color w:val="auto"/>
                <w:w w:val="96"/>
                <w:vertAlign w:val="superscript"/>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9"/>
                <w:szCs w:val="19"/>
                <w:color w:val="auto"/>
              </w:rPr>
            </w:pPr>
          </w:p>
        </w:tc>
        <w:tc>
          <w:tcPr>
            <w:tcW w:w="98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9"/>
                <w:szCs w:val="19"/>
                <w:color w:val="auto"/>
              </w:rPr>
            </w:pPr>
          </w:p>
        </w:tc>
        <w:tc>
          <w:tcPr>
            <w:tcW w:w="9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May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83,192,537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$ 6,146,810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(2,660,488</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$ 3,443,178</w:t>
            </w:r>
          </w:p>
        </w:tc>
        <w:tc>
          <w:tcPr>
            <w:tcW w:w="10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3,669,331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66,468</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682,314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options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effectively</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repurchased for employee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(2,661)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(2,661)</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6,917</w:t>
            </w:r>
          </w:p>
        </w:tc>
        <w:tc>
          <w:tcPr>
            <w:tcW w:w="20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(39,165)</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(30,492)</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w:t>
            </w:r>
          </w:p>
        </w:tc>
        <w:tc>
          <w:tcPr>
            <w:tcW w:w="2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at August 31,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87,544,483</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$ 6,217,533</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(39,877</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(2,699,653</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5,323</w:t>
            </w:r>
          </w:p>
        </w:tc>
        <w:tc>
          <w:tcPr>
            <w:tcW w:w="2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$ 3,483,414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3,051,756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45,041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Repurchase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of TLRY 27 convertible note</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1,003,464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17,084</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equity component of</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TLRY 27 convertible note</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(4,931)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(4,931)</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Double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Diamond Holdings dividend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settlement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1,321,759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23,823</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(23,824)</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options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7,237</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 for the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(8,080)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(85,342)</w:t>
            </w:r>
          </w:p>
        </w:tc>
        <w:tc>
          <w:tcPr>
            <w:tcW w:w="80" w:type="dxa"/>
            <w:vAlign w:val="bottom"/>
          </w:tcPr>
          <w:p>
            <w:pPr>
              <w:spacing w:after="0"/>
              <w:rPr>
                <w:sz w:val="16"/>
                <w:szCs w:val="16"/>
                <w:color w:val="auto"/>
              </w:rPr>
            </w:pPr>
          </w:p>
        </w:tc>
        <w:tc>
          <w:tcPr>
            <w:tcW w:w="9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(819)</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(94,241)</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November 30,</w:t>
            </w: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00" w:type="dxa"/>
            <w:vAlign w:val="bottom"/>
            <w:vMerge w:val="continue"/>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92,925,795</w:t>
            </w:r>
          </w:p>
        </w:tc>
        <w:tc>
          <w:tcPr>
            <w:tcW w:w="120" w:type="dxa"/>
            <w:vAlign w:val="bottom"/>
            <w:vMerge w:val="restart"/>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(368,261)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6,305,787</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(2,784,995)</w:t>
            </w:r>
          </w:p>
        </w:tc>
        <w:tc>
          <w:tcPr>
            <w:tcW w:w="8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(19,320)</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3,453,608</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90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May 31,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106,067,875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$ 6,401,657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(4,847,226</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(21,899</w:t>
            </w:r>
          </w:p>
        </w:tc>
        <w:tc>
          <w:tcPr>
            <w:tcW w:w="240" w:type="dxa"/>
            <w:vAlign w:val="bottom"/>
            <w:tcBorders>
              <w:bottom w:val="single" w:sz="8" w:color="CCEEFF"/>
              <w:right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$ 1,489,575</w:t>
            </w:r>
          </w:p>
        </w:tc>
        <w:tc>
          <w:tcPr>
            <w:tcW w:w="100" w:type="dxa"/>
            <w:vAlign w:val="bottom"/>
            <w:tcBorders>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3,444,380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22,488</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Repurchase</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TLRY 27 convertible note</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1,259,182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4,799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Settlement</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of equity component of</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TLRY 27 convertible note</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(1,158)</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(1,158)</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1,057,680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Shares effectively</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repurchased for employee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(1,427)</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(1,427)</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5,052</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August 31, 2025</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111,829,117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(321,391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$ 6,431,410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(4,847,548</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(20,085</w:t>
            </w:r>
          </w:p>
        </w:tc>
        <w:tc>
          <w:tcPr>
            <w:tcW w:w="240" w:type="dxa"/>
            <w:vAlign w:val="bottom"/>
            <w:tcBorders>
              <w:top w:val="single" w:sz="8" w:color="CCEEFF"/>
              <w:bottom w:val="single" w:sz="8" w:color="CCEEFF"/>
              <w:right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$ 1,520,658</w:t>
            </w:r>
          </w:p>
        </w:tc>
        <w:tc>
          <w:tcPr>
            <w:tcW w:w="10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Share issuance - At-the-</w:t>
            </w: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Market (“ATM”) program</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3,332,844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50,562</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 net of</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cancellations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(121,968)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Warrant</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620,900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6,954</w:t>
            </w:r>
          </w:p>
        </w:tc>
        <w:tc>
          <w:tcPr>
            <w:tcW w:w="2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Double</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Diamond Holdings dividend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861,707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14,821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(15,182)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7,736</w:t>
            </w:r>
          </w:p>
        </w:tc>
        <w:tc>
          <w:tcPr>
            <w:tcW w:w="20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(44,931)</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(39,045)</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2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November 30,</w:t>
            </w: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0" w:type="dxa"/>
            <w:vAlign w:val="bottom"/>
            <w:vMerge w:val="continue"/>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116,522,600</w:t>
            </w:r>
          </w:p>
        </w:tc>
        <w:tc>
          <w:tcPr>
            <w:tcW w:w="120" w:type="dxa"/>
            <w:vAlign w:val="bottom"/>
            <w:vMerge w:val="restart"/>
          </w:tcPr>
          <w:p>
            <w:pPr>
              <w:spacing w:after="0"/>
              <w:rPr>
                <w:sz w:val="14"/>
                <w:szCs w:val="14"/>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116</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(321,391)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$ 6,511,483</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(39,293)</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(4,892,479)</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(33,318)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$ 1,546,509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9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19" w:right="339" w:bottom="163"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Current and prior year share amounts have been retrospectively adjusted to reflect the Reverse Stock Split, which became effective on December 2, 2025.</w:t>
      </w:r>
    </w:p>
    <w:p>
      <w:pPr>
        <w:spacing w:after="0"/>
        <w:rPr>
          <w:sz w:val="20"/>
          <w:szCs w:val="20"/>
          <w:color w:val="auto"/>
        </w:rPr>
      </w:pPr>
      <w:r>
        <w:rPr>
          <w:rFonts w:ascii="Times New Roman" w:cs="Times New Roman" w:eastAsia="Times New Roman" w:hAnsi="Times New Roman"/>
          <w:sz w:val="18"/>
          <w:szCs w:val="18"/>
          <w:color w:val="auto"/>
        </w:rPr>
        <w:t>See Note 1 for details.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(119,927)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(recovery) expense,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gain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65,864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convertible debt discount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digital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non-cash items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long-term investments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derivative instruments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 in non-cash working capital:</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(9,051)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(13,046)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(24,828)</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(76,031)</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investing activities: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capital and intangible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(12,172)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capital and intangible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digital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 net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(30,369)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long-term investments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(18,210)</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(60,120)</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capital issued, net of cash issuance costs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111,517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warrants exercised</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(10,388)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bank indebtedness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foreign exchange on cash and cash equivalents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(1,284)</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228,340</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246,703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reflect the accounts of the Company for the quarterly period ended November 30, 2025 (the “Financial Statements”). The Financial Statements were prepared in accordance with generally accepted accounting principles in the United States of America (“U.S. GAAP”) for interim financial information and pursuant to the rules and regulations of the United States Securities and Exchange Commission (“SEC”) for interim financial information. Accordingly, they do not include all of the information and notes required by U.S. GAAP and should be read in conjunction with the audited consolidated financial statements (the “Annual Financial Statements”) included in the Company’s Annual Report on Form 10-K for the fiscal year ended May 31, 2025 (the “Annual Report”). These Financial Statements reflect all adjustments, which, in the opinion of management, are necessary for a fair presentation of the results for the interim periods presented. Interim results are not necessarily indicative of results for the full fiscal year.</w:t>
      </w:r>
    </w:p>
    <w:p>
      <w:pPr>
        <w:spacing w:after="0" w:line="19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on a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All amounts in the Financial Statements, and the accompanying notes and tables have been rounded to the nearest thousand, except par values and per share amounts, and unless otherwise indicated.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Subsidiaries are entities controlled by the Company. Control exists when the Company either has a controlling voting interest or is the primary beneficiary of a variable interest entity. The financial statements of all subsidiaries are included in the Financial Statements from the date that control commences until the date that control ceases. All intercompany balances and transactions have been eliminated on consolidation. A complete list of our subsidiaries that existed as of our most recent fiscal year end is included in the Annual Report.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Effective December 2, 2025, the Company implemented a reverse stock split of its outstanding shares of Common Stock, at a ratio of one-for-ten (the “Reverse Stock Split”).</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 fractional shares were issued in connection with the Reverse Stock Split. Fractional shares resulting from the Reverse Stock Split were rounded down to the nearest whole share and stockholders received cash in lieu of any fractional shares that were created by the Reverse Stock Split. Each stockholder's percentage ownership interest in the Company and proportional voting power remained unchanged as a result of the Reverse Stock Split, except for adjustments that resulted from rounding fractional shares down to whole shares.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issued and outstanding Common Stock, per share amounts, and outstanding equity instruments and awards exercisable into Common Stock contained in the condensed interim consolidated financial statements of the Company and notes thereto have been retroactively adjusted to reflect the Reverse Stock Split for all prior periods presented.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Basic earnings (loss) per share is computed by dividing reported net loss attributable to stockholders of Tilray Brands, Inc. by the weighted average number of common shares outstanding during the period. Diluted earnings (loss) per share is computed by dividing reported net loss attributable to stockholders of Tilray Brands, Inc.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 Shares of Common Stock outstanding under the share lending arrangement entered into in conjunction with the TLRY 27 Notes, see Note 12 (Convertible debentures payable) are excluded from the calculation of basic and diluted earnings per share because the borrower of the shares is required under the share lending arrangement to refund any dividends paid on the shares lent.</w:t>
      </w:r>
    </w:p>
    <w:p>
      <w:pPr>
        <w:spacing w:after="0" w:line="192"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In computing diluted earnings (loss) per share, common share equivalents are not considered in periods in which a net loss attributable to Tilray shareholders is reported, as the inclusion of the common share equivalents would be anti-dilutive. For the three months ended November 30, 2025 and November 30, 2024, the dilutive potential common share equivalents outstanding consisted of the following: 7,734,265.and 2,336,535 common shares from RSUs, 303,203 and 306,032 common shares from share options, nil and 620,900 common shares for warrants and 3,766,478 and 5,875,706 common shares for convertible debentures, respectively. Current and prior year share amounts have been retrospectively adjusted to reflect the Reverse Stock Split, which became effective on December 2, 2025.</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August 2023, the Financial Accounting Standards Board (“FASB”) issued Accounting Standards Update (“ASU”) 2023-05, Business Combination - Joint Venture Formations (Subtopic 805-60) Recognition and Initial Measurement (“ASU 2023-05”), which is intended to address the accounting for contributions made to a joint venture. ASU 2023-05 is effective for the Company beginning June 1, 2026. This update will be applied prospectively and the Company is currently evaluating the effect of adopting this ASU.</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which amends the disclosure or presentation requirements related to various subtopics in the FASB Accounting Standards Codification (the “Codification”). 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Codification and will not become effective for any entity. The Company is currently evaluating the effect of adopting this ASU.</w:t>
      </w:r>
    </w:p>
    <w:p>
      <w:pPr>
        <w:sectPr>
          <w:pgSz w:w="11900" w:h="16838" w:orient="portrait"/>
          <w:cols w:equalWidth="0" w:num="1">
            <w:col w:w="11240"/>
          </w:cols>
          <w:pgMar w:left="320" w:top="576" w:right="339" w:bottom="0" w:gutter="0" w:footer="0" w:header="0"/>
        </w:sectPr>
      </w:pPr>
    </w:p>
    <w:bookmarkStart w:id="10" w:name="page11"/>
    <w:bookmarkEnd w:id="10"/>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to disclose specific categories in the rate reconciliation and provide additional information for reconciling items that meet a quantitative threshold on an annual basis. ASU 2023-09 is effective for the Company beginning with its fiscal year ended May 31, 2026 and will be disclosed in the Financial Statements reported in our Annual Report on Form 10-K filed with the SEC for such period. The Company is in the process of evaluating the impact of the financial statement disclosure requirement.</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disaggregated disclosure of income statement expenses for public business entities. ASU 2024-03 is effective for the Company beginning fiscal year ended May 31, 2028 and will be disclosed in the Annual Report on Form 10-K. The Company is currently evaluating the effect of adopting this ASU.</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New accounting pronouncements recently adopted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2024-04, Debt with Conversion and Other Options (Subtopic 470-20): Induced Conversions of Convertible Debt Instruments, which seeks to clarify the requirements for determining whether certain settlements of convertible debt instruments should be accounted for as an induced conversion. The Company adopted ASU 2024-04 beginning June 1, 2025, however, it did not have any impact on our unaudited interim consolidated financial statements.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Digital Assets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FASB issued ASU 2023-08, Intangibles—Goodwill and Other—Crypto Assets (Subtopic 350-60): Accounting for and Disclosure of Crypto Assets. ASU 2023-08 requires certain crypto assets to be measured at fair value separately on the balance sheet with gains and losses from changes in the fair value reported as unrealized gains or losses in the consolidated statement of income (loss) and comprehensive income (loss) each reporting period. ASU 2023-08 also enhances the other intangible asset disclosure requirements by requiring the name, cost basis, fair value, and number of units for each significant crypto asset holding. In conjunction with the acquisition of digital assets during the fiscal quarter ended August 31, 2025, the Company adopted and applied ASU-2023-08 henceforth.</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digital assets are initially recorded at cost, and are subsequently measured at fair value as of each reporting period. The Company determines the fair value of its digital assets in accordance with ASC 820, Fair Value Measurement, based on quoted prices in its principal market for Bitcoin (Level 1). Changes in fair value are recognized as incurred in the Company's consolidated statement of income (loss) and comprehensive income (loss), as “Unrealized (gain) loss on digital assets,” within non-operating (income) and expenses, net.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Inventory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inventory</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63,965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Cannabis plants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24,045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Dried cannabis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103,507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Cannabis derivatives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vapes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Packaging and other inventory items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inventory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38,735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Wellness inventory</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283,198</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270,882</w:t>
            </w:r>
          </w:p>
        </w:tc>
      </w:tr>
      <w:tr>
        <w:trPr>
          <w:trHeight w:val="656"/>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3. Capital assets</w:t>
            </w: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assets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44,529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407,650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280,585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20,415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40,308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812,438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804,728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(262,337)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(236,295)</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550,101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568,433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Assets held for sale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facilities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5,800</w:t>
            </w:r>
          </w:p>
        </w:tc>
      </w:tr>
      <w:tr>
        <w:trPr>
          <w:trHeight w:val="20"/>
        </w:trPr>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November 30, 2025, the Company classified the Fort Collins, CO partially vacant warehouse facility from its Cannabis reporting segment as held for sale. During the three months ended November 30, 2025, the Company recorded a reduction in fair value of $1,800 for the Fort Collins, CO asset group in the consolidated statement of loss and comprehensive loss. Subsequent to the period ended November 30, 2025, the Company completed the sale of the Fort Collins asset group.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 w:name="page13"/>
    <w:bookmarkEnd w:id="12"/>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Leases</w:t>
            </w:r>
          </w:p>
        </w:tc>
        <w:tc>
          <w:tcPr>
            <w:tcW w:w="1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296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Classification on Balance Sheet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22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Capital assets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39,406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40,308</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960" w:type="dxa"/>
            <w:vAlign w:val="bottom"/>
            <w:tcBorders>
              <w:bottom w:val="single" w:sz="8" w:color="CCEEFF"/>
            </w:tcBorders>
            <w:gridSpan w:val="4"/>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right-of-use assets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59,208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62,587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2960" w:type="dxa"/>
            <w:vAlign w:val="bottom"/>
            <w:gridSpan w:val="4"/>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Current portion of lease liabilities</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96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9"/>
              </w:rPr>
              <w:t>Current portion of lease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2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rPr>
              <w:t>Lease liabilities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44,295</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20" w:type="dxa"/>
            <w:vAlign w:val="bottom"/>
            <w:tcBorders>
              <w:bottom w:val="single" w:sz="8" w:color="CCEEFF"/>
            </w:tcBorders>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Lease liabilities</w:t>
            </w:r>
          </w:p>
        </w:tc>
        <w:tc>
          <w:tcPr>
            <w:tcW w:w="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40" w:type="dxa"/>
            <w:vAlign w:val="bottom"/>
            <w:gridSpan w:val="14"/>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future undiscounted payments associated with lease liabilities as of November 30, 2025: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leases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5"/>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six months)</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4,373</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30,512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82,491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(37,266)</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Obligations recognized</w:t>
            </w:r>
          </w:p>
        </w:tc>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consisted of the following items:</w:t>
            </w: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Intellectual</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property,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80" w:type="dxa"/>
            <w:vAlign w:val="bottom"/>
          </w:tcPr>
          <w:p>
            <w:pPr>
              <w:spacing w:after="0"/>
              <w:rPr>
                <w:sz w:val="18"/>
                <w:szCs w:val="18"/>
                <w:color w:val="auto"/>
              </w:rPr>
            </w:pPr>
          </w:p>
        </w:tc>
        <w:tc>
          <w:tcPr>
            <w:tcW w:w="11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Licenses,</w:t>
            </w:r>
          </w:p>
        </w:tc>
        <w:tc>
          <w:tcPr>
            <w:tcW w:w="140" w:type="dxa"/>
            <w:vAlign w:val="bottom"/>
          </w:tcPr>
          <w:p>
            <w:pPr>
              <w:spacing w:after="0"/>
              <w:rPr>
                <w:sz w:val="18"/>
                <w:szCs w:val="18"/>
                <w:color w:val="auto"/>
              </w:rPr>
            </w:pPr>
          </w:p>
        </w:tc>
        <w:tc>
          <w:tcPr>
            <w:tcW w:w="13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trademarks,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&amp; distribution</w:t>
            </w:r>
          </w:p>
        </w:tc>
        <w:tc>
          <w:tcPr>
            <w:tcW w:w="80" w:type="dxa"/>
            <w:vAlign w:val="bottom"/>
          </w:tcPr>
          <w:p>
            <w:pPr>
              <w:spacing w:after="0"/>
              <w:rPr>
                <w:sz w:val="18"/>
                <w:szCs w:val="18"/>
                <w:color w:val="auto"/>
              </w:rPr>
            </w:pPr>
          </w:p>
        </w:tc>
        <w:tc>
          <w:tcPr>
            <w:tcW w:w="11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permits &amp;</w:t>
            </w:r>
          </w:p>
        </w:tc>
        <w:tc>
          <w:tcPr>
            <w:tcW w:w="140" w:type="dxa"/>
            <w:vAlign w:val="bottom"/>
          </w:tcPr>
          <w:p>
            <w:pPr>
              <w:spacing w:after="0"/>
              <w:rPr>
                <w:sz w:val="18"/>
                <w:szCs w:val="18"/>
                <w:color w:val="auto"/>
              </w:rPr>
            </w:pPr>
          </w:p>
        </w:tc>
        <w:tc>
          <w:tcPr>
            <w:tcW w:w="13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knowhow &amp;</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channel</w:t>
            </w:r>
          </w:p>
        </w:tc>
        <w:tc>
          <w:tcPr>
            <w:tcW w:w="80" w:type="dxa"/>
            <w:vAlign w:val="bottom"/>
          </w:tcPr>
          <w:p>
            <w:pPr>
              <w:spacing w:after="0"/>
              <w:rPr>
                <w:sz w:val="19"/>
                <w:szCs w:val="19"/>
                <w:color w:val="auto"/>
              </w:rPr>
            </w:pPr>
          </w:p>
        </w:tc>
        <w:tc>
          <w:tcPr>
            <w:tcW w:w="11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applications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brands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5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1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w w:val="98"/>
              </w:rPr>
              <w:t>(7,245)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(3,863)</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(11,208)</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November 30, 2025, the Company also has the following intangible assets which have been fully impaired; $444,208 of customer relationships and distribution channels, $367,022 of licenses, permits and applications, and $452,530 of intellectual property, trademarks, know-how and brands.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Intellectual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property,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relationships</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trademarks,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&amp; distribution</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permits &amp;</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Non-compete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knowhow &amp;</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channel</w:t>
            </w: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applications</w:t>
            </w:r>
          </w:p>
        </w:tc>
        <w:tc>
          <w:tcPr>
            <w:tcW w:w="1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brands</w:t>
            </w:r>
          </w:p>
        </w:tc>
        <w:tc>
          <w:tcPr>
            <w:tcW w:w="180" w:type="dxa"/>
            <w:vAlign w:val="bottom"/>
          </w:tcPr>
          <w:p>
            <w:pPr>
              <w:spacing w:after="0"/>
              <w:rPr>
                <w:sz w:val="19"/>
                <w:szCs w:val="19"/>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6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(166,032)</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(155,084)</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(343,258)</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(444,208)</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(367,022)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(452,530)</w:t>
            </w:r>
          </w:p>
        </w:tc>
        <w:tc>
          <w:tcPr>
            <w:tcW w:w="1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(1,263,760)</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Licenses, permits &amp; applications are predominantly comprised of multi-period sponsorship rights.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as of</w:t>
            </w:r>
          </w:p>
        </w:tc>
        <w:tc>
          <w:tcPr>
            <w:tcW w:w="4740" w:type="dxa"/>
            <w:vAlign w:val="bottom"/>
            <w:gridSpan w:val="2"/>
          </w:tcPr>
          <w:p>
            <w:pPr>
              <w:jc w:val="right"/>
              <w:ind w:right="2170"/>
              <w:spacing w:after="0"/>
              <w:rPr>
                <w:sz w:val="20"/>
                <w:szCs w:val="20"/>
                <w:color w:val="auto"/>
              </w:rPr>
            </w:pPr>
            <w:r>
              <w:rPr>
                <w:rFonts w:ascii="Times New Roman" w:cs="Times New Roman" w:eastAsia="Times New Roman" w:hAnsi="Times New Roman"/>
                <w:sz w:val="18"/>
                <w:szCs w:val="18"/>
                <w:color w:val="auto"/>
              </w:rPr>
              <w:t>November 30, 2025 is as follows: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six months)</w:t>
            </w:r>
          </w:p>
        </w:tc>
        <w:tc>
          <w:tcPr>
            <w:tcW w:w="4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6,476</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4,512</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2,548</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2,548</w:t>
            </w:r>
          </w:p>
        </w:tc>
      </w:tr>
    </w:tbl>
    <w:p>
      <w:pPr>
        <w:sectPr>
          <w:pgSz w:w="11900" w:h="16878" w:orient="portrait"/>
          <w:cols w:equalWidth="0" w:num="1">
            <w:col w:w="11240"/>
          </w:cols>
          <w:pgMar w:left="320" w:top="846"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5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520" w:type="dxa"/>
            <w:vAlign w:val="bottom"/>
            <w:vMerge w:val="restart"/>
          </w:tcPr>
          <w:p>
            <w:pPr>
              <w:jc w:val="right"/>
              <w:ind w:right="393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65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Goodwill</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16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The following table shows the carrying amount of goodwill by reporting units: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November 30,</w:t>
            </w:r>
          </w:p>
        </w:tc>
      </w:tr>
      <w:tr>
        <w:trPr>
          <w:trHeight w:val="238"/>
        </w:trPr>
        <w:tc>
          <w:tcPr>
            <w:tcW w:w="46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Goodwill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2,640,669</w:t>
            </w:r>
          </w:p>
        </w:tc>
        <w:tc>
          <w:tcPr>
            <w:tcW w:w="100" w:type="dxa"/>
            <w:vAlign w:val="bottom"/>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(1,888,319)</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Beverage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Cannabis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Wellness</w:t>
            </w:r>
          </w:p>
        </w:tc>
        <w:tc>
          <w:tcPr>
            <w:tcW w:w="220" w:type="dxa"/>
            <w:vAlign w:val="bottom"/>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120,802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2,640,669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77,470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4,458</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2,843,399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(120,802)</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(1,888,319)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(68,186)</w:t>
            </w:r>
          </w:p>
        </w:tc>
        <w:tc>
          <w:tcPr>
            <w:tcW w:w="3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(2,090,654)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(9,284)</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r>
      <w:tr>
        <w:trPr>
          <w:trHeight w:val="20"/>
        </w:trPr>
        <w:tc>
          <w:tcPr>
            <w:tcW w:w="4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752,350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752,350</w:t>
            </w: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7. Business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Craft Beverage Business Portfolio II</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Effective September 1, 2024, the Company acquired four craft beer brands and breweries from Molson Coors Beverage Company (“Molson”) including Atwater Brewery, Hop Valley Brewing Company, Terrapin Beer Co., and Revolver Brewing (the “Craft Acquisition II”). The purpose of the acquisition was to continue broadening Tilray's beverage brand strategy. In consideration for the acquisition, the Company paid a total purchase price of $22,979 in cash, which was subject to certain customary post-closing working capital adjustments.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table below summarizes the fair value of the assets acquired and the liabilities assumed for the Craft Acquisition II at the effective acquisition date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22,979</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20,916</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8"/>
                <w:szCs w:val="18"/>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38,560</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8"/>
                <w:szCs w:val="18"/>
                <w:color w:val="auto"/>
              </w:rPr>
            </w:pPr>
          </w:p>
        </w:tc>
      </w:tr>
      <w:tr>
        <w:trPr>
          <w:trHeight w:val="21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3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22,979</w:t>
            </w:r>
          </w:p>
        </w:tc>
        <w:tc>
          <w:tcPr>
            <w:tcW w:w="10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event that the Craft Acquisition II had occurred on June 1, 2024, the Company would have had, on an unaudited proforma basis, additional net revenue of approximately $nil and $nil for the three and six months ended November 30, 2025 and approximately $nil and $13,700 for the three and six months ended November 30, 2024, respectively, and its consolidated net loss and comprehensive net loss would have increased by approximately $nil and $nil for the three and six months ended November 30, 2025 and approximately $nil and $4,000 for the three and six months ended November 30, 2024, respectively. This unaudited pro forma financial information does not reflect the realization of any expected ongoing synergies relating to the integration of the Craft Acquisition II.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Long term investments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 term investments consisted of the following:</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5,233</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1,972</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under measurement alternative</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18"/>
                <w:szCs w:val="18"/>
                <w:color w:val="auto"/>
              </w:rPr>
            </w:pP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November 30, 2025 and May 31, 2025, included within equity investment under measurement alternative is an option to acquire a 68% membership interest in SH Acquisition for $1.00 upon U.S. federal cannabis legalization valued at $8,160. See Note 24 (Financial risk management and financial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9. Bank indebtedness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Aphria Inc., a subsidiary of the Company, has an operating line of credit in the amount of C$1,000, which bears interest at the lender’s prime rate plus 75 basis points. As of November 30, 2025, the Company has not drawn on the line of credit. The operating line of credit is secured by a security interest on certain real property located at 265 Talbot St. West, Leamington, Ontario.</w:t>
      </w:r>
    </w:p>
    <w:p>
      <w:pPr>
        <w:spacing w:after="0" w:line="176" w:lineRule="exact"/>
        <w:rPr>
          <w:sz w:val="20"/>
          <w:szCs w:val="20"/>
          <w:color w:val="auto"/>
        </w:rPr>
      </w:pPr>
    </w:p>
    <w:p>
      <w:pPr>
        <w:jc w:val="both"/>
        <w:ind w:firstLine="494"/>
        <w:spacing w:after="0" w:line="258" w:lineRule="auto"/>
        <w:tabs>
          <w:tab w:leader="none" w:pos="7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 GmbH, a subsidiary of the Company, has two operating lines of credit in the amounts of €7,000 and €500. These lines bear interest at Euro Short-Term Rate (“ESTR”) plus 2.50% and Euro Interbank Offered Rate (“EURIBOR”) plus 4.00%, respectively. As of November 30, 2025, a total of €7,386 ($8,567) was drawn down from the total available credit of €7,500. The operating line of credit for €7,000 is secured by an interest in the inventory of CC Pharma GmbH as well as the Densborn, Germany production facility and underlying real property. The operating line of credit for €500 is unsecured.</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July 25, 2025, the Company’s wholly-owned subsidiary, American Beverage Crafts Group Inc. (“ABC Group”), formerly known as Four Twenty Corporation, finalized its fifth amendment (the “Amendment”) to that certain Credit Agreement dated as of June 30, 2023 (the “ABC Group Credit Agreement”) by and among the Borrower, Bank of America, N.A., in its capacity as Administrative Agent, and certain other guarantors and lenders party thereto. Specifically, the Amendment amended and restated the ABC Group Credit Agreement to provide for the contribution of the Manitoba Harvest entities’ equity to the Borrower as additional collateral. Additionally, the Amendment added financial covenants for (i) minimum consolidated trailing-twelve-months EBITDA for each of the four quarters, beginning May 31, 2025 and (ii) minimum liquidity. ABC Group has a revolving credit facility of $25,000, which bears interest at SOFR plus an applicable margin. As of November 30, 2025, the Company has drawn $nil on the revolving line of credit under the ABC Group Credit Agreement.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Accounts payable and accrued liabilities</w:t>
            </w: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w:t>
            </w: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114,496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107,348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103,260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accruals</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employment related taxes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2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226,422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235,322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9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Long-term debt</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long-term debt instruments: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Term loan - C$53,000 - Canadian prime plus an applicable margin, 3-year term, with a 10-year amortization,</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repayable in equal quarterly payments due in February 2028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36,720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38,690</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C$181 including interest, due in July 2033</w:t>
            </w:r>
          </w:p>
        </w:tc>
        <w:tc>
          <w:tcPr>
            <w:tcW w:w="1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11,501</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C$196 including interest, due in July 2033</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8,772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9,354</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C$1,250 - Canadian prime plus 1.50%, 5-year term, with a 10-year amortization, repayable 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equal monthly installments of C$12 including interest, due in August 2026</w:t>
            </w:r>
          </w:p>
        </w:tc>
        <w:tc>
          <w:tcPr>
            <w:tcW w:w="1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C$3,750 - Canadian prime plus 1.50%, 5-year term, with a 20-year amortization,</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repayable in equal monthly installments of C$23 including interest, due in August 2026</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4.59%,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monthly installments of €52 plus interest, due 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August 2028</w:t>
            </w:r>
          </w:p>
        </w:tc>
        <w:tc>
          <w:tcPr>
            <w:tcW w:w="1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$22,635 - EURIBOR rate plus 1.5%, 10-year term, repayable in monthly installments of</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 to $69, due in October 2030</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19,047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19,418</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$90,000 - SOFR plus an applicable margin, 5-year term, repayable in quarterly installments of</w:t>
            </w:r>
          </w:p>
        </w:tc>
        <w:tc>
          <w:tcPr>
            <w:tcW w:w="14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77,063</w:t>
            </w:r>
          </w:p>
        </w:tc>
        <w:tc>
          <w:tcPr>
            <w:tcW w:w="1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80,438</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$875 to $2,250 due in June 2028</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of long-term debt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156,626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164,124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financing fees</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Less principal portion included in current liabilities</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(14,767)</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portion of long-term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80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Convertible debentures payable</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the convertible debentures payable:</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5.20% Convertible Notes ("TLRY 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debentures payable, non current portion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86,255</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86,428</w:t>
            </w:r>
          </w:p>
        </w:tc>
      </w:tr>
      <w:tr>
        <w:trPr>
          <w:trHeight w:val="413"/>
        </w:trPr>
        <w:tc>
          <w:tcPr>
            <w:tcW w:w="8020" w:type="dxa"/>
            <w:vAlign w:val="bottom"/>
            <w:tcBorders>
              <w:top w:val="single" w:sz="8" w:color="CCEEFF"/>
            </w:tcBorders>
          </w:tcPr>
          <w:p>
            <w:pPr>
              <w:ind w:left="460"/>
              <w:spacing w:after="0"/>
              <w:rPr>
                <w:sz w:val="20"/>
                <w:szCs w:val="20"/>
                <w:color w:val="auto"/>
              </w:rPr>
            </w:pPr>
            <w:r>
              <w:rPr>
                <w:rFonts w:ascii="Times New Roman" w:cs="Times New Roman" w:eastAsia="Times New Roman" w:hAnsi="Times New Roman"/>
                <w:sz w:val="18"/>
                <w:szCs w:val="18"/>
                <w:i w:val="1"/>
                <w:iCs w:val="1"/>
                <w:color w:val="auto"/>
              </w:rPr>
              <w:t>TLRY 27 Notes</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38"/>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 Contractual debenture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 settlement</w:t>
            </w: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(67,500)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(18,572)</w:t>
            </w:r>
          </w:p>
        </w:tc>
      </w:tr>
      <w:tr>
        <w:trPr>
          <w:trHeight w:val="209"/>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86,428</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convertible debentures were issued on May 30, 2023 and on June 9, 2023 by way of overallotment, in the principal amount of $172,500 (the “TLRY 27 Notes”). The TLRY 27 Notes bear interest at a rate of 5.20% per annum, payable semi-annually in arrears on June 15 and December 15 of each year, and mature on June 15, 2027, unless earlier converted. The TLRY 27 Notes are Tilray’s general unsecured obligations and rank senior in right of payment to all of Tilray’s indebtedness that is expressly subordinated in right of payment to the notes; equal in right of payment with any of Tilray’s unsecured indebtedness that is not so subordinated,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 Noteholders have the right to convert their TLRY 27 Notes into shares of Tilray’s Common Stock at their option, at any time, until the close of business on the second scheduled trading day immediately before June 15, 2027. The initial conversion rate is approximately 37.66 shares per $1,000 principal amount of TLRY 27 Notes, which represents a conversion price of approximately $26.55 per share. The conversion rate and conversion price will be subject to adjustment upon the occurrence of certain events.</w:t>
      </w:r>
    </w:p>
    <w:p>
      <w:pPr>
        <w:spacing w:after="0" w:line="19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TLRY 27 Notes are now redeemable, in whole and not in part, at Tilray’s option at any time on or after June 20, 2025 at a cash redemption price equal to the principal amount of the notes to be redeemed, plus accrued and unpaid interest, if any, to, but excluding, the redemption date, but only if the last reported sale price of Tilray’s Common Stock exceeds 130% of the conversion price for a specified period of time. If certain corporate events that constitute a fundamental change occur, then, subject to a limited exception, noteholders may require Tilray to repurchase their TLRY 27 Notes for cash. The repurchase price will be equal to the principal amount of the notes to be repurchased, plus accrued and unpaid interest, if any, to, but excluding, the applicable repurchase date. In connection with the Company’s offering of the TLRY 27 Notes, the Company entered into a share lending agreement with an affiliate of Jefferies LLC (the “Share Borrower”), pursuant to which it lent to the Share Borrower 3,850,000 shares of the Company’s Common Stock (the “Borrowed Shares”). The Borrowed Shares were newly-issued shares, will be held as treasury shares until the expiration or early termination of the share lending agreement and may be used by purchasers of the TLRY 27 Notes to sell up to 3,850,000 shares of the Company’s Common Stock. The fair value of the share lending agreement has been recorded as part of the unamortized discount on the debenture. The Company expects that the selling stockholders will use their position created by such sales to establish their initial hedge with respect to their investments in the TLRY 27 Notes. The Company did not receive any proceeds from the sale of the Borrowed Shares.</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six months ended November 30, 2025, the Company exchanged an aggregate $5,000 of its TLRY 27 Notes for cancellation, by issuing 1,259,182 shares of Common Stock and paying $6 in cash to settle accrued interest. Upon exchanging the TLRY 27 Notes, a portion of the settlement consideration was allocated to the equity component of the instrument and was recognized as a $1,158 reduction of additional paid-in capital in the Consolidated Statements of Stockholders’ Equity. Additionally, this repurchase resulted in a gain of $495 which was recorded in other non-operating (losses) gains, net as shown in Note 23 (Non-operating income (expense)). Following consummation of the exchange, the number of outstanding Borrowed Shares of Common Stock was reduced by 120,969 shares which were then returned as Treasury Stock. As of November 30, 2025 and May 31, 2025, a total of 2,231,884 and 2,343,478 shares remained outstanding under the share lending arrangement, respectively. Current and prior year share amounts have been retrospectively adjusted to reflect the Reverse Stock Split, which became effective on December 2, 2025.</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November 30, 2025, the Company recognized interest expense of $1,256 and $2,623 and accretion of amortized discount interest of $1,988 and $3,964 respectively. During the three and six months ended November 30, 2024, the Company recognized interest expense of $2,133 and $4,375 and accretion of amortized discount interest of $2,919 and $5,985 respectively.</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November 30, 2025, there was $100,000 principal outstanding compared to $105,000 principal outstanding as of May 31, 2025 under the TLRY 27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13. Warrant liability</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Between September 5, 2025 and 15, 2025, certain holders elected to exercise an aggregate of 620,900 of the Company’s issued and outstanding warrants in accordance with their terms. Pursuant to the exercise of such warrants, Tilray received $2,367 of cash consideration and delivered 620,900 shares of common stock to such holders. As of November 30, 2025 and May 31, 2025, there were nil and 620,900 warrants outstanding respectively. Current and prior year share amounts have been retrospectively adjusted to reflect the Reverse Stock Split, which became effective on December 2,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Issued and outstanding</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Pursuant to its Fifth Amended and Restated Certificate of Incorporation, the total number of shares that the Company is authorized to issue is 1,426,000,000 shares, of which 1,416,000,000 shares are Common Stock, and 10,000,000 shares of which are Preferred Stock (the “Preferred Stock”). As of November 30, 2025, the Company had issued and outstanding 116,522,600 shares of Common Stock, 321,391 shares of Treasury Stock (the “Treasury Stock”) and no Preferred Stock. Historically, the Company has issued shares of its Common Stock in consideration for acquisitions and other strategic transactions, settlement of convertible notes, settlement of litigation claims, in connection with public offerings and as payment of dividends to non-controlling interests for profit distributions.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six months ended November 30, 2025, the Company issued the following shares of Common Stock:</w:t>
      </w:r>
    </w:p>
    <w:p>
      <w:pPr>
        <w:spacing w:after="0" w:line="225" w:lineRule="exact"/>
        <w:rPr>
          <w:sz w:val="20"/>
          <w:szCs w:val="20"/>
          <w:color w:val="auto"/>
        </w:rPr>
      </w:pPr>
    </w:p>
    <w:p>
      <w:pPr>
        <w:ind w:left="980" w:hanging="486"/>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6,777,224 shares of Common Stock pursuant to its At-the-Market (“ATM”) program, which generated gross proceeds of $76,643 and net proceeds of $73,056, after deducting $3,587 in commissions and other fees associated with these issuances.</w:t>
      </w:r>
    </w:p>
    <w:p>
      <w:pPr>
        <w:jc w:val="both"/>
        <w:ind w:left="980" w:hanging="486"/>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1,259,182 shares of Common Stock in the amount of $4,800 to exchange the aggregate principal of $5,000 of its TLRY 27 Notes for cancellation. Upon exchanging the TLRY 27 Notes, a portion of the settlement consideration was allocated to the equity component of the instrument and was recognized as a $1,158 reduction of additional paid-in capital. Following consummation of the exchange, the number of outstanding Borrowed Shares of Common Stock was reduced by approximately 120,969 shares which were then returned as Treasury Stock, see Note 12 (Convertible debentures payable).</w:t>
      </w:r>
    </w:p>
    <w:p>
      <w:pPr>
        <w:spacing w:after="0" w:line="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620,900 shares of Common Stock to settle exercised warrants.</w:t>
      </w:r>
    </w:p>
    <w:p>
      <w:pPr>
        <w:spacing w:after="0" w:line="9" w:lineRule="exact"/>
        <w:rPr>
          <w:rFonts w:ascii="Times New Roman" w:cs="Times New Roman" w:eastAsia="Times New Roman" w:hAnsi="Times New Roman"/>
          <w:sz w:val="18"/>
          <w:szCs w:val="18"/>
          <w:color w:val="auto"/>
        </w:rPr>
      </w:pPr>
    </w:p>
    <w:p>
      <w:pPr>
        <w:ind w:left="980" w:right="600" w:hanging="486"/>
        <w:spacing w:after="0" w:line="180" w:lineRule="auto"/>
        <w:tabs>
          <w:tab w:leader="none" w:pos="98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861,707 shares of Common Stock to settle dividends payable to the non-controlling shareholders of Aphria Diamond in the amount of $14,821.</w:t>
      </w:r>
    </w:p>
    <w:p>
      <w:pPr>
        <w:ind w:left="980" w:right="880" w:hanging="486"/>
        <w:spacing w:after="0" w:line="180" w:lineRule="auto"/>
        <w:tabs>
          <w:tab w:leader="none" w:pos="980" w:val="left"/>
        </w:tabs>
        <w:numPr>
          <w:ilvl w:val="0"/>
          <w:numId w:val="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935,712 shares of Common Stock in connection with the exercise of previously awarded stock-based compensation awards, net of cancellations.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six months ended November 30, 2025, the Company granted 4,551,621 time-based Restricted Stock Units (“RSUs”).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fiscal year ended May 31, 2024, the Company issued 756,615 performance-based RSUs. These RSUs were not considered granted for accounting purposes at the time of issuance, as the performance conditions had not yet been established or approved and no amounts have been recorded within the Consolidated Statement of Income (Loss). During the intervening period, from their initial issuance to the current quarter, the total number of performance-based RSUs was reduced to 744,117 due to attrition. During the three months ended November 30, 2025, the Company established and approved the relevant performance targets for the performance-based RSUs and consequently considered them granted for accounting purposes. In conjunction with this award, an additional component of these performance based grants are payable in cash or its equivalent in shares of Common Stock at the discretion of Company’s Compensation Committee. Given the expected settlement in Common Stock, the fair value of these awards has also been recorded as stock-based compensation, with the corresponding liability reflected on the Statement of Financial Position. As a result, during the three months ended November 30, 2025, the Company began accruing the fair value of these awards over the remaining requisite service period.</w:t>
      </w:r>
    </w:p>
    <w:p>
      <w:pPr>
        <w:spacing w:after="0" w:line="18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total stock-based compensation expense incurred for the three and six months ended November 30, 2025 was $12,283 and $17,335 compared to $7,237 and $14,154 for the three and six months ended November 30, 2024, respectively.</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All current and prior year share amounts have been retrospectively adjusted to reflect the Reverse Stock Split, which became effective on December 2,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Accumulated other comprehensive income (loss)</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 (loss) is comprised of foreign currency translation gain (loss) as follows: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9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6"/>
              </w:rPr>
              <w:t>Foreign</w:t>
            </w:r>
          </w:p>
        </w:tc>
      </w:tr>
      <w:tr>
        <w:trPr>
          <w:trHeight w:val="216"/>
        </w:trPr>
        <w:tc>
          <w:tcPr>
            <w:tcW w:w="9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29"/>
        </w:trPr>
        <w:tc>
          <w:tcPr>
            <w:tcW w:w="9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38"/>
        </w:trPr>
        <w:tc>
          <w:tcPr>
            <w:tcW w:w="9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gain (loss)</w:t>
            </w:r>
          </w:p>
        </w:tc>
      </w:tr>
      <w:tr>
        <w:trPr>
          <w:trHeight w:val="210"/>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3,622</w:t>
            </w:r>
          </w:p>
        </w:tc>
      </w:tr>
      <w:tr>
        <w:trPr>
          <w:trHeight w:val="209"/>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2024</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(8,080)</w:t>
            </w:r>
          </w:p>
        </w:tc>
      </w:tr>
      <w:tr>
        <w:trPr>
          <w:trHeight w:val="223"/>
        </w:trPr>
        <w:tc>
          <w:tcPr>
            <w:tcW w:w="9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30, 2024</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2025</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(43,063)</w:t>
            </w:r>
          </w:p>
        </w:tc>
      </w:tr>
      <w:tr>
        <w:trPr>
          <w:trHeight w:val="23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9"/>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2025</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3,937</w:t>
            </w:r>
          </w:p>
        </w:tc>
      </w:tr>
      <w:tr>
        <w:trPr>
          <w:trHeight w:val="223"/>
        </w:trPr>
        <w:tc>
          <w:tcPr>
            <w:tcW w:w="9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30, 2025</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Non-controlling interests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are majority-owned subsidiaries of the Company and the percentage of ownership interest maintained by the Company is set forth in the parenthetical: Enroot (75%), Aphria Diamond (51%), and Colcanna S.A.S. (90%).</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balance sheet information before intercompany eliminations relating to the above-referenced majority-owned subsidiaries of the Company in which there was a non-controlling interest as of November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20" w:type="dxa"/>
            <w:vAlign w:val="bottom"/>
          </w:tcPr>
          <w:p>
            <w:pPr>
              <w:spacing w:after="0"/>
              <w:rPr>
                <w:sz w:val="19"/>
                <w:szCs w:val="19"/>
                <w:color w:val="auto"/>
              </w:rPr>
            </w:pPr>
          </w:p>
        </w:tc>
        <w:tc>
          <w:tcPr>
            <w:tcW w:w="12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ColCanna</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9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Enroot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120" w:type="dxa"/>
            <w:vAlign w:val="bottom"/>
          </w:tcPr>
          <w:p>
            <w:pPr>
              <w:spacing w:after="0"/>
              <w:rPr>
                <w:sz w:val="20"/>
                <w:szCs w:val="20"/>
                <w:color w:val="auto"/>
              </w:rPr>
            </w:pPr>
          </w:p>
        </w:tc>
        <w:tc>
          <w:tcPr>
            <w:tcW w:w="12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S.A.S.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tcBorders>
              <w:top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108,486</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112,247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(124,948)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(131,982)</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4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(31,529)</w:t>
            </w: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(32,969)</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84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balance sheet information before intercompany eliminations relating to the above-referenced majority-owned subsidiaries of the Company in which there was a non-controlling interest as of May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14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20" w:type="dxa"/>
            <w:vAlign w:val="bottom"/>
          </w:tcPr>
          <w:p>
            <w:pPr>
              <w:spacing w:after="0"/>
              <w:rPr>
                <w:sz w:val="19"/>
                <w:szCs w:val="19"/>
                <w:color w:val="auto"/>
              </w:rPr>
            </w:pPr>
          </w:p>
        </w:tc>
        <w:tc>
          <w:tcPr>
            <w:tcW w:w="12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ColCanna</w:t>
            </w: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0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120" w:type="dxa"/>
            <w:vAlign w:val="bottom"/>
          </w:tcPr>
          <w:p>
            <w:pPr>
              <w:spacing w:after="0"/>
              <w:rPr>
                <w:sz w:val="20"/>
                <w:szCs w:val="20"/>
                <w:color w:val="auto"/>
              </w:rPr>
            </w:pPr>
          </w:p>
        </w:tc>
        <w:tc>
          <w:tcPr>
            <w:tcW w:w="12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S.A.S.</w:t>
            </w: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114,677</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3,348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118,025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(126,986)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(133,939)</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9"/>
                <w:szCs w:val="19"/>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(31,720)</w:t>
            </w: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(1,442)</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(33,162)</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2" w:name="page23"/>
    <w:bookmarkEnd w:id="22"/>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income statement information before intercompany eliminations relating to the above referenced majority-owned subsidiaries of the Company in which there was a non-controlling interest for the six months ended November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9"/>
                <w:szCs w:val="19"/>
                <w:color w:val="auto"/>
              </w:rPr>
            </w:pPr>
          </w:p>
        </w:tc>
        <w:tc>
          <w:tcPr>
            <w:tcW w:w="12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ColCanna</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Enroot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140" w:type="dxa"/>
            <w:vAlign w:val="bottom"/>
          </w:tcPr>
          <w:p>
            <w:pPr>
              <w:spacing w:after="0"/>
              <w:rPr>
                <w:sz w:val="20"/>
                <w:szCs w:val="20"/>
                <w:color w:val="auto"/>
              </w:rPr>
            </w:pPr>
          </w:p>
        </w:tc>
        <w:tc>
          <w:tcPr>
            <w:tcW w:w="12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S.A.S.</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tcBorders>
              <w:top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60" w:type="dxa"/>
            <w:vAlign w:val="bottom"/>
          </w:tcPr>
          <w:p>
            <w:pPr>
              <w:spacing w:after="0"/>
              <w:rPr>
                <w:sz w:val="19"/>
                <w:szCs w:val="19"/>
                <w:color w:val="auto"/>
              </w:rPr>
            </w:pP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24,762</w:t>
            </w:r>
          </w:p>
        </w:tc>
        <w:tc>
          <w:tcPr>
            <w:tcW w:w="140" w:type="dxa"/>
            <w:vAlign w:val="bottom"/>
          </w:tcPr>
          <w:p>
            <w:pPr>
              <w:spacing w:after="0"/>
              <w:rPr>
                <w:sz w:val="19"/>
                <w:szCs w:val="19"/>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24,033</w:t>
            </w: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2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60" w:type="dxa"/>
            <w:vAlign w:val="bottom"/>
          </w:tcPr>
          <w:p>
            <w:pPr>
              <w:spacing w:after="0"/>
              <w:rPr>
                <w:sz w:val="19"/>
                <w:szCs w:val="19"/>
                <w:color w:val="auto"/>
              </w:rPr>
            </w:pP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tcPr>
          <w:p>
            <w:pPr>
              <w:spacing w:after="0"/>
              <w:rPr>
                <w:sz w:val="19"/>
                <w:szCs w:val="19"/>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86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8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8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certain income statement information before intercompany eliminations relating to the above referenced majority-owned subsidiaries of the Company in which there was a non-controlling interest for the six months ended November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36,429</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26,919</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27,717</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9,510</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8,712</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8,349</w:t>
            </w:r>
          </w:p>
        </w:tc>
      </w:tr>
      <w:tr>
        <w:trPr>
          <w:trHeight w:val="20"/>
        </w:trPr>
        <w:tc>
          <w:tcPr>
            <w:tcW w:w="4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100" w:type="dxa"/>
            <w:vAlign w:val="bottom"/>
          </w:tcPr>
          <w:p>
            <w:pPr>
              <w:spacing w:after="0"/>
              <w:rPr>
                <w:sz w:val="18"/>
                <w:szCs w:val="18"/>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4,270</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4,232</w:t>
            </w:r>
          </w:p>
        </w:tc>
      </w:tr>
      <w:tr>
        <w:trPr>
          <w:trHeight w:val="20"/>
        </w:trPr>
        <w:tc>
          <w:tcPr>
            <w:tcW w:w="4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4,270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4,232</w:t>
            </w: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determination of the Company’s overall effective tax rate requires significant judgment, the use of estimates, and the interpretation and application of complex tax laws. The effective tax rate reflects the income earned and taxed in various United States federal, state, and foreign jurisdictions. Tax law changes, increases, and decreases in temporary and permanent differences between book and tax items, valuation allowances against the deferred tax assets, stock compensation, and the Company’s change in income in each jurisdiction all affect the overall effective tax rate. It is the Company’s practice to recognize interest and penalties related to uncertain tax positions in income tax expense.</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reported income tax expense of $3,546 and $1,261 for the three and six months ended November 30, 2025, and $2,036 and $2,922 for the three and six months ended November 30, 2024. The income tax expense in the current period varies from the US statutory income tax rate and prior year period primarily due to the geographical mix of earnings and losses with no tax benefit resulting from valuation allowances in certain jurisdictions.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Purchase and other commitments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has financial commitments on long-term debt, refer to Note 11 (Long-term debt), convertible notes, refer to Note 12 (Convertible debentures payable), material purchase commitments inclusive of multi-period sponsorship rights and construction commitments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0"/>
                <w:szCs w:val="20"/>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repayment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156,626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16,889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13,624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27,779</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purchase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63,319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33,363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commitments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321,154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51,461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41,885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195,330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28,329</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in the legal proceedings since our Annual Report on Form 10-K for the fiscal year ended May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litigation accruals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described in Note 10 (Accounts payable and accrued liabilities), the total estimated litigation expense accrual included in accrued liabilities as of November 30, 2025 and May 31, 2025 was $12,013 and $12,431, respectively. This estimated accrual is intended to cover various ongoing litigation matters with probable losses that can be reasonably estimated.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19. Net revenue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 Company reports Net revenue in four reporting segments: beverage, cannabis, distribution, and wellness. Net revenue for the three and six months ended November 30, 2025 and three and six months ended November 30, 2024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29"/>
        </w:trPr>
        <w:tc>
          <w:tcPr>
            <w:tcW w:w="598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126,024</w:t>
            </w: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 excise taxes</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(3,469)</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(3,780)</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(6,971)</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Cannabis revenue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168,402</w:t>
            </w: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Cannabis excise taxes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(22,676)</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(21,556)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(41,501)</w:t>
            </w: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67,532</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65,652</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132,043</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126,901</w:t>
            </w:r>
          </w:p>
        </w:tc>
        <w:tc>
          <w:tcPr>
            <w:tcW w:w="10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135,682</w:t>
            </w: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14,576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14,606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29,820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29,358</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Cost of goods sold</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reports Cost of goods sold in four reporting segments: beverage, cannabis, distribution, and wellness. Cost of goods sold for the three and six months ended November 30, 2025 and three and six months ended November 30, 2024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0"/>
        </w:trPr>
        <w:tc>
          <w:tcPr>
            <w:tcW w:w="598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41,398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42,475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82,639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79,529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74,334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140,342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119,345</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9,927</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10,123</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20,297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20,219</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General and administrative expenses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three and six months ended November 30, 2025 and three and six months ended November 30, 2024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8"/>
        </w:trPr>
        <w:tc>
          <w:tcPr>
            <w:tcW w:w="382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8,284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18,718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12,283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14,154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2,456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capital assets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1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22. Restructuring charges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integration of certain acquisitions and strategic transactions, the Company has incurred restructuring and exit costs in the amount of $965 and $1,834 for the three and six months ended November 30, 2025, compared to $6,869 and $11,116 for the three and six months ended November 30, 2024. All restructuring plans are approved at the executive level, and their associated expenses are recognized in the period in which the plan is committed or otherwise incurred.</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Within the Cannabis segment, during the six months ended November 30, 2025, the Company incurred restructuring-related expenses totaling $1,834. These charges included $670 associated with the restructuring of the Quebec facility to transition from vegetable cultivation to cannabis cultivation in response to increased global cannabis demand, $843 related to employee termination severance and benefits associated with the reorganization of the Canadian cannabis commercial function, and $177 related to the wind-down of certain non-operating entities. Additionally, the Company recognized $144 related to its Fort Collins, CO partially vacant warehouse recorded under assets held of sale. See Note 3 (capital assets).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fiscal year ended May 31, 2025, the Company accrued $8,500 of restructuring charges related to the closure of Hop Valley and other Project 420 initiatives within the Beverage segment, of which $4,570 was recognized in the six months ended November 30, 2025 thereby, reducing the accrual to $3,930.</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Non-operating income (expense), net</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Non-operating income (expense), net for the three and six months ended November 30, 2025 and three and six months ended November 30, 2024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0"/>
        </w:trPr>
        <w:tc>
          <w:tcPr>
            <w:tcW w:w="5980" w:type="dxa"/>
            <w:vAlign w:val="bottom"/>
          </w:tcPr>
          <w:p>
            <w:pPr>
              <w:spacing w:after="0"/>
              <w:rPr>
                <w:sz w:val="19"/>
                <w:szCs w:val="19"/>
                <w:color w:val="auto"/>
              </w:rPr>
            </w:pPr>
          </w:p>
        </w:tc>
        <w:tc>
          <w:tcPr>
            <w:tcW w:w="138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(10,327)</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(33,797)</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(3,399)</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(21,916)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long-term investments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digital assets</w:t>
            </w: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 gains,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(1,106)</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other non-operating losses (gains), net for the three and six months ended November 30, 2025, were losses of $1,649 and $1,106 which was mainly comprised of a loss of $1,800 on the change in fair value of assets held for sale related to the Fort Collins, CO partially vacant warehouse, as described in Note 3 (capital assets), offset by a gain of $495 resulting from the exchange transaction of the TLRY 27 Note, as described in Note 12 (Convertible debentures payable).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Financial risk management and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Company's classification of its financial instruments is described in Note 3 (Significant accounting policies) in the Notes to our Annual Financial Statements.</w:t>
      </w:r>
    </w:p>
    <w:p>
      <w:pPr>
        <w:spacing w:after="0" w:line="162"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carrying values of marketable securities, accounts receivable, bank indebtedness and accounts payable and accrued liabilities approximate their fair values due to their short periods to maturity.</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On November 30, 2025 and May 31, 2025, the Company had long-term debt of $2,216 and $2,546, respectively, and the principal portion of convertible debentures payable of $100,000 and $105,000, respectively, subject to fixed interest rates. The Company’s long-term debt is valued based on discounting the future cash outflows associated with the long-term debt. The discount rate is based on the incremental premium above market rates for the U.S. Department of the Treasury securities of similar duration. In each period thereafter, the incremental premium is held constant while the U.S. Department of the Treasury security is based on the then current market value to derive the discount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2025 and May 31, 2025 and indicates the fair value hierarchy of the valuation techniques the Company utilized to determine such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246,703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246,703</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44,848</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13,393</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r>
      <w:tr>
        <w:trPr>
          <w:trHeight w:val="20"/>
        </w:trPr>
        <w:tc>
          <w:tcPr>
            <w:tcW w:w="5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296,608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305,772</w:t>
            </w: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221,666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221,666</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34,697</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1,063</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10,132</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0"/>
        </w:trPr>
        <w:tc>
          <w:tcPr>
            <w:tcW w:w="5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257,272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(7,932)</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250,403</w:t>
            </w: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required to be measured on a recurring basis are its equity investments measured at fair value, digital assets, acquisition-related contingent consideration, and warrant liability.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November 30, 2025, the Company purchased 9.16 units of Bitcoin. Digital assets recorded at fair value have quoted prices in active markets for identical assets and are classified as Level 1. The following table presents the Company’s digital asset holdings as of November 30,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598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Gain (Loss)</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digital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equity investments recorded at fair value have quoted prices in active markets for identical assets and are classified as Level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classified securities with observable inputs as Level 2 and without a quoted market price as Level 3.</w:t>
      </w:r>
    </w:p>
    <w:p>
      <w:pPr>
        <w:spacing w:after="0" w:line="2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portion of the consideration to be paid in connection with the Company’s acquisition of Montauk Brewing Company (“Montauk”) is contingent upon the achievement of certain financial measures as of December 31, 2025. If achieved, such contingent consideration is payable in cash. During the six months ended November 30, 2025, the contingent consideration amount was reassessed and was estimated by applying a probability of achievement of 0% on the $15,000 sales earn-out component and 0% on the remaining criteria. The Montauk contingent earn-out is no longer expected to be achieved based on Montauk's current operating results, and as such resulted in a corresponding change in fair value of $15,000 for the contingent consideration liability recognized. The unobservable inputs into the future expected cash outflows result in a fair value measurement classified as Level 3.</w:t>
      </w:r>
    </w:p>
    <w:p>
      <w:pPr>
        <w:spacing w:after="0" w:line="18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balances of assets and liabilities categorized within Level 3 of the fair value hierarchy measured at fair value on a recurring basis are reconciled, as follows for the period ended November 30,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9"/>
        </w:trPr>
        <w:tc>
          <w:tcPr>
            <w:tcW w:w="4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4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r>
      <w:tr>
        <w:trPr>
          <w:trHeight w:val="238"/>
        </w:trPr>
        <w:tc>
          <w:tcPr>
            <w:tcW w:w="4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4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2025</w:t>
            </w:r>
          </w:p>
        </w:tc>
        <w:tc>
          <w:tcPr>
            <w:tcW w:w="1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fair value</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 exercised</w:t>
            </w: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Balance, November 30, 2025</w:t>
            </w:r>
          </w:p>
        </w:tc>
        <w:tc>
          <w:tcPr>
            <w:tcW w:w="180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balances of assets and liabilities categorized within Level 3 of the fair value hierarchy measured at fair value on a recurring basis are reconciled, as follows for the period ended November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APHA 24</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receivable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Debt</w:t>
            </w: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Additions/(Repayments)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fair value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November 30,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unrealized gain (loss) on fair value for the convertible debenture, the warrant liability, contingent consideration, and debt securities classified under available-for-sale method is recognized in the consolidated statements of loss and comprehensive loss using the following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 / financial liability</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120" w:type="dxa"/>
            <w:vAlign w:val="bottom"/>
          </w:tcPr>
          <w:p>
            <w:pPr>
              <w:spacing w:after="0"/>
              <w:rPr>
                <w:sz w:val="20"/>
                <w:szCs w:val="20"/>
                <w:color w:val="auto"/>
              </w:rPr>
            </w:pP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00" w:type="dxa"/>
            <w:vAlign w:val="bottom"/>
          </w:tcPr>
          <w:p>
            <w:pPr>
              <w:spacing w:after="0"/>
              <w:rPr>
                <w:sz w:val="20"/>
                <w:szCs w:val="20"/>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14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2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14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Items measured at fair value on a non-recurring basis</w:t>
      </w:r>
    </w:p>
    <w:p>
      <w:pPr>
        <w:spacing w:after="0" w:line="22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Company's prepaids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Management reviews its capital management approach on an ongoing basis and believes that this approach, given the relative size of the Company, is reasonable. There have been no changes to the Company’s capital management approach in the period. The Company considers its cash and cash equivalents and marketable securities as capital.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Segment reporting</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Company’s Chief Operating Decision Maker (“CODM”) is the Chairman of the Board of Directors and Chief Executive Officer. The CODM uses segment gross profit for the purpose of resource allocation, assessment of segment performance against determined targets, and in deciding whether to implement cost saving targets. The Company operates in four segments. 1) cannabis operations, which encompasses the production, distribution, sale, co-manufacturing and advisory services of both medical and adult-use cannabis, 2) beverage operations, which encompasses the production, marketing and sale of beverage products, 3) distribution operations, which encompasses the purchase and resale of pharmaceuticals products to customers, and 4) wellness products, which encompasses wellness and better-for-you foods and beverages. This structure is in line with how our CODM assesses our performance and allocates resources.</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Operating segments have not been aggregated and no asset information is provided for the segments because the Company’s CODM does not receive asset information by segment on a regular basis.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reconcile the Company’s segment gross profit to consolidated U.S. GAAP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0"/>
        </w:trPr>
        <w:tc>
          <w:tcPr>
            <w:tcW w:w="598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Beverage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beverage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50,083</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63,081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105,822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119,053</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34,351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37,925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68,764</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70,975</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Beverage gross profit</w:t>
            </w: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2"/>
              </w:rPr>
              <w:t>15,732</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25,156</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37,058</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48,078</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Cannabis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14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67,532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65,652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132,043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126,901</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41,398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42,475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82,639</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79,529</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Cannabis gross profit</w:t>
            </w: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2"/>
              </w:rPr>
              <w:t>26,134</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23,177</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49,404</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47,372</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Distribution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14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85,316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67,611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159,323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135,682</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74,334</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59,207</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140,342</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119,345</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Distribution gross profit</w:t>
            </w: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2"/>
              </w:rPr>
              <w:t>10,982</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18,981</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16,337</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Wellness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14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14,576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14,606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29,820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29,358</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9,927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10,123</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20,297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20,219</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Wellness gross profit</w:t>
            </w: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3"/>
              </w:rPr>
              <w:t>4,649</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217,507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210,950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427,008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410,994</w:t>
            </w:r>
          </w:p>
        </w:tc>
        <w:tc>
          <w:tcPr>
            <w:tcW w:w="8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160,010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149,730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312,042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290,068</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2"/>
              </w:rPr>
              <w:t>57,497</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114,966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Segment costs are comprised of cost of goods sold, which include product costs, salaries and an allocation of overhead costs.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total segment gross profit to the Company’s consolidated totals: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8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51,175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92,228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90,110</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11,781</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16,162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24,704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27,852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4,358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22,927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44,731</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9,981</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9,720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20,136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21,286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965</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6,869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11,116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79,776</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103,438</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135,153</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(5,374)</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(7,766)</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(12,070)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(12,310)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(33,255)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(8,478)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(39,963)</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(83,239)</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(recovery), net</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3,546</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2,036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(85,275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Channels of Cannabis revenue were as follows:</w:t>
            </w: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24"/>
                <w:szCs w:val="24"/>
                <w:color w:val="auto"/>
              </w:rPr>
            </w:pPr>
          </w:p>
        </w:tc>
        <w:tc>
          <w:tcPr>
            <w:tcW w:w="2380" w:type="dxa"/>
            <w:vAlign w:val="bottom"/>
            <w:gridSpan w:val="5"/>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8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62,448</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59,077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126,515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116,312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12,100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20,180</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14,865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33,547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27,056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excise taxes</w:t>
            </w: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(22,676)</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(21,556)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(45,900)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(41,501)</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67,532</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132,043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Geographic net revenue: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80" w:type="dxa"/>
            <w:vAlign w:val="bottom"/>
          </w:tcPr>
          <w:p>
            <w:pPr>
              <w:spacing w:after="0"/>
              <w:rPr>
                <w:sz w:val="19"/>
                <w:szCs w:val="19"/>
                <w:color w:val="auto"/>
              </w:rPr>
            </w:pPr>
          </w:p>
        </w:tc>
        <w:tc>
          <w:tcPr>
            <w:tcW w:w="13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8"/>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121,799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54,173</w:t>
            </w:r>
          </w:p>
        </w:tc>
        <w:tc>
          <w:tcPr>
            <w:tcW w:w="2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56,720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112,340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112,625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103,155</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79,254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188,408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156,926</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2,341</w:t>
            </w:r>
          </w:p>
        </w:tc>
        <w:tc>
          <w:tcPr>
            <w:tcW w:w="24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4,461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427,008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Geographic capital assets: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253,515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267,458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97,371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Major customers are defined as customers that are materially significant to the Company’s annual revenues. For the three and six months ended November 30, 2025 and 2024, there were no major customers representing a material contribution to our quarterly revenues.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i w:val="1"/>
          <w:iCs w:val="1"/>
          <w:color w:val="auto"/>
        </w:rPr>
        <w:t>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 should be read in conjunction with the Unaudited Interim Consolidated Financial Statements and the related Notes thereto for the three month period ended November 30, 2025 contained in this Quarterly Report on Form 10-Q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Audited Consolidated Financial Statements and the related Notes thereto contained in our Annual Report on Form 10-K for the fiscal year ended May 31, 2025, as well as in conjunction with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fiscal year ended May 31, 2025 and in the section entitled “Item 1A. Risk Factors” in this Form 10-Q. Forward looking statements in this Form 10-Q are qualified by the cautionary statement included in this Form 10-Q under the sub-heading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introduction of this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Tilray Brands, Inc., a Delaware corporation (collectively, along with its subsidiaries, the “Company”, “Tilray”, “we”, “us” and “our”), is a leading global lifestyle consumer products company, which was incorporated on January 24, 2018 and is headquartered in Leamington and New York,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overall strategy is to leverage our brands, infrastructure, expertise and capabilities to drive revenue growth in the industries in which we compete, achieve industry-leading profitability and build sustainable, long-term shareholder value. In order to ensure the long-term sustainable growth of our Company, we continue to focus on developing strong capabilities in data analytics and consumer insights, drive category management leadership and assess opportunities for the introduction of new categories, products and entries into new geographies. In addition, we are relentlessly focused on managing our cost structure and expenses in order to maintain our strong financial position. Finally, our experienced leadership team provides a strong foundation to accelerate our growth. Our management team is complemented by experienced operators, cannabis industry experts, veteran beer and beverage industry leaders and leaders that are well-established in wellness and better-for-you products, all of whom apply an innovative and consumer-centric approach to our businesses.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Beverage market trends: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Within the beverage category, we expect the following key trends to continue to shape the near-term outlook in this segment:</w:t>
      </w:r>
    </w:p>
    <w:p>
      <w:pPr>
        <w:spacing w:after="0" w:line="223" w:lineRule="exact"/>
        <w:rPr>
          <w:sz w:val="20"/>
          <w:szCs w:val="20"/>
          <w:color w:val="auto"/>
        </w:rPr>
      </w:pPr>
    </w:p>
    <w:p>
      <w:pPr>
        <w:jc w:val="both"/>
        <w:ind w:left="820" w:hanging="272"/>
        <w:spacing w:after="0" w:line="246" w:lineRule="auto"/>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Beverage Distribution</w:t>
      </w:r>
      <w:r>
        <w:rPr>
          <w:rFonts w:ascii="Times New Roman" w:cs="Times New Roman" w:eastAsia="Times New Roman" w:hAnsi="Times New Roman"/>
          <w:sz w:val="18"/>
          <w:szCs w:val="18"/>
          <w:color w:val="auto"/>
        </w:rPr>
        <w:t>. In furtherance of our strategic vision, we remain focused on enhancing our relevance within home markets with 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SKUs, focusing on our core brands in their core markets and on driving growth of our highest margin SKUs within these brands. Through targeted efforts, we continue to strategically optimize our price/pack/channel architecture and drive distribution to continue to execute against our craft beer strategy, streamlining our business, enhancing our relevance and focusing resources on our core markets. The 2025 Spring retail product resets demonstrated improvements in the distribution of our core brands and key innovation initiatives, including Shock Top, Runner’s High non-alcoholic, and SweetWater Brewing’s newly launched Day Trip and Dive Beer amongst others. We have started to see the impact of these gains throughout fiscal year 2026.</w:t>
      </w:r>
    </w:p>
    <w:p>
      <w:pPr>
        <w:spacing w:after="0" w:line="195" w:lineRule="exact"/>
        <w:rPr>
          <w:rFonts w:ascii="Times New Roman" w:cs="Times New Roman" w:eastAsia="Times New Roman" w:hAnsi="Times New Roman"/>
          <w:sz w:val="22"/>
          <w:szCs w:val="22"/>
          <w:color w:val="auto"/>
        </w:rPr>
      </w:pPr>
    </w:p>
    <w:p>
      <w:pPr>
        <w:jc w:val="both"/>
        <w:ind w:left="820" w:hanging="272"/>
        <w:spacing w:after="0" w:line="218" w:lineRule="exact"/>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Innovation</w:t>
      </w:r>
      <w:r>
        <w:rPr>
          <w:rFonts w:ascii="Times New Roman" w:cs="Times New Roman" w:eastAsia="Times New Roman" w:hAnsi="Times New Roman"/>
          <w:sz w:val="18"/>
          <w:szCs w:val="18"/>
          <w:color w:val="auto"/>
        </w:rPr>
        <w:t>. In the United States, we have been closely monitoring consumer beverage trends, which have included consumers drinking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beverage alcohol products and, when consuming alcoholic beverages, the increasing demand for ready-to-drink cocktail options. To address these trends, we have engaged in strategic innovation based on data analysis, consumer insights, and portfolio diversification into alternative beverage options. For the consumer seeking to reduce their beverage alcohol consumption, our recent innovations include launching a portfolio of Non-Alcoholic craft beer, sparkling waters under our Liquid Love brand, and clean label energy drinks fortified with vitamins. Our other innovative products include Hemp Derived Delta-9 (HD-D9) beverages. Although new U.S. federal legislation was recently enacted that will restrict the production and sale of our HD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D9 beverages beginning in November 2026, we believe that new regulations could evolve prior to that date to permit continued sales of HD-D9 beverages under the recent executive order directing the U.S. rescheduling of cannabis products. These strategic innovations underscore our commitment to offering high-quality options across a diverse range of beverage categories, positioning us for sustained growth by meeting consumer demand and differentiation in the competitive beverage segment.</w:t>
      </w:r>
    </w:p>
    <w:p>
      <w:pPr>
        <w:spacing w:after="0" w:line="198" w:lineRule="exact"/>
        <w:rPr>
          <w:rFonts w:ascii="Times New Roman" w:cs="Times New Roman" w:eastAsia="Times New Roman" w:hAnsi="Times New Roman"/>
          <w:sz w:val="22"/>
          <w:szCs w:val="22"/>
          <w:color w:val="auto"/>
        </w:rPr>
      </w:pPr>
    </w:p>
    <w:p>
      <w:pPr>
        <w:jc w:val="both"/>
        <w:ind w:left="820" w:hanging="272"/>
        <w:spacing w:after="0" w:line="246" w:lineRule="auto"/>
        <w:tabs>
          <w:tab w:leader="none" w:pos="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Brew Pubs</w:t>
      </w:r>
      <w:r>
        <w:rPr>
          <w:rFonts w:ascii="Times New Roman" w:cs="Times New Roman" w:eastAsia="Times New Roman" w:hAnsi="Times New Roman"/>
          <w:sz w:val="18"/>
          <w:szCs w:val="18"/>
          <w:color w:val="auto"/>
        </w:rPr>
        <w:t>. We currently operate 17 brew pubs, including our Breckenridge Distillery restaurant and tasting room, in geographic regions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 and core markets for the associated craft brands. An important part of our strategic plan for our craft beer business centers on the role that brew pubs play in promoting and showcasing the distinct, regional positioning of our various craft beer brands. They provide our consumers with a venue in which to connect with others and have an immersive brand experience which serves to enhance brand loyalty and drive immediate and long-term revenue growth. We also believe that our brew pub strategy fuels trial and innovation by allowing us to curate unique small batch product offerings in targeted test markets.</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spirits category, Breckenridge Distillery combines premium craftsmanship, award-winning quality, and experiential tourism appeal, reinforcing its niche as a lifestyle-driven spirits brand. The distillery has earned multiple prestigious accolades across Whiskey, Gin, and Vodka, including three Icons of Whisky awards, ten Best American Blended Whiskey honors at the World Whiskies Awards, and recognition as Colorado Distillery of the Year. Recent achievements include Breckenridge Reserve Port Cask Finish being named the World’s Best Finished Bourbon at the 2024 World Whiskies Awards. Breckenridge Distillery products are available in all 50 states, with continued planned expansion and product innovations. Recent launches include Mock One – a non-alcoholic spirits line, Mountain Shot – flavored whiskey in convenient pouches, and Casa Breck Tequila, all underscoring our commitment to innovation and evolving consumer preferences. Despite prevailing challenges within the overall spirits market, we believe our focus on whiskey—a resilient segment—combined with our award-winning portfolio and innovative product introductions, positions Breckenridge Distillery for sustained growth and enhanced market presence.</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Canadian cannabis market trends: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cannabis industry in Canada continues to evolve given how nascent the industry is with federal legalization of adult-use cannabis occurring just over five years ago. Through analysis of the current market conditions, the following key trends have emerged and are anticipated to influence the near-term future in the Canadian cannabis industry:</w:t>
      </w:r>
    </w:p>
    <w:p>
      <w:pPr>
        <w:spacing w:after="0" w:line="174" w:lineRule="exact"/>
        <w:rPr>
          <w:sz w:val="20"/>
          <w:szCs w:val="20"/>
          <w:color w:val="auto"/>
        </w:rPr>
      </w:pPr>
    </w:p>
    <w:p>
      <w:pPr>
        <w:jc w:val="both"/>
        <w:ind w:left="820" w:hanging="326"/>
        <w:spacing w:after="0" w:line="25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share</w:t>
      </w:r>
      <w:r>
        <w:rPr>
          <w:rFonts w:ascii="Times New Roman" w:cs="Times New Roman" w:eastAsia="Times New Roman" w:hAnsi="Times New Roman"/>
          <w:sz w:val="18"/>
          <w:szCs w:val="18"/>
          <w:color w:val="auto"/>
        </w:rPr>
        <w:t>. During the quarter, Tilray continued to lead the Canadian market with the highest cannabis revenue in Canada. Additionally,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quarter, we experienced a marginal decrease in market share in Canada from 9.4% to 9.3% from the immediately preceding quarter as reported by Hifyre data for all provinces, excluding Quebec where Weedcrawler was deemed more accurate. The current period decrease in market share reflects our strength in flower and non-infused pre-roll categories which was offset by our lower participation in specific categories experiencing the most price compression. Additionally, we continue to enhance our global supply chain and increase our cultivation footprint to support the growing demand for our product in both Canadian and international cannabis markets. In the meantime, we continue to opportunistically redirect certain inventories to international cannabis markets, which is expected to generate higher margin sales.</w:t>
      </w:r>
    </w:p>
    <w:p>
      <w:pPr>
        <w:spacing w:after="0" w:line="182"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compression. </w:t>
      </w:r>
      <w:r>
        <w:rPr>
          <w:rFonts w:ascii="Times New Roman" w:cs="Times New Roman" w:eastAsia="Times New Roman" w:hAnsi="Times New Roman"/>
          <w:sz w:val="18"/>
          <w:szCs w:val="18"/>
          <w:color w:val="auto"/>
        </w:rPr>
        <w:t>Historical price compression in specific categories is expected to persist in the market, intensified by fierce competition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 approximately 1,000 Licensed Producers in Canada. The fixed impact of excise per gram, notwithstanding the decline in average selling prices, further compounds these challenges, and has promoted ongoing industry lobbying efforts.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cannabis trends: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global leader in the development, production, distribution, marketing and sale of pharmaceutical-grade medical cannabis products. The cannabis industry in Europe is still in its early stages of development and countries within Europe are at different stages of medical and adult-use cannabis legalization. The most meaningful progress to date has been the legalization and regulation of cannabis for medical purposes, which has now taken place in more than 19 countries representing a population of more than 477 million people (Germany, UK, Italy, Poland, Netherlands, Czech Republic, Greece, Portugal, Austria, Switzerland, Denmark, Croatia, Malta, Luxembourg, Ukraine, Sweden, Norway, Türkiye, Ireland, and Israel). Beyond this, some countries have expressed a clear political ambition to legalize adult-use cannabis (Portugal and Luxembourg), some are engaging in experiments for adult-use legalization (Germany, Netherlands, Malta, Czech Republic and Switzerland) and some are debating regulations for cannabinoid-based medicine (France and Spain). In Europe, we believe that, despite continuing recessionary economic conditions, political uncertainty in various countries and the continuing Russian conflict with Ukraine, cannabis legalization (both medicinal and adult-use) will continue to gain traction albeit more slowly than originally expected. This is evidenced by the cannabis regulations in Germany adopted on April 1, 2024, which we believe will serve as a catalyst for continued changes in drug policy throughout Europe. Outside of Europe and North America, the cannabis industry is also in its early stages of</w:t>
      </w:r>
    </w:p>
    <w:p>
      <w:pPr>
        <w:sectPr>
          <w:pgSz w:w="11900" w:h="16838" w:orient="portrait"/>
          <w:cols w:equalWidth="0" w:num="1">
            <w:col w:w="11240"/>
          </w:cols>
          <w:pgMar w:left="320" w:top="576" w:right="339" w:bottom="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with Australia representing one of the larger markets and with some Latin American countries also growing their respective medical cannabis markets, such as Argentina, Panama, Colombia and Brazil.</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continue to believe that Tilray remains uniquely well-positioned to maintain and gain significant market share in the markets in which we participate. We benefit from our end-to-end vertically-integrated infrastructure and well-placed investments, which are comprised of two EU-GMP cultivation facilities located in Portugal and Germany; our fully owned route-to-market encompassing sales, marketing and distribution infrastructure in Germany, Australia and Italy; a network of leading distributors who we work with in the various other countries in which we participate; and, our extensive genetics portfolio and demonstrated commitment and expertise related to the cultivation and production of high-quality, safe cannabis products. Tilray’s International business also benefits from the depth and breadth of knowledge, experience, relationships and infrastructure we have gleaned from our leading participation and investment into the Canadian medical and adult-use markets. Tilray is proudly pioneering the effort to further understand the therapeutic value of cannabis through the guidance of its independent Medical Advisory board and through partnerships with leading research institutions globally, Tilray is currently supporting clinical trials around the world studying the efficacy of cannabis in treading various indications. We believe that these assets and attributes, combined with our ability to navigate complex regulatory environments, will continue to drive our leadership in international medical markets and allow us to successfully enter new markets as they adopt medical cannabis and potentially adult-use regulations and may also serve to support a potential U.S. participation.</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Germany</w:t>
      </w:r>
      <w:r>
        <w:rPr>
          <w:rFonts w:ascii="Times New Roman" w:cs="Times New Roman" w:eastAsia="Times New Roman" w:hAnsi="Times New Roman"/>
          <w:sz w:val="18"/>
          <w:szCs w:val="18"/>
          <w:color w:val="auto"/>
        </w:rPr>
        <w:t>. Today, Germany remains the largest medical cannabis market in Europe.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believe that Tilray is well-positioned in Germany, especially considering the enactment of MedCanG and given that we are one of only three manufacturers of medical cannabis in Germany since our wholly owned subsidiary, Aphria RX, was awarded the first license for the cultivation of medical cannabis in Germany by the BfArM under the liberalized regime. Said license will improve our ability to meet the needs of patients and provide cannabis of the utmost quality and enhanced availability to a broader market.</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the market continues to mature, we have seen increased demands and differentiation specifically with medical cannabis flowers. In response, we have launched Redecan and Good Supply brands and related medical cannabis products, which provides the patient with a segmented portfolio of products while we continue to deliver on the trust, safety and consistency that has become expected from our Tilray Medical brand.</w:t>
      </w:r>
    </w:p>
    <w:p>
      <w:pPr>
        <w:spacing w:after="0" w:line="1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Poland</w:t>
      </w:r>
      <w:r>
        <w:rPr>
          <w:rFonts w:ascii="Times New Roman" w:cs="Times New Roman" w:eastAsia="Times New Roman" w:hAnsi="Times New Roman"/>
          <w:sz w:val="18"/>
          <w:szCs w:val="18"/>
          <w:color w:val="auto"/>
        </w:rPr>
        <w:t>. In Poland, cannabis was legalized for medical use in 2018 and is prescribed to patients by a physician and dispensed by pharmacies. Today,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doctors in Poland are allowed to prescribe medical cannabis and it is a self-pay market as medical cannabis is not refundable by the Polish health service. Tilray is a leading supplier of medical cannabis in Poland through our network of distributor partnerships. We predominantly supply the market with whole flower medical cannabis products.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United Kingdom</w:t>
      </w:r>
      <w:r>
        <w:rPr>
          <w:rFonts w:ascii="Times New Roman" w:cs="Times New Roman" w:eastAsia="Times New Roman" w:hAnsi="Times New Roman"/>
          <w:sz w:val="18"/>
          <w:szCs w:val="18"/>
          <w:color w:val="auto"/>
        </w:rPr>
        <w:t>. Since November 2018, doctors in the UK have been able to prescribe medical cannabis for medicinal use for patients with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that had failed to respond to first-line medications. The market today is predominantly all self-pay and prescriptions are facilitated by private clinics. Today, we supply the UK market with mainly whole flower products from both the Tilray Medical and Broken Coast brands through our distributor partners with sights on growing our portfolio to extracts and other formats.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Ireland. </w:t>
      </w:r>
      <w:r>
        <w:rPr>
          <w:rFonts w:ascii="Times New Roman" w:cs="Times New Roman" w:eastAsia="Times New Roman" w:hAnsi="Times New Roman"/>
          <w:sz w:val="18"/>
          <w:szCs w:val="18"/>
          <w:color w:val="auto"/>
        </w:rPr>
        <w:t>In June 2019, the Minister for Health signed legislation allowing for the operation of the Medical Cannabis Access Programme (“MCAP”)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pilot basis for five years. The MCAP allows a medical consultant to prescribe a cannabis-based treatment for a narrow set of specified medical conditions, where the patient has failed to respond to standard treatment. Reimbursement is available for products which have received the appropriate approvals. Tilray was one of the first players to enter the Irish market and is one of a few suppliers which has received approval for its products to be prescribed and to have been granted reimbursement status. Today, we supply our approved extract product to Ireland through our distribution partner.</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Italy</w:t>
      </w:r>
      <w:r>
        <w:rPr>
          <w:rFonts w:ascii="Times New Roman" w:cs="Times New Roman" w:eastAsia="Times New Roman" w:hAnsi="Times New Roman"/>
          <w:sz w:val="18"/>
          <w:szCs w:val="18"/>
          <w:color w:val="auto"/>
        </w:rPr>
        <w:t>. In May 2023, Tilray Medical received authorization from Italy’s Ministry of Health to distribute three new medical cannabis compounds.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medical cannabis compounds are distributed by FL Group, our wholly-owned subsidiary, to pharmacies across Italy. With FL Group, we have an established broad national pharmaceutical distribution network in Italy, where medical cannabis is prescribed by doctors and reimbursed by the healthcare system to eligible patients. In 2025, Tilray has received additional cannabis flower and extract product authorizations and has formed a strategic partnership with Molteni Farmaceutici with the commitment to broaden the availability of Tilray Medical products for patients across Italy.</w:t>
      </w:r>
    </w:p>
    <w:p>
      <w:pPr>
        <w:spacing w:after="0" w:line="18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Australia</w:t>
      </w:r>
      <w:r>
        <w:rPr>
          <w:rFonts w:ascii="Times New Roman" w:cs="Times New Roman" w:eastAsia="Times New Roman" w:hAnsi="Times New Roman"/>
          <w:sz w:val="18"/>
          <w:szCs w:val="18"/>
          <w:color w:val="auto"/>
        </w:rPr>
        <w:t>. In 2016, the Australian Government legalized medicinal cannabis, which is regulated by the Therapeutic Goods Administration.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cannabis is prescribed by a doctor but there is no coverage under the Pharmaceutical Benefits Scheme. Tilray Medical supplies the market with wide portfolio of medical cannabis extracts as well as whole flower products. As the market continues to mature, we have seen increased demands and differentiation specifically with medical cannabis flowers. In response, we launched the Broken Coast, Redecan and Good Supply brands and products, which provides the patient with a segmented portfolio of products while we continue to deliver on the trust, safety and consistency that has become expected from our Tilray Medical brand.</w:t>
      </w:r>
    </w:p>
    <w:p>
      <w:pPr>
        <w:spacing w:after="0" w:line="18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Luxembourg</w:t>
      </w:r>
      <w:r>
        <w:rPr>
          <w:rFonts w:ascii="Times New Roman" w:cs="Times New Roman" w:eastAsia="Times New Roman" w:hAnsi="Times New Roman"/>
          <w:sz w:val="18"/>
          <w:szCs w:val="18"/>
          <w:color w:val="auto"/>
        </w:rPr>
        <w:t>. Luxembourg established its medical cannabis framework in 2018, with the national program operational since February 2019.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cannabis is tightly regulated, accessible only through trained physicians and dispensed exclusively via hospital pharmacies. Prescriptions are limited to patients with defined, severe medical conditions, and all treatments are covered by public health insurance. In January 2025, Luxembourg updated its regulations to phase-out high-THC flower products, now permitting only balanced or high-CBD flower and oil-based extracts. This shift reflects the government’s commitment to standardized, pharmaceutical-grade cannabis therapies and patient safety. Tilray Deutschland GmbH was awarded the official government tender in 2025 to supply medical cannabis flower, demonstrating our leadership in centralized procurement and compliance with Luxembourg’s rigorous standards.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Portugal</w:t>
      </w:r>
      <w:r>
        <w:rPr>
          <w:rFonts w:ascii="Times New Roman" w:cs="Times New Roman" w:eastAsia="Times New Roman" w:hAnsi="Times New Roman"/>
          <w:sz w:val="18"/>
          <w:szCs w:val="18"/>
          <w:color w:val="auto"/>
        </w:rPr>
        <w:t>. Portugal legalized medical cannabis in July 2018. The regulatory framework is overseen by INFARMED, requiring Market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 (ACM) for all non-pharmaceutical cannabis products, with strict GACP and GMP compliance. While domestic patient access remains limited due to stringent product approvals and the absence of public reimbursement, Portugal has emerged as a leading European producer and exporter of medical cannabis, supplying high-value markets such as Germany, Poland, and Australia. In 2021, Tilray received the first Authorization for Placement on the Market for dried flower, with additional product approvals in 2024, reinforcing our pioneering role in Portugal’s medical cannabis sector. Our strategic investments in cultivation and manufacturing, combined with robust compliance and documentation standards, enable Tilray to deliver EU-GMP quality products to both domestic and international markets. As Portugal explores adult-use reform, Tilray’s established reputation and operational excellence position us to capitalize on future regulatory developments and market expansion.</w:t>
      </w:r>
    </w:p>
    <w:p>
      <w:pPr>
        <w:sectPr>
          <w:pgSz w:w="11900" w:h="16838" w:orient="portrait"/>
          <w:cols w:equalWidth="0" w:num="1">
            <w:col w:w="11240"/>
          </w:cols>
          <w:pgMar w:left="320" w:top="121" w:right="339" w:bottom="177" w:gutter="0" w:footer="0" w:header="0"/>
        </w:sectPr>
      </w:pPr>
    </w:p>
    <w:p>
      <w:pPr>
        <w:spacing w:after="0" w:line="18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33" w:name="page34"/>
    <w:bookmarkEnd w:id="33"/>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Wellness market trends: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Tilray Wellness’s branded business continues to grow across brick-and-mortar retail as well as ecommerce, further establishing its leading market share position in better-for-you categories. The Company continues to focus on value-added innovation within natural and organic food and beverages across branded and ingredient sales. We continue to participate in multiple growing categories including super-seeds, better for you breakfast, better for you snacking, and natural energy drinks. Within our Ingredients sales business, we have expanded our range of offerings in hemp protein and hemp oil, helping us further develop our business in North America and Asia.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Strategic Transactions and Synergies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strive to continue to expand our business, on a consolidated basis, through a combination of organic growth and acquisition. While we continue to execute against our strategic initiatives that we believe will result in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well as expand our existing capabilities. In addition, we have exited certain businesses and continue to evaluate certain businesses within our portfolio that are dilutive to profitability and cash flow. As a result, we incur transaction costs in connection with identifying and completing acquisitions and strategic transactions, as well as ongoing integration and restructuring costs as we combine acquired companies and continue to achieve synergies, which is offset by income generated in connection with the execution of these transactions. For the six months ended November 30, 2025, we incurred $1.0 million of transaction expenses, as discussed further below.</w:t>
      </w: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Beverage segment Project 420:</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November 2020, we entered the beverage category with the acquisition of SweetWater Brewing Company, one of the largest independent craft brewers in the U.S. by volume, with the vision of creating a more diversified global lifestyle consumer products company.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initial acquisition provided us with a foundation to pursue additional acquisitions in the beverage category and scale our business on a national basis. We acquired Alpine Beer Company, Green Flash and Breckenridge Distillery in December 2021, Montauk Brewing Company in November 2022, Craft Acquisition I in October 2023 and Craft Acquisition II in September 2024.</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 Craft Acquisition I and Craft Acquisition II, we capitalized on opportunities to acquire additional beverage businesses that consisted of strong brands in decline due to lack of focus and in need of investment in order to promote growth, all at a significantly reduced purchase price. To support the growth of these acquired brands and establish a clear path to profitability, we implemented Project 420, which is a comprehensive plan covering (i) SKU optimization/rationalization; (ii) Geographic rationalization; (iii) Distributor rationalization; and (iv) synergy optimization plan through which we expect to invest in the acquired brands for growth and improve profitability:</w:t>
      </w:r>
    </w:p>
    <w:p>
      <w:pPr>
        <w:spacing w:after="0" w:line="181" w:lineRule="exact"/>
        <w:rPr>
          <w:sz w:val="20"/>
          <w:szCs w:val="20"/>
          <w:color w:val="auto"/>
        </w:rPr>
      </w:pPr>
    </w:p>
    <w:p>
      <w:pPr>
        <w:jc w:val="both"/>
        <w:ind w:left="820" w:hanging="326"/>
        <w:spacing w:after="0" w:line="258"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SKU optimization/rationalization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response to the declining growth in the craft beer industry and consolidation of distributors,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with our distributors in various markets to streamline our portfolio by eliminating duplicative, lower margin and slower growth products, which has the immediate effect of reducing revenue. However, by eliminating these slower moving and lower margin SKUs, we are able to focus our attention and resources on our higher margin and faster growing SKUs, as well as the introduction of new innovation, which we expect will accelerate our revenue growth in future quarters.</w:t>
      </w:r>
    </w:p>
    <w:p>
      <w:pPr>
        <w:spacing w:after="0" w:line="183" w:lineRule="exact"/>
        <w:rPr>
          <w:rFonts w:ascii="Times New Roman" w:cs="Times New Roman" w:eastAsia="Times New Roman" w:hAnsi="Times New Roman"/>
          <w:sz w:val="18"/>
          <w:szCs w:val="18"/>
          <w:color w:val="auto"/>
        </w:rPr>
      </w:pPr>
    </w:p>
    <w:p>
      <w:pPr>
        <w:jc w:val="both"/>
        <w:ind w:left="820" w:hanging="326"/>
        <w:spacing w:after="0" w:line="256"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Geographic rationalization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On a consolidated basis, we generate sales in all states however, our brands are significantly stronger in their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For example, SweetWater is located in Georgia and, as a result, its revenues are stronger in Georgia, Alabama, North Carolina and Florida, while 10 Barrel, which is located in Oregon has stronger revenue in Oregon, Washington, Idaho and Wyoming. In away markets, like Oregon for SweetWater, and Georgia for 10 Barrel, the brands are not as strong in these “away” states. Our geographic rationalization works to concentrate our efforts in individual states with our strongest brands in those states. As we reduce the distribution of away markets brands in those states, we are working to increase the distribution and shelf space of home market brands. This initiative is consistent with our Regional Jewel strategy developed in conjunction with the Boston Consulting Group.</w:t>
      </w:r>
    </w:p>
    <w:p>
      <w:pPr>
        <w:spacing w:after="0" w:line="182"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Distributor rationalization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As a result of our various acquisitions in the last five years, we have over 750 distributors and 975 distributor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locations. As a result, we are shipping to multiple distributors in the same geography as well as splitting the allocation of local brands between multiple distributors. The goal of the distributor rationalization is to reduce our distributor footprint down to between 450 and 500 distributors, concentrating those distributors’ effort on our brands and SKUs, while minimizing logistical complexities.</w:t>
      </w:r>
    </w:p>
    <w:p>
      <w:pPr>
        <w:spacing w:after="0" w:line="179"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Synergy optimization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previously announced a $33 million synergy plan focused on optimizing our production footprint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eliminating redundancies in manufacturing and warehouse assets. By integrating the newly acquired facilities into our existing footprint, we are optimizing capacities, utilization and better absorbing fixed overheads. This in turn is improving our gross margins. As of November 30, 2025, we have achieved $27.2 million of those savings to date. We expect to complete the synergy optimization plan in the fourth quarter of fiscal 2026.</w:t>
      </w:r>
    </w:p>
    <w:p>
      <w:pPr>
        <w:spacing w:after="0" w:line="183"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Brand and business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have been and are continuing to increase our investment in the marketing, promotion and infrastructure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recently acquired brands in order to re-establish their dominance in their core markets. Our intention is to fund this investment through the cost savings and synergies achieved through Project 420.</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 is important to note, however, that there is a lag between the discontinuation of the SKUs and the associated reduction in revenue, which has an immediate effect, and the acceleration of the growth of our existing SKUs and the introduction of new innovation and the associated increase in revenue, which takes time due to retailer resets. We also expect these efforts will lead to improved sales and margins, with benefits realized through lower selling costs, as well as reduced requirements for working capital through inventory reductions and an improvement in our cash conversion cycle.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582"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Political and Economic Environment</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results of operations may continue to be affected by economic, political, legislative, regulatory, legal actions, global volatility and general market disruption resulting from geopolitical tensions, such as Russia's continued incursion into Ukraine, the ongoing events in the Middle East and political uncertainty in certain countries in Europe. Economic conditions, such as recessionary trends, inflation, supply chain disruptions, interest and monetary exchange rates, government fiscal policies, and the recent economic uncertainties resulting from certain changes in U.S. global economic policy, including changes on global trade policies can have a significant effect on operations. More specifically, there are no expected impacts on revenue from the recently enacted U.S. tariffs and foreign enacted retaliatory tariffs (“Tariffs”). From a cost perspective, we believe the recently enacted Tariffs could impact input materials such as aluminum, hops, barley, malt and vape componentry, which are partially imported but we intend to mitigate these impacts to the extent possible.</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U.S. federal regulatory developments regarding cannabis rescheduling represent a significant shift in the political and legislative environment. This regulatory evolution is expected to create a more credible framework for medical cannabis research, clinical development, and compliance, aligning with Tilray’s established global expertise in regulated medical cannabis markets; although, there are no assurances whether such rescheduling will be implemented as and when anticipated. The Company intends to leverage its proven compliance infrastructure, scientific knowledge, and operational scale to expand responsibly in the U.S. market, introducing medical-grade cannabis products in targeted therapeutic formats. While these developments present significant long-term growth opportunities, they also introduce new regulatory complexities and potential risks that we will continue to monitor closely.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Effective December 2, 2025, we implemented a Reverse Stock Split of our outstanding shares of Common Stock, at a ratio of one-for-ten.</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 fractional shares were issued in connection with the Reverse Stock Split. Fractional shares resulting from the Reverse Stock Split were rounded down to the nearest whole share and stockholders received cash in lieu of any fractional shares that were created by the Reverse Stock Split. Each stockholder's percentage ownership interest in the Company and proportional voting power remained unchanged as a result of the Reverse Stock Split, except for adjustments that resulted from rounding fractional shares down to whole shares.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issued and outstanding Common Stock, per share amounts, and outstanding equity instruments and awards exercisable into Common Stock contained in the condensed interim consolidated financial statements of the Company and notes thereto have been retroactively adjusted to reflect the Reverse Stock Split for all current and prior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results, in thousands except for per share data,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6,557</w:t>
            </w:r>
          </w:p>
        </w:tc>
        <w:tc>
          <w:tcPr>
            <w:tcW w:w="13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16,014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160,010</w:t>
            </w:r>
          </w:p>
        </w:tc>
        <w:tc>
          <w:tcPr>
            <w:tcW w:w="20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149,730</w:t>
            </w:r>
          </w:p>
        </w:tc>
        <w:tc>
          <w:tcPr>
            <w:tcW w:w="140" w:type="dxa"/>
            <w:vAlign w:val="bottom"/>
          </w:tcPr>
          <w:p>
            <w:pPr>
              <w:spacing w:after="0"/>
              <w:rPr>
                <w:sz w:val="19"/>
                <w:szCs w:val="19"/>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10,280</w:t>
            </w: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312,042</w:t>
            </w:r>
          </w:p>
        </w:tc>
        <w:tc>
          <w:tcPr>
            <w:tcW w:w="180" w:type="dxa"/>
            <w:vAlign w:val="bottom"/>
          </w:tcPr>
          <w:p>
            <w:pPr>
              <w:spacing w:after="0"/>
              <w:rPr>
                <w:sz w:val="19"/>
                <w:szCs w:val="19"/>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290,068</w:t>
            </w:r>
          </w:p>
        </w:tc>
        <w:tc>
          <w:tcPr>
            <w:tcW w:w="120" w:type="dxa"/>
            <w:vAlign w:val="bottom"/>
          </w:tcPr>
          <w:p>
            <w:pPr>
              <w:spacing w:after="0"/>
              <w:rPr>
                <w:sz w:val="19"/>
                <w:szCs w:val="19"/>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21,974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57,497</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61,220</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114,966</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120,926</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51,175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45,997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5,178</w:t>
            </w:r>
          </w:p>
        </w:tc>
        <w:tc>
          <w:tcPr>
            <w:tcW w:w="13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92,228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90,110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2,118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1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11,781</w:t>
            </w:r>
          </w:p>
        </w:tc>
        <w:tc>
          <w:tcPr>
            <w:tcW w:w="2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16,162</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24,704</w:t>
            </w:r>
          </w:p>
        </w:tc>
        <w:tc>
          <w:tcPr>
            <w:tcW w:w="18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27,852</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(3,148)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4,358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22,927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(18,569)</w:t>
            </w:r>
          </w:p>
        </w:tc>
        <w:tc>
          <w:tcPr>
            <w:tcW w:w="1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8,287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44,731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(36,444)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9,981</w:t>
            </w:r>
          </w:p>
        </w:tc>
        <w:tc>
          <w:tcPr>
            <w:tcW w:w="2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9,720</w:t>
            </w:r>
          </w:p>
        </w:tc>
        <w:tc>
          <w:tcPr>
            <w:tcW w:w="1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261</w:t>
            </w: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20,136</w:t>
            </w:r>
          </w:p>
        </w:tc>
        <w:tc>
          <w:tcPr>
            <w:tcW w:w="18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21,286</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13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20"/>
                <w:szCs w:val="20"/>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20"/>
                <w:szCs w:val="20"/>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(15,000)</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Litigation costs, net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6,869</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1,834</w:t>
            </w:r>
          </w:p>
        </w:tc>
        <w:tc>
          <w:tcPr>
            <w:tcW w:w="18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11,116</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Transaction costs (income),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340" w:type="dxa"/>
            <w:vAlign w:val="bottom"/>
            <w:gridSpan w:val="3"/>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(989)</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1340" w:type="dxa"/>
            <w:vAlign w:val="bottom"/>
            <w:gridSpan w:val="3"/>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969</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79,776</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103,438</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w:t>
            </w: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135,153</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199,714</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(5,374)</w:t>
            </w:r>
          </w:p>
        </w:tc>
        <w:tc>
          <w:tcPr>
            <w:tcW w:w="20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(7,766)</w:t>
            </w:r>
          </w:p>
        </w:tc>
        <w:tc>
          <w:tcPr>
            <w:tcW w:w="1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2,392</w:t>
            </w: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(12,070)</w:t>
            </w:r>
          </w:p>
        </w:tc>
        <w:tc>
          <w:tcPr>
            <w:tcW w:w="18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(17,608)</w:t>
            </w:r>
          </w:p>
        </w:tc>
        <w:tc>
          <w:tcPr>
            <w:tcW w:w="12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5,538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Non-operating (expense)</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(12,310)</w:t>
            </w:r>
          </w:p>
        </w:tc>
        <w:tc>
          <w:tcPr>
            <w:tcW w:w="2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(33,255)</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(8,478)</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(20,609)</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net</w:t>
            </w: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20,945</w:t>
            </w:r>
          </w:p>
        </w:tc>
        <w:tc>
          <w:tcPr>
            <w:tcW w:w="1340" w:type="dxa"/>
            <w:vAlign w:val="bottom"/>
            <w:gridSpan w:val="3"/>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12,131</w:t>
            </w: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(39,963)</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(83,239)</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(117,005)</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76,270</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(1,661)</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net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3,546</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2,036</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1,510</w:t>
            </w:r>
          </w:p>
        </w:tc>
        <w:tc>
          <w:tcPr>
            <w:tcW w:w="1340" w:type="dxa"/>
            <w:vAlign w:val="bottom"/>
            <w:gridSpan w:val="3"/>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1,261</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(85,275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(119,927</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77,931</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487"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in this Quarterly Report on Form 10-Q, we discuss non-GAAP financial measures, including references to:</w:t>
      </w:r>
    </w:p>
    <w:p>
      <w:pPr>
        <w:spacing w:after="0" w:line="162" w:lineRule="exact"/>
        <w:rPr>
          <w:sz w:val="20"/>
          <w:szCs w:val="20"/>
          <w:color w:val="auto"/>
        </w:rPr>
      </w:pPr>
    </w:p>
    <w:p>
      <w:pPr>
        <w:ind w:left="820" w:right="22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(excluding purchase price allocation (“PPA”) step up) consolidated and for each reporting segment (Cannabis, Beverage, Distribution and Wellness),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(excluding PPA step up) consolidated and for each reporting segment (Cannabis, Beverage, Distribution and Wellness),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marketable securities,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presentation of net revenue (by segment and consolidated).</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These non-GAAP financial measures should be considered in addition to, and not in lieu of, the financial measures calculated and presented in accordance with generally accepted accounting principles in the United States of America, (“GAAP”). These financial measures, which may be different than similarly titled financial measures used by other companies, are presented to help investors' overall understanding of our financial performance and should not be considered a substitute for, or superior to, the financial information prepared and presented in accordance with GAAP. Please see “Reconciliation of Non-GAAP Financial Measures to GAAP Measures” below for reconciliation of such non-GAAP financial measures to the most directly comparable GAAP financial measures, as well as a discussion of our adjusted gross margin, adjusted gross profit and adjusted EBITDA measures and the calculation of such measures.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Constant Currency Presentation</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this financial measure provides useful information to investors because it eliminates the effect that foreign currency exchange rate fluctuations may have on period-to-period comparability given the volatility in foreign currency exchange markets and therefore, provides greater transparency to the underlying performance of our consolidated net sales. To present this information for historical periods, current period net sales for entities reporting in currencies other than the U.S. Dollar are translated into U.S. Dollars at the average monthly exchange rate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and Marketable Securities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combines the Cash and cash equivalent financial statement line item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combining these two GAAP metrics.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Operating Metrics and Non-GAAP Measures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use the operating metrics and non-GAAP measures set forth in the table below to evaluate our business and operations, measure our performance, identify trends affecting our business, project our future performance, and make strategic decisions. Other companies, including companies in our industry, may calculate operating metrics and non-GAAP measures with similar names differently which may reduce their usefulness as comparative measures. Certain variances are labeled as not meaningful (“NM”) throughout management's discussion and analysis.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24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0"/>
        </w:trPr>
        <w:tc>
          <w:tcPr>
            <w:tcW w:w="584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revenue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119,053</w:t>
            </w: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67,532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65,652</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132,043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126,901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85,316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67,611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159,323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135,682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14,576</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14,606</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29,820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29,358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34,351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37,925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68,764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70,975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41,398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42,475</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82,639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79,529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74,334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59,207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140,342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119,345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9,927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10,123</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20,297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20,219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(excluding PPA step-up) (1)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57,497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62,596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114,966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122,477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Beverage adjusted gross margin (excluding PPA step-up) (1)</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adjusted gross margin (excluding PPA step-up) (1)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margin</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gross margin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8,365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9,017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18,546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18,351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marketable securities (1) as at the period ended: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291,551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252,249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291,551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252,249</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as at the period ended: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470,002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428,815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470,002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428,815</w:t>
            </w:r>
          </w:p>
        </w:tc>
      </w:tr>
    </w:tbl>
    <w:p>
      <w:pPr>
        <w:spacing w:after="0" w:line="177" w:lineRule="exact"/>
        <w:rPr>
          <w:sz w:val="20"/>
          <w:szCs w:val="20"/>
          <w:color w:val="auto"/>
        </w:rPr>
      </w:pPr>
    </w:p>
    <w:p>
      <w:pPr>
        <w:jc w:val="both"/>
        <w:ind w:firstLine="8"/>
        <w:spacing w:after="0" w:line="252" w:lineRule="auto"/>
        <w:tabs>
          <w:tab w:leader="none" w:pos="212" w:val="left"/>
        </w:tabs>
        <w:numPr>
          <w:ilvl w:val="0"/>
          <w:numId w:val="9"/>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16"/>
          <w:szCs w:val="16"/>
          <w:i w:val="1"/>
          <w:iCs w:val="1"/>
          <w:color w:val="auto"/>
        </w:rPr>
        <w:t>Adjusted EBITDA, adjusted gross profit (excluding PPA step-up) and adjusted gross margin (excluding PPA step-up) for each of our segments, and cash and marketable securities are non-GAAP financial measures. See “Use of Non-GAAP Measures” above for a discussion of these Non-GAAP measures and “Reconciliation of Non-GAAP Financial Measures to GAAP Measures” below for a reconciliation of these Non-GAAP Measures to our most comparable GAAP measure and the discussion above captioned “Cash and Marketable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November 30, 2025 and November 30, 2024, respectively, our reporting segments net revenue was comprised of net revenues from our beverage, cannabis, distribution, and wellness operations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business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2"/>
              </w:rPr>
              <w:t>50,083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(12,998)</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2"/>
              </w:rPr>
              <w:t>119,053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(13,231)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4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67,532</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65,652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1,880</w:t>
            </w: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132,043</w:t>
            </w:r>
          </w:p>
        </w:tc>
        <w:tc>
          <w:tcPr>
            <w:tcW w:w="18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126,901</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85,316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67,611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17,705</w:t>
            </w:r>
          </w:p>
        </w:tc>
        <w:tc>
          <w:tcPr>
            <w:tcW w:w="13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159,323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135,682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23,641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40" w:type="dxa"/>
            <w:vAlign w:val="bottom"/>
          </w:tcPr>
          <w:p>
            <w:pPr>
              <w:spacing w:after="0"/>
              <w:rPr>
                <w:sz w:val="19"/>
                <w:szCs w:val="19"/>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14,576</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14,606</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29,820</w:t>
            </w:r>
          </w:p>
        </w:tc>
        <w:tc>
          <w:tcPr>
            <w:tcW w:w="180" w:type="dxa"/>
            <w:vAlign w:val="bottom"/>
          </w:tcPr>
          <w:p>
            <w:pPr>
              <w:spacing w:after="0"/>
              <w:rPr>
                <w:sz w:val="19"/>
                <w:szCs w:val="19"/>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29,358</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217,507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410,994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7" w:name="page38"/>
    <w:bookmarkEnd w:id="37"/>
    <w:p>
      <w:pPr>
        <w:ind w:firstLine="450"/>
        <w:spacing w:after="0" w:line="285" w:lineRule="auto"/>
        <w:rPr>
          <w:sz w:val="20"/>
          <w:szCs w:val="20"/>
          <w:color w:val="auto"/>
        </w:rPr>
      </w:pPr>
      <w:r>
        <w:rPr>
          <w:rFonts w:ascii="Times New Roman" w:cs="Times New Roman" w:eastAsia="Times New Roman" w:hAnsi="Times New Roman"/>
          <w:sz w:val="18"/>
          <w:szCs w:val="18"/>
          <w:color w:val="auto"/>
        </w:rPr>
        <w:t>For the three and six months ended November 30, 2025 and November 30, 2024, respectively, our reporting segment net revenue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 in constant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209"/>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business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50,083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(12,998)</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2"/>
              </w:rPr>
              <w:t>119,053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(13,231)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0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67,486</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65,652</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131,535</w:t>
            </w:r>
          </w:p>
        </w:tc>
        <w:tc>
          <w:tcPr>
            <w:tcW w:w="2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126,901</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79,961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67,611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12,350</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149,667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135,682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13,985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00" w:type="dxa"/>
            <w:vAlign w:val="bottom"/>
          </w:tcPr>
          <w:p>
            <w:pPr>
              <w:spacing w:after="0"/>
              <w:rPr>
                <w:sz w:val="19"/>
                <w:szCs w:val="19"/>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14,734</w:t>
            </w:r>
          </w:p>
        </w:tc>
        <w:tc>
          <w:tcPr>
            <w:tcW w:w="2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14,606</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30,015</w:t>
            </w:r>
          </w:p>
        </w:tc>
        <w:tc>
          <w:tcPr>
            <w:tcW w:w="240" w:type="dxa"/>
            <w:vAlign w:val="bottom"/>
          </w:tcPr>
          <w:p>
            <w:pPr>
              <w:spacing w:after="0"/>
              <w:rPr>
                <w:sz w:val="19"/>
                <w:szCs w:val="19"/>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29,358</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212,264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410,994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three and six months ended November 30, 2025 and November 30, 2024, respectively, our geographic net revenue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209"/>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(13,915)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135,633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(13,834)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54,173</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56,720</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(2,547)</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112,340</w:t>
            </w:r>
          </w:p>
        </w:tc>
        <w:tc>
          <w:tcPr>
            <w:tcW w:w="18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112,625</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103,155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79,254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23,901</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188,408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156,926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31,482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2,341</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3,223</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(882)</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4,461</w:t>
            </w:r>
          </w:p>
        </w:tc>
        <w:tc>
          <w:tcPr>
            <w:tcW w:w="18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410,994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5" w:lineRule="auto"/>
        <w:rPr>
          <w:sz w:val="20"/>
          <w:szCs w:val="20"/>
          <w:color w:val="auto"/>
        </w:rPr>
      </w:pPr>
      <w:r>
        <w:rPr>
          <w:rFonts w:ascii="Times New Roman" w:cs="Times New Roman" w:eastAsia="Times New Roman" w:hAnsi="Times New Roman"/>
          <w:sz w:val="18"/>
          <w:szCs w:val="18"/>
          <w:color w:val="auto"/>
        </w:rPr>
        <w:t>For the three and six months ended November 30, 2025 and November 30, 2024, respectively, our geographic net revenue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c>
          <w:tcPr>
            <w:tcW w:w="114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1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135,633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(13,834)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55,413</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113,849</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96,391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79,254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17,137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176,399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19,473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2,622</w:t>
            </w:r>
          </w:p>
        </w:tc>
        <w:tc>
          <w:tcPr>
            <w:tcW w:w="2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4,992</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(818)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60" w:type="dxa"/>
            <w:vAlign w:val="bottom"/>
            <w:gridSpan w:val="22"/>
          </w:tcPr>
          <w:p>
            <w:pPr>
              <w:ind w:left="460"/>
              <w:spacing w:after="0"/>
              <w:rPr>
                <w:sz w:val="20"/>
                <w:szCs w:val="20"/>
                <w:color w:val="auto"/>
              </w:rPr>
            </w:pPr>
            <w:r>
              <w:rPr>
                <w:rFonts w:ascii="Times New Roman" w:cs="Times New Roman" w:eastAsia="Times New Roman" w:hAnsi="Times New Roman"/>
                <w:sz w:val="18"/>
                <w:szCs w:val="18"/>
                <w:color w:val="auto"/>
              </w:rPr>
              <w:t>As of November 30, 2025 and May 31, 2025, respectively, our geographic capital assets were as follows: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240" w:type="dxa"/>
            <w:vAlign w:val="bottom"/>
          </w:tcPr>
          <w:p>
            <w:pPr>
              <w:spacing w:after="0"/>
              <w:rPr>
                <w:sz w:val="24"/>
                <w:szCs w:val="24"/>
                <w:color w:val="auto"/>
              </w:rPr>
            </w:pPr>
          </w:p>
        </w:tc>
        <w:tc>
          <w:tcPr>
            <w:tcW w:w="12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4"/>
                <w:szCs w:val="24"/>
                <w:color w:val="auto"/>
              </w:rPr>
            </w:pPr>
          </w:p>
        </w:tc>
        <w:tc>
          <w:tcPr>
            <w:tcW w:w="16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193,897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200,003</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253,515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267,458</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(13,943)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97,371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assets</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550,101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568,433</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(18,332)</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3"/>
        </w:trPr>
        <w:tc>
          <w:tcPr>
            <w:tcW w:w="2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Beverage revenue</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Net revenue from our Beverage segment decreased to $50.1 million and to $105.8 million for the three and six months ended November 30, 2025, compared to revenue of $63.1 million and $119.1 million for the prior year periods. The decline in revenue was primarily driven by continued category challenges within the craft beer segment and competitive pressures. Additionally, our portfolio optimization efforts under Project 420, which include SKU rationalization and margin-focused initiatives, contributed to the year-over-year decrease.</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the six month period ended November 30, 2025, these impacts were partially offset by the inclusion of sales from Craft Acquisition II, effective September 1, 2024, which were not reflected in the full prior-year comparative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Cannabis revenue</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November 30, 2025 and November 30, 2024, respectively, cannabis net revenue based on market channel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178"/>
        </w:trPr>
        <w:tc>
          <w:tcPr>
            <w:tcW w:w="2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Revenue from Canadian</w:t>
            </w: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cannabis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12,380</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Canadian</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adult-use cannabis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62,448</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59,077</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3,371</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126,515</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116,312</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wholesale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6,593</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(5,247)</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5,501</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international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20,180</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14,865</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5,315</w:t>
            </w:r>
          </w:p>
        </w:tc>
        <w:tc>
          <w:tcPr>
            <w:tcW w:w="12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33,547</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27,056</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6,491</w:t>
            </w: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90,208</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87,208</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177,943</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168,402</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(22,676)</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(21,556)</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(1,120)</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(45,900)</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(41,501)</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5" w:lineRule="auto"/>
        <w:rPr>
          <w:sz w:val="20"/>
          <w:szCs w:val="20"/>
          <w:color w:val="auto"/>
        </w:rPr>
      </w:pPr>
      <w:r>
        <w:rPr>
          <w:rFonts w:ascii="Times New Roman" w:cs="Times New Roman" w:eastAsia="Times New Roman" w:hAnsi="Times New Roman"/>
          <w:sz w:val="18"/>
          <w:szCs w:val="18"/>
          <w:color w:val="auto"/>
        </w:rPr>
        <w:t>For the three and six months ended November 30, 2025 and November 30, 2024, respectively, cannabis net revenue based on market channel on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basis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178"/>
        </w:trPr>
        <w:tc>
          <w:tcPr>
            <w:tcW w:w="2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Revenue from Canadian</w:t>
            </w: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cannabis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12,554</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Canadian</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adult-use cannabis</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63,877</w:t>
            </w:r>
          </w:p>
        </w:tc>
        <w:tc>
          <w:tcPr>
            <w:tcW w:w="2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59,077</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4,800</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128,236</w:t>
            </w: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116,312</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wholesale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1,373</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6,593</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(5,220)</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5,546</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(6,554)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international</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19,053</w:t>
            </w:r>
          </w:p>
        </w:tc>
        <w:tc>
          <w:tcPr>
            <w:tcW w:w="2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14,865</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4,188</w:t>
            </w:r>
          </w:p>
        </w:tc>
        <w:tc>
          <w:tcPr>
            <w:tcW w:w="12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31,727</w:t>
            </w: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27,056</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4,671</w:t>
            </w: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90,683</w:t>
            </w:r>
          </w:p>
        </w:tc>
        <w:tc>
          <w:tcPr>
            <w:tcW w:w="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87,208</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178,063</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168,402</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(23,197)</w:t>
            </w:r>
          </w:p>
        </w:tc>
        <w:tc>
          <w:tcPr>
            <w:tcW w:w="2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(21,556)</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(1,641)</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(46,528)</w:t>
            </w:r>
          </w:p>
        </w:tc>
        <w:tc>
          <w:tcPr>
            <w:tcW w:w="2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(41,501)</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20" w:hanging="434"/>
        <w:spacing w:after="0" w:line="236" w:lineRule="auto"/>
        <w:tabs>
          <w:tab w:leader="none" w:pos="820" w:val="left"/>
        </w:tabs>
        <w:numPr>
          <w:ilvl w:val="0"/>
          <w:numId w:val="1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 xml:space="preserve">The constant currency presentation of our Cannabis revenue based on market channel is a non-GAAP financial measure.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Use of Non-GAAP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Constant Currency Presentation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 discussion of these Non-GAAP Measures.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jc w:val="both"/>
        <w:ind w:firstLine="45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medical cannabis: </w:t>
      </w:r>
      <w:r>
        <w:rPr>
          <w:rFonts w:ascii="Times New Roman" w:cs="Times New Roman" w:eastAsia="Times New Roman" w:hAnsi="Times New Roman"/>
          <w:sz w:val="18"/>
          <w:szCs w:val="18"/>
          <w:color w:val="auto"/>
        </w:rPr>
        <w:t>Gross revenue from Canadian medical cannabis decreased to $6.2 million and to $12.4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and six months ended November 30, 2025 compared to gross revenue of $6.7 million and $12.9 million for the prior year periods, respectively. On a constant currency basis, gross revenue from Canadian medical cannabis decreased to $6.4 million and to $12.6 million for the three and six months ended November 30, 2025, respectively. The decrease in gross revenue from medical cannabis, on a constant currency basis, was primarily driven by uninsured patient attrition to the adult-use recreational market, which was partially offset by new insured patient acquisition.</w:t>
      </w:r>
    </w:p>
    <w:p>
      <w:pPr>
        <w:spacing w:after="0" w:line="17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adult-use cannabis: </w:t>
      </w:r>
      <w:r>
        <w:rPr>
          <w:rFonts w:ascii="Times New Roman" w:cs="Times New Roman" w:eastAsia="Times New Roman" w:hAnsi="Times New Roman"/>
          <w:sz w:val="18"/>
          <w:szCs w:val="18"/>
          <w:color w:val="auto"/>
        </w:rPr>
        <w:t>During the three and six months ended November 30, 2025, our gross revenue from Canadian adult-use cannabis increased to $62.4 million and to $126.5 million, compared to gross revenue of $59.1 million and $116.3 million for the prior year periods, respectively. On a constant currency basis, our gross revenue from Canadian adult-use cannabis increased to $63.9 million and increased to $128.2 million for the three and six months ended November 30, 2025, respectively. The increase in gross adult-use revenue was primarily attributed to sales growth in our flower and non-infused pre-roll categories where we have begun to see positive results from our continued innovation and enhanced cultivation capacity. Additionally, we have started to re-enter price-compressed categories that were previously margin prohibitive but are now generating positive gross margins due to our ongoing cost savings initiatives. Lastly, we have continued to invest in our cultivation footprint, including the decision to restart cultivation in our Quebec facility, to support the growing demand in both the Canadian and international markets. Given the higher margin that can be earned on international cannabis sales, we may, when advantageous to do so, continue to redirect inventories to international markets, which may negatively impact Canadian adult-use and wholesale cannabis revenue in future periods while we scale up our infrastructure.</w:t>
      </w:r>
    </w:p>
    <w:p>
      <w:pPr>
        <w:spacing w:after="0" w:line="185"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Wholesale cannabis revenue: </w:t>
      </w:r>
      <w:r>
        <w:rPr>
          <w:rFonts w:ascii="Times New Roman" w:cs="Times New Roman" w:eastAsia="Times New Roman" w:hAnsi="Times New Roman"/>
          <w:sz w:val="18"/>
          <w:szCs w:val="18"/>
          <w:color w:val="auto"/>
        </w:rPr>
        <w:t>Gross revenue from wholesale cannabis decreased to $1.3 million and to $5.5 million and for the three and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November 30, 2025, compared to gross revenue of $6.6 million and $12.1 million for the prior year periods respectively. On a constant currency basis, gross revenue from wholesale cannabis decreased to $1.4 million and decreased to $5.5 million for the three and six months ended November 30, 2025, respectively. Due to the transition by many licensed producers in the Canadian market to asset-light business models, the Canadian cannabis industry has experienced a reduction in excess inventory resulting in price increases in the B2B market. As a result of this shift in market dynamics and demand, we continue to evaluate the market and may opportunistically sell into the wholesale market where it makes sense. Specifically, during the three and six month periods ended November 30, 2025, our wholesale cannabis revenue was lower than the prior year comparative periods due to our strategic decision to channel more of our volume into the other markets in which we participate.</w:t>
      </w:r>
    </w:p>
    <w:p>
      <w:pPr>
        <w:spacing w:after="0" w:line="185" w:lineRule="exact"/>
        <w:rPr>
          <w:sz w:val="20"/>
          <w:szCs w:val="20"/>
          <w:color w:val="auto"/>
        </w:rPr>
      </w:pPr>
    </w:p>
    <w:p>
      <w:pPr>
        <w:jc w:val="both"/>
        <w:ind w:firstLine="450"/>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International cannabis revenue: </w:t>
      </w:r>
      <w:r>
        <w:rPr>
          <w:rFonts w:ascii="Times New Roman" w:cs="Times New Roman" w:eastAsia="Times New Roman" w:hAnsi="Times New Roman"/>
          <w:sz w:val="18"/>
          <w:szCs w:val="18"/>
          <w:color w:val="auto"/>
        </w:rPr>
        <w:t>Net revenue from International cannabis increased to $20.2 million and to $33.5 million for the three and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November 30, 2025, compared to net revenue of $14.9 million and $27.1 million for the prior year periods, respectively. On a constant currency basis, given the strengthening of the Euro against the U.S. Dollar when compared to the prior year quarter, net revenue from international cannabis increased to $19.1 million and to $31.7 million for the three and six months ended November 30, 2025, respectively. The increase in net revenue from International cannabis markets during the three and six months ended November 30, 2025, was attributed to growth in the German medical cannabis market, receipt of previously backlogged permits and expansion into emerging medical markets. International cannabis net revenue may fluctuate from quarter to quarter based upon the timing of the receipt of export/import permits as well as the timing of shipments from one quarter to the next. Notably, International cannabis revenue in the first fiscal quarter ended August 31, 2025, was temporarily reduced due to permit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delays. As these delays were resolved, revenue levels in the second fiscal quarter ended November 30, 2025, which were consistent with those achieved in the fourth fiscal quarter ended May 31, 2025, of the prior fiscal year, are more indicative of our expected ongoing run rate than the lower revenue realized in the first quarter.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Distribution revenue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revenue from our Distribution segment increased to $85.3 million and increased to $159.3 million for the three and six months ended November 30, 2025, compared to revenue of $67.6 million and $135.7 million for the prior year periods, respectively. On a constant currency basis, given the change in the Euro and Argentine Peso against the U.S. Dollar in the quarter, revenue from Distribution increased to $80.0 million and to $149.7 million for the three and six months ended November 30, 2025, respectively. The increase in distribution revenue in the period was driven by a focus on competitive pricing, prioritizing high velocity SKUs and the favorable impacts of foreign exchange.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Wellness revenue</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Wellness segment net revenue remained consistent at $14.6 million and increased to $29.8 million for the three and six months ended November 30, 2025 compared to $14.6 million and $29.4 million from the prior year periods, respectively. On a constant currency basis for the three and six months ended November 30, 2025, Wellness segment net revenue increased to $14.7 million and to $30.0 million, respectively. The increase in revenue was driven by our strategic focus on value-add innovations, including high protein super-seeds, better-for-you breakfast products, better-for-you snacking, and the continued success of our Hi-Ball clean energy drinks. Additionally, there was continued growth experienced in the ingredient channel as a result of new customer acquisitions. These trends were partially offset by challenges in the club retailer channel, which we are actively addressing through targeted initiatives.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Gross profit, gross margin and adjusted gross margin</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for our reporting segments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three and six months ended November 30, 2025 and November 30, 2024, respectively, our gross profit and gross margin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3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30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November</w:t>
            </w: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19"/>
                <w:szCs w:val="19"/>
                <w:color w:val="auto"/>
              </w:rPr>
            </w:pPr>
          </w:p>
        </w:tc>
        <w:tc>
          <w:tcPr>
            <w:tcW w:w="11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19"/>
                <w:szCs w:val="19"/>
                <w:color w:val="auto"/>
              </w:rPr>
            </w:pPr>
          </w:p>
        </w:tc>
        <w:tc>
          <w:tcPr>
            <w:tcW w:w="12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238"/>
        </w:trPr>
        <w:tc>
          <w:tcPr>
            <w:tcW w:w="2040" w:type="dxa"/>
            <w:vAlign w:val="bottom"/>
            <w:tcBorders>
              <w:bottom w:val="single" w:sz="8" w:color="CCEEFF"/>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Beverage</w:t>
            </w: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3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50,083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63,081</w:t>
            </w:r>
          </w:p>
        </w:tc>
        <w:tc>
          <w:tcPr>
            <w:tcW w:w="26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(12,998)</w:t>
            </w:r>
          </w:p>
        </w:tc>
        <w:tc>
          <w:tcPr>
            <w:tcW w:w="11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105,822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119,053</w:t>
            </w:r>
          </w:p>
        </w:tc>
        <w:tc>
          <w:tcPr>
            <w:tcW w:w="260" w:type="dxa"/>
            <w:vAlign w:val="bottom"/>
            <w:tcBorders>
              <w:right w:val="single" w:sz="8" w:color="CCEEFF"/>
            </w:tcBorders>
            <w:shd w:val="clear" w:color="auto" w:fill="CCEEFF"/>
          </w:tcPr>
          <w:p>
            <w:pPr>
              <w:spacing w:after="0"/>
              <w:rPr>
                <w:sz w:val="18"/>
                <w:szCs w:val="18"/>
                <w:color w:val="auto"/>
              </w:rPr>
            </w:pPr>
          </w:p>
        </w:tc>
        <w:tc>
          <w:tcPr>
            <w:tcW w:w="12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(13,231)</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34,351</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37,925</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(3,574)</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68,764</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70,975</w:t>
            </w: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(2,211)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25,156</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37,058</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48,078</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151"/>
        </w:trPr>
        <w:tc>
          <w:tcPr>
            <w:tcW w:w="2040" w:type="dxa"/>
            <w:vAlign w:val="bottom"/>
            <w:tcBorders>
              <w:right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Purchase price accounting</w:t>
            </w: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(1,376)</w:t>
            </w:r>
          </w:p>
        </w:tc>
        <w:tc>
          <w:tcPr>
            <w:tcW w:w="1180" w:type="dxa"/>
            <w:vAlign w:val="bottom"/>
            <w:tcBorders>
              <w:right w:val="single" w:sz="8" w:color="CCEEFF"/>
            </w:tcBorders>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(1,551)</w:t>
            </w:r>
          </w:p>
        </w:tc>
        <w:tc>
          <w:tcPr>
            <w:tcW w:w="10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2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step-up</w:t>
            </w: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1,376</w:t>
            </w:r>
          </w:p>
        </w:tc>
        <w:tc>
          <w:tcPr>
            <w:tcW w:w="1180" w:type="dxa"/>
            <w:vAlign w:val="bottom"/>
            <w:gridSpan w:val="2"/>
            <w:vMerge w:val="continue"/>
            <w:shd w:val="clear" w:color="auto" w:fill="CCEEFF"/>
          </w:tcPr>
          <w:p>
            <w:pPr>
              <w:spacing w:after="0"/>
              <w:rPr>
                <w:sz w:val="20"/>
                <w:szCs w:val="20"/>
                <w:color w:val="auto"/>
              </w:rPr>
            </w:pPr>
          </w:p>
        </w:tc>
        <w:tc>
          <w:tcPr>
            <w:tcW w:w="1180" w:type="dxa"/>
            <w:vAlign w:val="bottom"/>
            <w:tcBorders>
              <w:right w:val="single" w:sz="8" w:color="CCEEFF"/>
            </w:tcBorders>
            <w:gridSpan w:val="2"/>
            <w:vMerge w:val="continue"/>
            <w:shd w:val="clear" w:color="auto" w:fill="CCEEFF"/>
          </w:tcPr>
          <w:p>
            <w:pPr>
              <w:spacing w:after="0"/>
              <w:rPr>
                <w:sz w:val="20"/>
                <w:szCs w:val="20"/>
                <w:color w:val="auto"/>
              </w:rPr>
            </w:pP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1,551</w:t>
            </w:r>
          </w:p>
        </w:tc>
        <w:tc>
          <w:tcPr>
            <w:tcW w:w="1200" w:type="dxa"/>
            <w:vAlign w:val="bottom"/>
            <w:gridSpan w:val="2"/>
            <w:vMerge w:val="continue"/>
            <w:shd w:val="clear" w:color="auto" w:fill="CCEEFF"/>
          </w:tcPr>
          <w:p>
            <w:pPr>
              <w:spacing w:after="0"/>
              <w:rPr>
                <w:sz w:val="20"/>
                <w:szCs w:val="20"/>
                <w:color w:val="auto"/>
              </w:rPr>
            </w:pPr>
          </w:p>
        </w:tc>
        <w:tc>
          <w:tcPr>
            <w:tcW w:w="106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4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28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26,532</w:t>
            </w:r>
          </w:p>
        </w:tc>
        <w:tc>
          <w:tcPr>
            <w:tcW w:w="26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320" w:type="dxa"/>
            <w:vAlign w:val="bottom"/>
            <w:vMerge w:val="continue"/>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37,058</w:t>
            </w:r>
          </w:p>
        </w:tc>
        <w:tc>
          <w:tcPr>
            <w:tcW w:w="28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49,629</w:t>
            </w:r>
          </w:p>
        </w:tc>
        <w:tc>
          <w:tcPr>
            <w:tcW w:w="26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340" w:type="dxa"/>
            <w:vAlign w:val="bottom"/>
            <w:vMerge w:val="continue"/>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2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14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Cannabis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67,532</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65,652</w:t>
            </w: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1,880</w:t>
            </w:r>
          </w:p>
        </w:tc>
        <w:tc>
          <w:tcPr>
            <w:tcW w:w="11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132,043</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126,901</w:t>
            </w: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5,142</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41,398</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42,475</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(1,077)</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82,639</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79,529</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3,110</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26,134</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23,177</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49,404</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47,372</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40" w:type="dxa"/>
            <w:vAlign w:val="bottom"/>
            <w:tcBorders>
              <w:right w:val="single" w:sz="8" w:color="CCEEFF"/>
            </w:tcBorders>
            <w:shd w:val="clear" w:color="auto" w:fill="CCEEFF"/>
          </w:tcPr>
          <w:p>
            <w:pPr>
              <w:jc w:val="center"/>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Distribution</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85,316</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67,611</w:t>
            </w: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17,705</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159,323</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135,682</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23,641</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74,334</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59,207</w:t>
            </w: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15,127</w:t>
            </w:r>
          </w:p>
        </w:tc>
        <w:tc>
          <w:tcPr>
            <w:tcW w:w="11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140,342</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119,345</w:t>
            </w: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20,997</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2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2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2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3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18,981</w:t>
            </w:r>
          </w:p>
        </w:tc>
        <w:tc>
          <w:tcPr>
            <w:tcW w:w="2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16,337</w:t>
            </w:r>
          </w:p>
        </w:tc>
        <w:tc>
          <w:tcPr>
            <w:tcW w:w="2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3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Wellness</w:t>
            </w: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14,576</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14,606</w:t>
            </w: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29,820</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29,358</w:t>
            </w: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462</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9,927</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10,123</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(196)</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20,297</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20,219</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78</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40" w:type="dxa"/>
            <w:vAlign w:val="bottom"/>
            <w:tcBorders>
              <w:right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217,507</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210,950</w:t>
            </w: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6,557</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427,008</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410,994</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16,014</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160,010</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149,730</w:t>
            </w:r>
          </w:p>
        </w:tc>
        <w:tc>
          <w:tcPr>
            <w:tcW w:w="1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10,280</w:t>
            </w:r>
          </w:p>
        </w:tc>
        <w:tc>
          <w:tcPr>
            <w:tcW w:w="11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312,042</w:t>
            </w:r>
          </w:p>
        </w:tc>
        <w:tc>
          <w:tcPr>
            <w:tcW w:w="11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290,068</w:t>
            </w:r>
          </w:p>
        </w:tc>
        <w:tc>
          <w:tcPr>
            <w:tcW w:w="12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21,974</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57,497</w:t>
            </w:r>
          </w:p>
        </w:tc>
        <w:tc>
          <w:tcPr>
            <w:tcW w:w="2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61,220</w:t>
            </w:r>
          </w:p>
        </w:tc>
        <w:tc>
          <w:tcPr>
            <w:tcW w:w="2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114,966</w:t>
            </w:r>
          </w:p>
        </w:tc>
        <w:tc>
          <w:tcPr>
            <w:tcW w:w="2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120,926</w:t>
            </w:r>
          </w:p>
        </w:tc>
        <w:tc>
          <w:tcPr>
            <w:tcW w:w="2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Purchase price accounting</w:t>
            </w: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4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(1,376)</w:t>
            </w:r>
          </w:p>
        </w:tc>
        <w:tc>
          <w:tcPr>
            <w:tcW w:w="11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(1,551)</w:t>
            </w: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step-up</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1,376</w:t>
            </w:r>
          </w:p>
        </w:tc>
        <w:tc>
          <w:tcPr>
            <w:tcW w:w="118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1,551</w:t>
            </w:r>
          </w:p>
        </w:tc>
        <w:tc>
          <w:tcPr>
            <w:tcW w:w="1200" w:type="dxa"/>
            <w:vAlign w:val="bottom"/>
            <w:gridSpan w:val="2"/>
            <w:vMerge w:val="continue"/>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40" w:type="dxa"/>
            <w:vAlign w:val="bottom"/>
            <w:tcBorders>
              <w:right w:val="single" w:sz="8" w:color="CCEEFF"/>
            </w:tcBorders>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57,497</w:t>
            </w:r>
          </w:p>
        </w:tc>
        <w:tc>
          <w:tcPr>
            <w:tcW w:w="2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62,596</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320" w:type="dxa"/>
            <w:vAlign w:val="bottom"/>
            <w:vMerge w:val="continue"/>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114,966</w:t>
            </w:r>
          </w:p>
        </w:tc>
        <w:tc>
          <w:tcPr>
            <w:tcW w:w="2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122,477</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340" w:type="dxa"/>
            <w:vAlign w:val="bottom"/>
            <w:vMerge w:val="continue"/>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780" w:hanging="327"/>
        <w:spacing w:after="0" w:line="257" w:lineRule="auto"/>
        <w:tabs>
          <w:tab w:leader="none" w:pos="78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gross profit is our Gross profit (adjusted to exclude purchase price accounting valuation step-up) and adjusted gross margin is our Gross margin (adjusted to exclude purchase price accounting valuation step-up) for each segment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additional discussion regarding these non-GAAP measures.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in isolation or as an alternative to financial measures determined in accordance with GAAP.</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Beverage gross margin: </w:t>
      </w:r>
      <w:r>
        <w:rPr>
          <w:rFonts w:ascii="Times New Roman" w:cs="Times New Roman" w:eastAsia="Times New Roman" w:hAnsi="Times New Roman"/>
          <w:sz w:val="18"/>
          <w:szCs w:val="18"/>
          <w:color w:val="auto"/>
        </w:rPr>
        <w:t>For the three and six months ended November 30, 2025, our beverage segment generated gross margin of 31% and 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which decreased from 40% and 40% generated in the prior year periods, respectively. Adjusted gross margin was 31% and 35%, which decreased from 42% and 42% generated in the prior year periods, respectively. The change in the beverage gross margin and adjusted beverage gross margin for the three and six months ended November 30, 2025 was driven by several factors, including our Craft Acquisition II, which historically has operated at a lower gross margin, declining overhead utilization as our revenue levels have declined, and timing delays in realizing the full benefits of our Project 420 cost savings initiatives.</w:t>
      </w:r>
    </w:p>
    <w:p>
      <w:pPr>
        <w:spacing w:after="0" w:line="182"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Cannabis gross margin: </w:t>
      </w:r>
      <w:r>
        <w:rPr>
          <w:rFonts w:ascii="Times New Roman" w:cs="Times New Roman" w:eastAsia="Times New Roman" w:hAnsi="Times New Roman"/>
          <w:sz w:val="18"/>
          <w:szCs w:val="18"/>
          <w:color w:val="auto"/>
        </w:rPr>
        <w:t>For the three and six months ended November 30, 2025, our cannabis segment generated gross margin of 39% and 37%,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which increased from 35% and remained consistent at 37% generated in the prior year periods, respectively. The change in gross margin for the three and six months ended November 30, 2025 was driven by a higher proportion of our sales being generated from international markets which has higher margins and lower participation in Canadian wholesale markets which generates lower margins. These favorable impacts were offset by our increased participation in lower margin product categories in the Canadian adult-use cannabis market, as we continue to optimize our cost structure to eliminate negative margins in price competitive categories.</w:t>
      </w:r>
    </w:p>
    <w:p>
      <w:pPr>
        <w:spacing w:after="0" w:line="182"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 gross margin: </w:t>
      </w:r>
      <w:r>
        <w:rPr>
          <w:rFonts w:ascii="Times New Roman" w:cs="Times New Roman" w:eastAsia="Times New Roman" w:hAnsi="Times New Roman"/>
          <w:sz w:val="18"/>
          <w:szCs w:val="18"/>
          <w:color w:val="auto"/>
        </w:rPr>
        <w:t>For the three and six months ended November 30, 2025, our distribution segment generated gross margin of 13%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respectively, which increased from 12% and remained consistent at 12% generated in the prior year periods, respectively, which was attributed to a change in product mix combined with foreign exchange rate improvements, as well as initiatives undertaken to reduce input costs.</w:t>
      </w:r>
    </w:p>
    <w:p>
      <w:pPr>
        <w:spacing w:after="0" w:line="173" w:lineRule="exact"/>
        <w:rPr>
          <w:sz w:val="20"/>
          <w:szCs w:val="20"/>
          <w:color w:val="auto"/>
        </w:rPr>
      </w:pPr>
    </w:p>
    <w:p>
      <w:pPr>
        <w:jc w:val="both"/>
        <w:ind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Wellness gross margin: </w:t>
      </w:r>
      <w:r>
        <w:rPr>
          <w:rFonts w:ascii="Times New Roman" w:cs="Times New Roman" w:eastAsia="Times New Roman" w:hAnsi="Times New Roman"/>
          <w:sz w:val="18"/>
          <w:szCs w:val="18"/>
          <w:color w:val="auto"/>
        </w:rPr>
        <w:t>For the three and six months ended November 30, 2025, our wellness segment generated gross margin of 32% and 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which increased from 31% and 31% in the prior year periods, respectively, as a result of a change in product mix.</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November 30, 2025 and November 30, 2024, respectively, the changes in operating expenses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5,178</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2,118</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11,781</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16,162</w:t>
            </w:r>
          </w:p>
        </w:tc>
        <w:tc>
          <w:tcPr>
            <w:tcW w:w="1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(4,381)</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24,704</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27,852</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(3,148)</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22,927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(18,569)</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44,731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(36,444)</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9,981</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9,720</w:t>
            </w: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261</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20,136</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21,286</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(15,000)</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Litigation costs, net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(620)</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6,869</w:t>
            </w:r>
          </w:p>
        </w:tc>
        <w:tc>
          <w:tcPr>
            <w:tcW w:w="1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(5,904)</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11,116</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(9,282)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(income),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(989)</w:t>
            </w:r>
          </w:p>
        </w:tc>
        <w:tc>
          <w:tcPr>
            <w:tcW w:w="11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969</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79,776</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103,438</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135,153</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199,714</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Operating expenses are comprised of general and administrative, selling, amortization, marketing and promotion, research and development, change in fair value of contingent consideration, litigation costs, net of recoveries, restructuring costs and transaction costs (income), net. For the three and six months ended November 30, 2025, operating expenses decreased by $23.7 million and by $64.6 million to $79.8 million and $135.2 million when compared to $103.4 million and $199.7 for the prior year periods, respectively. This decrease was primarily attributed to the lower amortization expense in the current period, which resulted from the intangible asset reduction recorded during the fiscal quarter ended May 31, 2025, as well as, a gain from the change in fair value of the Montauk contingent consideration, and, to a lesser extent, a reduction in non-recurring litigation, restructuring and transaction costs, as well as selling costs.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General and administrative costs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November 30, 2025 and November 30, 2024, respectively, the changes in general and administrative costs when compared to the prior year period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2,038</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9,458</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(1,174)</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16,981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18,718</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12,283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7,237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5,046</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17,335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14,154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2,456</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3,155</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4,849</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5,610</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capital assets</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1,196</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2,082</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general and</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28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51,175</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45,997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5,178</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92,228</w:t>
            </w:r>
          </w:p>
        </w:tc>
        <w:tc>
          <w:tcPr>
            <w:tcW w:w="1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90,110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2,118</w:t>
            </w:r>
          </w:p>
        </w:tc>
        <w:tc>
          <w:tcPr>
            <w:tcW w:w="11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costs</w:t>
            </w:r>
          </w:p>
        </w:tc>
        <w:tc>
          <w:tcPr>
            <w:tcW w:w="1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Salaries and wages increased by 9% and by 5% during the three and six months ended November 30, 2025 when compared to the prior year periods, respectively. The increase during the three and six months ended November 30, 2025 was primarily due to the inclusion of employees from our Craft Acquisition II, which was effective as of September 1, 2024 and therefore, its salaries and wages were not included in the prior year first quarter and as a result of changes in estimates related to timing of compensation accruals. In addition, included in the six month period ended November 30, 2025, was $1.8 million of retention payments compared to $1.7 million in the prior year six month period ended November 30, 2024.</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Office and general decreased by 12% and by 9% during the three and six months ended November 30, 2025 when compared to the prior year period respectively. The decrease was driven by our ongoing cost saving initiatives despite the inclusion of costs from our Craft Acquisition II, which was effective as of September 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recognized stock-based compensation expense of $12.3 million and $17.3 million for the three and six months ended November 30, 2025 compared to $7.2 million and $14.2 million for the prior year period respectively. Stock-based compensation expense is based on the time-based vesting schedules and varies according to the assumptions used in the vesting model. During the three and six months ended November 30, 2025, stock-based compensation increased as a result of the recognition of expenses related to the performance-based grants following the establishment of their performance criteria during the fiscal quarter.</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Insurance expense decreased by 22% and decreased by 14% for the three and six months ended November 30, 2025 to $2.5 million and $4.8 million from $3.2 million and $5.6 million for the prior year period respectively due to lower premiums as a result of management’s decision to self-insure a portion of our property and casualty insurance.</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Rent expense increased by 14% and decreased by 10% for the three and six months ended November 30, 2025 to $1.2 million and $2.1 million compared to $1.0 million and $2.3 million for the prior year periods, respectively. Rent expense is predominantly comprised of operating lease expenses for our brew pubs and office spaces and varies period-over-period based on lease amortization schedules and common area maintenance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costs</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November 30, 2025, the Company incurred selling costs of $11.8 million or 5% of net revenue and $24.7 million or 6% of net revenue as compared to $16.2 million or 8% of net revenue and $27.9 million or 7% of net revenue in the prior year period respectively. These costs relate to third-party shipping costs for all segments, in addition to distributor commission incurred by the cannabis segment, Health Canada cannabis fees, and patient acquisition and maintenance costs. The decrease in selling costs for the three and six months ended November 30, 2025 is from the lower freight costs incurred in the beverage segment as a result of Project 420 cost saving initiatives and lower commission rates experienced in the Canadian cannabis sales channels.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incurred non-production related amortization charges of $4.4 million and $8.3 million for the three and six months ended November 30, 2025, compared to $22.9 million and $44.7 million in the prior year periods respectively based on depreciable capital and intangible assets useful lives. The decrease in the amortization expense is due to the lower carrying value of intangible assets as a result of the impairment charges recognized during the fiscal year ended May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 costs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November 30, 2025, the Company incurred marketing and promotion costs of $10.0 million and $20.1 million compared to $9.7 million and $21.3 million for the prior year periods, respectively and was driven by variability in discretionary marketing spend.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50"/>
        <w:spacing w:after="0" w:line="275" w:lineRule="auto"/>
        <w:rPr>
          <w:sz w:val="20"/>
          <w:szCs w:val="20"/>
          <w:color w:val="auto"/>
        </w:rPr>
      </w:pPr>
      <w:r>
        <w:rPr>
          <w:rFonts w:ascii="Times New Roman" w:cs="Times New Roman" w:eastAsia="Times New Roman" w:hAnsi="Times New Roman"/>
          <w:sz w:val="18"/>
          <w:szCs w:val="18"/>
          <w:color w:val="auto"/>
        </w:rPr>
        <w:t>Research and development costs were $0.1 million and $0.1 million during the three and six months ended November 30, 2025, compared to $0.1 million and $0.2 million in the prior year periods, respectively. These cost relate to external expenditures associated with the development of new products.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consideration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measures contingent consideration at fair value classified as Level 3, as discussed in Note 24 (Financial risk management and financial instruments). During the six months ended November 30, 2025, the Company recognized $15.0 million of change in the fair value of contingent consideration as the likelihood of achievement decreased to 0% of such contingent consideration related to the Montauk Brewing acquisition.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Litigation costs, net of recoveries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November 30, 2025, the Company recorded $0.9 million and $1.9 million of litigation settlements costs and third-party fees incurred in defending these claims, net of favorable recoveries compared to $0.9 million and $2.5 million in the prior year period respectively. The increase is related to period-to-period variability as litigation and settlement costs are non-recurring in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integration of certain acquisitions and strategic transactions, the Company has incurred restructuring and exit costs in the amount of $1.0 million and $1.8 million for the three and six months ended November 30, 2025, compared to $6.9 million and $11.1 million for the prior year period respectively. All restructuring plans are approved at the executive level, and their associated expenses are recognized in the period in which the plan is committed or otherwise incurred.</w:t>
      </w:r>
    </w:p>
    <w:p>
      <w:pPr>
        <w:spacing w:after="0" w:line="180"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Within the Cannabis segment, during the six months ended November 30, 2025, the Company incurred restructuring-related expenses totaling $1.8 million. These charges included $0.7 million associated with the restructuring of the Quebec facility to transition from vegetable cultivation to cannabis cultivation in response to increased global cannabis demand, $0.8 million related to employee termination severance and benefits associated with the reorganization of the Canadian cannabis commercial function, and $0.2 million related to the wind-down of certain non-operating entities. Additionally, the Company recognized $0.1 million related to its Fort Collins, CO partially vacant warehouse recorded under assets held of sale. See Note 3 (capital assets).</w:t>
      </w:r>
    </w:p>
    <w:p>
      <w:pPr>
        <w:spacing w:after="0" w:line="200" w:lineRule="exact"/>
        <w:rPr>
          <w:sz w:val="20"/>
          <w:szCs w:val="20"/>
          <w:color w:val="auto"/>
        </w:rPr>
      </w:pPr>
    </w:p>
    <w:p>
      <w:pPr>
        <w:spacing w:after="0" w:line="20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fiscal year ended May 31, 2025, the Company accrued $8.5 million of restructuring charges related to the closure of Hop Valley and other Project 420 initiatives within the Beverage segment, of which $4.6 million was recognized in the six months ended November 30, 2025 thereby, reducing the accrual to $3.9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(income) costs, net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Transaction (income) costs, net, include non-recurring acquisition related income and expenses, related legal, financial advisor and due diligence cost and expenses and transaction related compensation. For the three and six months ended November 30, 2025, transaction (income) costs, decreased by 29% to $0.6 million and $1.0 million, and decreased by 51% to $0.8 million and $2.0 million from the three and six months ended November 30, 2024, respectively. This decrease was due to the fact that we incurred higher costs in the prior year period in connection with Craft Acquisition II.</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(expense) income, net</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November 30, 2025 and November 30, 2024, respectively, the changes in non-operating (expense), income were comprised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2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20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178"/>
        </w:trPr>
        <w:tc>
          <w:tcPr>
            <w:tcW w:w="2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Change in fair value of</w:t>
            </w: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862</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(10,327)</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(33,797)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23,470</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(3,399)</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(21,916)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long-term</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1,178%</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digital</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non-operating (losses)</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(1,649)</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(1,356)</w:t>
            </w:r>
          </w:p>
        </w:tc>
        <w:tc>
          <w:tcPr>
            <w:tcW w:w="13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(1,106)</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(921)</w:t>
            </w:r>
          </w:p>
        </w:tc>
        <w:tc>
          <w:tcPr>
            <w:tcW w:w="11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net</w:t>
            </w:r>
          </w:p>
        </w:tc>
        <w:tc>
          <w:tcPr>
            <w:tcW w:w="11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1340" w:type="dxa"/>
            <w:vAlign w:val="bottom"/>
            <w:gridSpan w:val="3"/>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Total non-operating income</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280" w:type="dxa"/>
            <w:vAlign w:val="bottom"/>
            <w:vMerge w:val="continue"/>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   (12,310)</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   (33,255)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20,945</w:t>
            </w:r>
          </w:p>
        </w:tc>
        <w:tc>
          <w:tcPr>
            <w:tcW w:w="13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(8,478)</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   (20,609)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12,131</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7" w:name="page48"/>
    <w:bookmarkEnd w:id="47"/>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For the three and six months ended November 30, 2025, the Company recognized a gain on the change in fair value of its warrants of $0.2 million and a loss of $3.5 million, compared to a gain of $0.9 million and $1.6 million in the prior year periods, as a result of the change in our share price and the exercise price of the warrants. For the three and six months ended November 30, 2025, the Company recognized a loss of $10.3 million and $3.4 million resulting from the changes in foreign exchange rates during the period compared to a loss of $33.8 million and $21.9 million for the prior year periods. For the three and six months ended November 30, 2025, the Company recognized a loss of $0.3 million and $0.3 million on long-term investments compared to a loss of $0.0 million and $0.1 million for the prior year periods. For the three and six months ended November 30, 2025, the Company recognized a loss of $0.2 million and $0.2 million on digital assets from the unrealized change in fair value of Bitcoin compared to $nil and $nil million for the prior year periods. The other non-operating (losses) gains, net were loss of $1.6 million and $1.1 million for the three and six months ended November 30, 2025, compared to a loss of $0.3 million and $0.2 million for the prior year periods, and was mainly comprised of a loss of $1.8 million on the change in fair value of assets held for sale related to Fort Collins, CO partially vacant warehouse, as described in Note 3 (capital assets), offset by a gain of $0.5 million resulting from the exchange transaction of the TLRY 27 Note, as described in Note 12 (Convertible debentures payable).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Adjusted EBITDA is a non-GAAP financial measure that does not have any standardized meaning prescribed by GAAP and may not be comparable to similar measures presented by other companies. The Company calculates adjusted EBITDA as net loss/net income before income taxes, net interest expense, depreciation and amortization, purchase price accounting step-up on inventory, stock-based compensation, impairments, other than temporary change in fair value of convertible notes receivable, restructuring costs, transaction (income) costs net, litigation costs net of recoveries, change in fair value of contingent consideration, project 420 cost savings initiatives, unrealized currency gains and losses and other adjustments.</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We believe that this presentation provides useful information to management, analysts and investors regarding certain additional financial and business trends relating to the Company’s results of operations and financial condition. In addition, management uses this measure for reviewing the financial results of the Company and as a component of performance-based executive compensation.</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do not consider adjusted EBITDA in isolation or as an alternative to financial measures determined in accordance with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three and six months ended November 30, 2025, adjusted EBITDA decreased to $8.4 million and increased to $18.5 million compared to $9.0 million and $18.4 million for the prior year periods and remained relatively consistent as we continue to execute on our strategic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November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41,766</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(119,927)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77,931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(recovery), net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3,546</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2,036</w:t>
            </w:r>
          </w:p>
        </w:tc>
        <w:tc>
          <w:tcPr>
            <w:tcW w:w="140" w:type="dxa"/>
            <w:vAlign w:val="bottom"/>
          </w:tcPr>
          <w:p>
            <w:pPr>
              <w:spacing w:after="0"/>
              <w:rPr>
                <w:sz w:val="20"/>
                <w:szCs w:val="20"/>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1,510</w:t>
            </w: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7,766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17,608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Non-operating income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(expense), net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12,310</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33,255</w:t>
            </w: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(20,945)</w:t>
            </w: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8,478</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20,609</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15,958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1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31,519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65,864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(34,345)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12,283</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7,237</w:t>
            </w:r>
          </w:p>
        </w:tc>
        <w:tc>
          <w:tcPr>
            <w:tcW w:w="1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5,046</w:t>
            </w: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17,335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14,154</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Project 420 business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optimization</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price accounting</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step-up</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1,376</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Litigation costs, net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1,876</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6,869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11,116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(income),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34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(989)</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969</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9" w:name="page50"/>
    <w:bookmarkEnd w:id="49"/>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net income (loss). There are a number of limitations related to the use of Adjusted EBITDA as compared to net income (loss), the closest comparable GAAP measure. Adjusted EBITDA adjusts for the following:</w:t>
      </w:r>
    </w:p>
    <w:p>
      <w:pPr>
        <w:spacing w:after="0" w:line="162" w:lineRule="exact"/>
        <w:rPr>
          <w:sz w:val="20"/>
          <w:szCs w:val="20"/>
          <w:color w:val="auto"/>
        </w:rPr>
      </w:pPr>
    </w:p>
    <w:p>
      <w:pPr>
        <w:ind w:left="8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amortization expenses and, although these are non-cash charges, the assets being depreciated and amortized may have to be replaced in the future;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a non-cash expense and are an important part of our compensation strategy;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impairment charges, as the charges are not expected to be a recurring business activity;</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change in fair value of warrant liability;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change in fair value of contingent consideration;</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420 business optimization costs;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start up new facilities, and to fund emerging market operations;</w:t>
      </w:r>
    </w:p>
    <w:p>
      <w:pPr>
        <w:spacing w:after="0" w:line="252"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(income) costs, net which includes acquisition related income and expenses, related legal, financial advisor and due diligence cost and expenses and transaction related compensation, which vary significantly by transaction and are excluded to evaluate ongoing operating results;</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net of favorable recoveries and the third party fees associated with defending these claims, including costs related to legacy and non-operational litigation matters, legal settlements and recoveries;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 accounting fair value step-up in inventory value included in costs of goods sold; and</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deferred income tax expenses and recoveries, which could be a significant recurring expense or recovery in our business in the future and reduce or increase cash available to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Adjusted Gross Profit and Adjusted Gross Margin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Adjusted gross profit and adjusted gross margin are non-GAAP financial measures and may not be comparable to similar measures presented by other companies. Adjusted gross profit is our Gross profit (adjusted to exclude PPA valuation step-up) and adjusted gross margin is our Gross margin (adjusted to exclude PPA valuation step-up) and are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percentage in isolation or as an alternative to financial measures determined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actively manage our cash, marketable securities and digital assets in order to internally fund operating needs, make scheduled interest and principal payments on our borrowings, and complete acquisitions. We believe that existing cash, cash equivalents, marketable securities, Bitcoin digital assets and cash generated by operations, together with access to external sources of funds, will be sufficient to meet our domestic and foreign capital needs for the short and long term outlook.</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the Company's short-term liquidity requirements, we are focused on generating positive cash flow from operations and being free cash flow positive. Certain of our business segments, such as cannabis, are working capital intensive and have longer cash conversion cycles. In order to mitigate these effects, management continues to optimize our infrastructure, headcount, as well as the elimination of other discretionary operational costs. Additionally, the Company continues to work on improvements to the cash conversion cycles across its businesses and invest our excess cash in short-term marketable securities, which are comprised of U.S. treasury bills, high grade corporate bonds and term deposits with major Canadian, European and Australian banks as well as in digital assets.</w:t>
      </w:r>
    </w:p>
    <w:p>
      <w:pPr>
        <w:spacing w:after="0" w:line="18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 the Company's long-term liquidity requirements, we are focused on funding operations through profitable organic growth and through acquisitions of businesses that are accretive to earnings and are less working capital intensive. We may need to take on additional debt or equity financing arrangements in order to achieve these target goals on a long-term basis.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May 17, 2024, the Company entered into an equity distribution agreement with TD Securities (USA) LLC and Jefferies LLC in connection with an aggregate offering value of up to $250 million through an at-the-market equity program (“ATM Program”). During the three and six months ended November 30, 2025, the Company issued 6,777,224 shares under the ATM Program generating gross proceeds of $76.6 million. The Company paid $3.5 million in commissions and other fees associated with these issuances generating net proceeds of $73.1 million. The Company intends to use the net proceeds from the ATM Program to fund strategic and accretive acquisitions or investments in businesses and capital expenditures for acquired businesses, including potential acquisitions of assets to capitalize on expected regulatory advancements or expansion opportunities. As of November 30, 2025, the ATM program was completed.</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Additionally, we are committed to optimizing our capital structure and enhancing financial flexibility as we intend to continue to opportunistically purchase or exchange equity for the TLRY 27 Notes prior to their underlying maturity date in June 2027, subject to market conditions.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statements of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0"/>
        </w:trPr>
        <w:tc>
          <w:tcPr>
            <w:tcW w:w="598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(76,031)</w:t>
            </w:r>
          </w:p>
        </w:tc>
        <w:tc>
          <w:tcPr>
            <w:tcW w:w="10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(58,005)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(10,725)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(33,538)</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(60,120)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48,100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67,948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98,793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on cash of foreign currency translation</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(1,284)</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264,828</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205,186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221,666</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228,340</w:t>
            </w:r>
          </w:p>
        </w:tc>
        <w:tc>
          <w:tcPr>
            <w:tcW w:w="80" w:type="dxa"/>
            <w:vAlign w:val="bottom"/>
            <w:shd w:val="clear" w:color="auto" w:fill="CCEEFF"/>
          </w:tcPr>
          <w:p>
            <w:pPr>
              <w:spacing w:after="0"/>
              <w:rPr>
                <w:sz w:val="19"/>
                <w:szCs w:val="19"/>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246,703</w:t>
            </w:r>
          </w:p>
        </w:tc>
        <w:tc>
          <w:tcPr>
            <w:tcW w:w="260" w:type="dxa"/>
            <w:vAlign w:val="bottom"/>
          </w:tcPr>
          <w:p>
            <w:pPr>
              <w:spacing w:after="0"/>
              <w:rPr>
                <w:sz w:val="18"/>
                <w:szCs w:val="18"/>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189,698</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246,703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44,848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62,551</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44,848</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62,551</w:t>
            </w:r>
          </w:p>
        </w:tc>
      </w:tr>
      <w:tr>
        <w:trPr>
          <w:trHeight w:val="223"/>
        </w:trPr>
        <w:tc>
          <w:tcPr>
            <w:tcW w:w="5980" w:type="dxa"/>
            <w:vAlign w:val="bottom"/>
          </w:tcPr>
          <w:p>
            <w:pPr>
              <w:spacing w:after="0" w:line="223" w:lineRule="exact"/>
              <w:rPr>
                <w:sz w:val="20"/>
                <w:szCs w:val="20"/>
                <w:color w:val="auto"/>
              </w:rPr>
            </w:pPr>
            <w:r>
              <w:rPr>
                <w:rFonts w:ascii="Times New Roman" w:cs="Times New Roman" w:eastAsia="Times New Roman" w:hAnsi="Times New Roman"/>
                <w:sz w:val="16"/>
                <w:szCs w:val="16"/>
                <w:color w:val="auto"/>
              </w:rPr>
              <w:t>Cash and marketable securities</w:t>
            </w:r>
            <w:r>
              <w:rPr>
                <w:rFonts w:ascii="Times New Roman" w:cs="Times New Roman" w:eastAsia="Times New Roman" w:hAnsi="Times New Roman"/>
                <w:sz w:val="25"/>
                <w:szCs w:val="25"/>
                <w:color w:val="auto"/>
                <w:vertAlign w:val="superscript"/>
              </w:rPr>
              <w:t>(1)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291,551</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252,249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291,551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780" w:hanging="327"/>
        <w:spacing w:after="0" w:line="258" w:lineRule="auto"/>
        <w:tabs>
          <w:tab w:leader="none" w:pos="7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and marketable securities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additional discussion regarding these non-GAAP measures. The Company combines the Cash and cash equivalent financial statement line item, and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combing these three GAAP metrics.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change in net cash used in operating activities was ($8.5) million and ($9.9) million for three and six months ended November 30, 2025, compared to ($40.7) million and $($76.0) million for the prior year periods. The prior year periods were impacted by the integration of Craft Acquisition I, which required working capital investments and have now normalized.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change in net cash provided by (used in) investing activities was ($58.0) million and ($33.5) million for three and six months ended November 30, 2025, compared to ($10.7) million and ($60.1) million for the prior year periods, and was a result of the change in investments in marketable securities in the current periods and that Craft Acquisition II occurred in the prior year period.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change in cash provided by financing activities was $48.1 million and $67.9 million for three and six months ended November 30, 2025, compared to $38.2 million and $98.8 million for the prior year periods primarily due to variability in funds provided under the ATM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addition to the litigation described in the Part II, Item 1 - Legal Proceedings, the Company is and may be a defendant in lawsuits from time to time in the normal course of business. While the results of litigation and claims cannot be predicted with certainty, the Company believes the reasonably possible losses of such matters, individually and in the aggregate, are not material. Additionally, the Company believes the probable final outcome of such matters will not have a material adverse effect on the Company’s consolidated results of operations, financial position, cash flows or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The accounting principles we use require us to make estimates and assumptions that may impact the reported amounts of assets and liabilities as of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estimates that have been identified as critical to our business operations and to understanding the results of our operations pertain to revenue recognition, valuation of inventory, valuation of long-lived assets, goodwill and intangible assets, stock-based compensation and valuation allowances for deferred tax assets. The application of each of these critical accounting policies and estimates is discussed in Part II, Item 7, Management’s Discussion and Analysis of Financial Condition and Results of Operations set forth in, our Annual Report on Form 10-K for the fiscal year ended May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“Part I, Item 1. Note 1 – Basis of presentation and summary of significant accounting policies” to our financial statements appearing elsewhere in this Quarterly Report on Form 10-Q.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During the six months ended November 30, 2025, there have been no material changes in market risk from those addressed in the Company’s Annual Report on Form 10-K for the fiscal year ended May 31, 2025. See the information set forth in Part II, Item 7A, Quantitative and Qualitative Disclosures About Market Risk set forth in the Company’s Annual Report on Form 10-K for the fiscal year ended May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and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An evaluation of the effectiveness of the design and operation of our disclosure controls and procedures as of the end of the period covered by this Quarterly Report was made under the supervision and with the participation of our management, including our Chief Executive Officer and Chief Financial Officer.</w:t>
      </w:r>
    </w:p>
    <w:p>
      <w:pPr>
        <w:spacing w:after="0" w:line="18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have concluded that, as of November 30, 2025, our disclosure controls and procedures (a) are effective to ensure that information required to be disclosed by us in reports filed or submitted under the Exchange Act is timely recorded, processed, summarized and reported and (b)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period covered by this Quarterly Report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our management believes that it has established appropriate legal reserves. Any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“Item 3. Legal Proceedings” of our Annual Report on Form 10-K for the fiscal year ended May 31, 2025 includes a discussion of our legal proceedings. There have been no material changes from the legal proceedings described in our Form 10-K, as disclosed and incorporated herein by reference to Note 19 (Commitments and contingencies) to the Consolidated Financial Statements included in Part I, Item 1 of this Form 10-Q.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“Item 1A. Risk Factors” of our Annual Report on Form 10-K for the fiscal year ended May 31, 2025 includes a discussion of our known material risk factors, other than risks that could apply to any issuer or offering. A summary of our risk factors is included below. Except for the below risk factors, there have been no material changes from the risk factors described in our Form 10-K.</w:t>
      </w:r>
    </w:p>
    <w:p>
      <w:pPr>
        <w:spacing w:after="0" w:line="176"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expected revenue or other benefits from the craft beer operations we acquired in fiscal years 2024 and 2025.</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integrating operations and realizing the expected benefits of recent acquisitions, including the Craft brands acquisitions.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cannabis business is dependent upon regulatory approvals and licenses, ongoing compliance and reporting obligations, and timely renewals.</w:t>
      </w:r>
    </w:p>
    <w:p>
      <w:pPr>
        <w:spacing w:after="0" w:line="252"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including potential regulatory developments in the United States to reschedule cannabis from Schedule I to Schedule III under the Controlled Substances Act. In November 2025, new U.S. federal legislation was enacted that banned the production or sale of hemp-derived cannabis, including Delta-9. This restriction is scheduled to go into effect on November 12, 2026.</w:t>
      </w:r>
    </w:p>
    <w:p>
      <w:pPr>
        <w:spacing w:after="0" w:line="175" w:lineRule="exact"/>
        <w:rPr>
          <w:rFonts w:ascii="Times New Roman" w:cs="Times New Roman" w:eastAsia="Times New Roman" w:hAnsi="Times New Roman"/>
          <w:sz w:val="18"/>
          <w:szCs w:val="18"/>
          <w:color w:val="auto"/>
        </w:rPr>
      </w:pPr>
    </w:p>
    <w:p>
      <w:pPr>
        <w:jc w:val="both"/>
        <w:ind w:left="820" w:right="20" w:hanging="326"/>
        <w:spacing w:after="0" w:line="266"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potential modifications to existing regulatory frameworks outside of North America, as well as uncertainties and potential delays in receiving required export/import permits in Europe and Australia. Any unfavorable changes to or lack of commercial legalization, or extended delays in receipt of required permits, could negatively impact our businesses and the potential planned expansion of our business.</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including from the illicit cannabis market, and anticipate competition will increase, which could hurt our business.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constrain our ability to market and distribute our products in Canada.</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CBD products, Delta-9 products, and medical cannabis products are new and rapidly evolving, and changes may not develop in the timeframe or manner most favorable to our business objectives.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or public attitudes about alcohol could decrease demand for our beverage products.</w:t>
      </w:r>
    </w:p>
    <w:p>
      <w:pPr>
        <w:spacing w:after="0" w:line="252"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SweetWater, Breckenridge, Montauk and our recently-acquired craft beer brands each face substantial competition in the beer industry or the broader market for beverage products, which could impact our business and financial results.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materially adversely affected by the imposition of duties and tariffs and other trade barriers and retaliatory countermeasures implemented by the U.S. and other governments.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impairments of our goodwill and impairments of our long-lived assets could have a material adverse impact on our financial results.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 history of net losses, and we may not achieve or maintain profitability in the future</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in an agricultural business, including the risk of crop failure.</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recurring customers for a substantial portion of our revenue. If we fail to retain or expand our customer relationships or these customers reduce their purchases, our revenue could decline significantly.</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recalls for a variety of reasons, which could require us to expend significant management and capital resources.</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may not be able to successfully establish and maintain effective internal controls over financial reporting.</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252"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convertible securities in cash or to repurchase the convertible securities upon a fundamental change.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cryptocurrency strategy faces high risk and uncertainty in light of market volatility and an evolving regulatory landscape.</w:t>
      </w:r>
    </w:p>
    <w:p>
      <w:pPr>
        <w:sectPr>
          <w:pgSz w:w="11900" w:h="16838" w:orient="portrait"/>
          <w:cols w:equalWidth="0" w:num="1">
            <w:col w:w="11240"/>
          </w:cols>
          <w:pgMar w:left="320" w:top="576" w:right="339" w:bottom="15" w:gutter="0" w:footer="0" w:header="0"/>
        </w:sectPr>
      </w:pPr>
    </w:p>
    <w:bookmarkStart w:id="55" w:name="page56"/>
    <w:bookmarkEnd w:id="55"/>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w:t>
      </w:r>
    </w:p>
    <w:p>
      <w:pPr>
        <w:spacing w:after="0" w:line="24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regulatory risks associated with the rescheduling of cannabis in the U.S. and uncertainties in the implementation of our planned medical cannabis platform.</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recently announced U.S. federal cannabis rescheduling order has introduced significant uncertainty regarding the scope, timing, and ultimate impact of potential changes to U.S. federal cannabis regulation. Our business, financial condition, and results of operations may be materially adversely affected if such changes do not occur as or when anticipated or impose requirements we are unable to meet. Although federal cannabis rescheduling is expected to create expanded opportunities for our business in the U.S., including our planned launch of a medical cannabis platform in 2026, the final outcome of federal rulemaking—along with related DEA and FDA oversight, enforcement priorities, and interaction with state-level regulatory frameworks —remains unclear and may materially differ from current expectations. Legal challenges to rescheduling, shifts in federal or state regulatory priorities, or the imposition of restrictive compliance, manufacturing, or distribution requirements could delay, limit, or prevent our ability to commercialize medical cannabis products in the U.S. If the resulting regulatory environment is more restrictive than anticipated, is not implemented on a timely basis, or otherwise fails to permit a viable market pathway, we may be unable to pursue our planned U.S. medical cannabis strategy as intended, which could adversely impact our growth prospects, strategic objectives, and anticipated investments.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financial losses and operational risks due to our decision to self-insure certain real property assets.</w:t>
      </w:r>
    </w:p>
    <w:p>
      <w:pPr>
        <w:spacing w:after="0" w:line="188" w:lineRule="exact"/>
        <w:rPr>
          <w:sz w:val="20"/>
          <w:szCs w:val="20"/>
          <w:color w:val="auto"/>
        </w:rPr>
      </w:pPr>
    </w:p>
    <w:p>
      <w:pPr>
        <w:jc w:val="both"/>
        <w:ind w:firstLine="486"/>
        <w:spacing w:after="0" w:line="222" w:lineRule="exact"/>
        <w:rPr>
          <w:sz w:val="20"/>
          <w:szCs w:val="20"/>
          <w:color w:val="auto"/>
        </w:rPr>
      </w:pPr>
      <w:r>
        <w:rPr>
          <w:rFonts w:ascii="Times New Roman" w:cs="Times New Roman" w:eastAsia="Times New Roman" w:hAnsi="Times New Roman"/>
          <w:sz w:val="18"/>
          <w:szCs w:val="18"/>
          <w:color w:val="auto"/>
        </w:rPr>
        <w:t>We recently transitioned several of our real property assets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insurance coverage to a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model. Under this approach, we bear the financial risk associated with potential losses, damages, business interruption, remediation costs, or other liabilities relating to these properties. While we believe this strategy appropriately balances cost management and risk, it exposes us to risks that could materially and adversely affect our business, financial condition, and results of operations. Loss events such as fire, flooding, natural disasters, equipment failures, structural degradation, theft, or other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incidents, could require significant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expenditures. Depending on the nature and magnitude of any such event, we may incur substantial unplanned costs, experience facility downtime, or have reduced capacity to cultivate, manufacture, store, or distribute products. These outcomes could disrupt supply chains, delay production, impair revenue generation, or necessitate capital expenditures not otherwise planned. In addition, our determination of appropriate reserves and internal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mitigation processes may prove inadequate. If the scope, frequency, or severity of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losses exceeds our expectations, we may experience materially higher expenses or capital requirements. Any of these factors, individually or in the aggregate, could materially and adversely impact our operating results, cash flows, and liquidity.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October 9, 2025, Tilray entered into an assignment and assumption agreement with Double Diamond Holdings Ltd. (“DDH”), an Ontario corporation, pursuant to which, among other things, Tilray acquired from DDH a promissory note in the amount of $14,821 (the “Note”) payable by 1974568 Ontario Limited (“Aphria Diamond”). DDH is a joint venturer with Aphria Inc. (Tilray’s wholly-owned subsidiary) in Aphria Diamond. As consideration for the Note, Tilray issued 861,707 shares of its Common Stock to DDH.</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shares of Common Stock issued in the foregoing transaction were issued without registration under the Securities Act of 1933, as amended, in reliance on the exemption provided by Section 3(a)(9) thereunder as securities exchanged by the Company with an existing security holder where no commission or other remuneration was paid or given directly or indirectly for soliciting such exchange.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3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Certificate of Amendment of the Fifth Amended and Restated Certificate of Incorporation of the Company, filed on November 26, 2025</w:t>
              </w:r>
            </w:hyperlink>
          </w:p>
        </w:tc>
        <w:tc>
          <w:tcPr>
            <w:tcW w:w="54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40" w:type="dxa"/>
            <w:vAlign w:val="bottom"/>
            <w:gridSpan w:val="8"/>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(incorporated by reference to Exhibit 3.1 to the Current Report on Form 8-K filed with the U.S. Securities and Exchange Commission on</w:t>
              </w:r>
            </w:hyperlink>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November 26, 2025).</w:t>
              </w:r>
            </w:hyperlink>
          </w:p>
        </w:tc>
        <w:tc>
          <w:tcPr>
            <w:tcW w:w="8320" w:type="dxa"/>
            <w:vAlign w:val="bottom"/>
            <w:tcBorders>
              <w:top w:val="single" w:sz="8" w:color="0000EE"/>
            </w:tcBorders>
            <w:gridSpan w:val="4"/>
          </w:tcPr>
          <w:p>
            <w:pPr>
              <w:spacing w:after="0"/>
              <w:rPr>
                <w:sz w:val="17"/>
                <w:szCs w:val="17"/>
                <w:color w:val="auto"/>
              </w:rPr>
            </w:pPr>
          </w:p>
        </w:tc>
        <w:tc>
          <w:tcPr>
            <w:tcW w:w="480" w:type="dxa"/>
            <w:vAlign w:val="bottom"/>
            <w:gridSpan w:val="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3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6000" w:type="dxa"/>
            <w:vAlign w:val="bottom"/>
            <w:gridSpan w:val="4"/>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3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6020" w:type="dxa"/>
            <w:vAlign w:val="bottom"/>
            <w:gridSpan w:val="5"/>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8900" w:type="dxa"/>
            <w:vAlign w:val="bottom"/>
            <w:gridSpan w:val="4"/>
          </w:tcPr>
          <w:p>
            <w:pPr>
              <w:jc w:val="right"/>
              <w:ind w:right="498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7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November 30, 2025, formatted</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Inline XBRL: (i) Consolidated Statements of Financial Position, (ii) Consolidated Statements of Loss and Comprehensive Loss , (iii)</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(iv) Consolidated Statements of Cash Flows, and (v) Notes to Condensed Interim</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Financial Statements, tagged as blocks of text and including detailed tags.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5540" w:right="5280" w:hanging="5532"/>
        <w:spacing w:after="0" w:line="511" w:lineRule="auto"/>
        <w:tabs>
          <w:tab w:leader="none" w:pos="5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25"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January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7"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January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Carl Merton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57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Irwin D. Simon, certify that:</w:t>
      </w:r>
    </w:p>
    <w:p>
      <w:pPr>
        <w:spacing w:after="0" w:line="225"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January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Merton, certify that:</w:t>
      </w:r>
    </w:p>
    <w:p>
      <w:pPr>
        <w:spacing w:after="0" w:line="225"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January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November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January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November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January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upperLetter"/>
      <w:start w:val="29"/>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56" Type="http://schemas.openxmlformats.org/officeDocument/2006/relationships/hyperlink" Target="http://www.sec.gov/Archives/edgar/data/1731348/000143774925036448/ex_89236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2026-01-08T16:13:52Z</dcterms:created>
  <dcterms:modified xsi:type="dcterms:W3CDTF">2026-01-08T16:13:52Z</dcterms:modified>
</cp:coreProperties>
</file>