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780" w:right="1580" w:hanging="3772"/>
        <w:spacing w:after="0" w:line="367" w:lineRule="auto"/>
        <w:tabs>
          <w:tab w:leader="none" w:pos="4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90" w:right="339" w:bottom="1440" w:gutter="0" w:footer="0" w:header="0"/>
        </w:sectPr>
      </w:pPr>
    </w:p>
    <w:p>
      <w:pPr>
        <w:spacing w:after="0" w:line="12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500" w:space="720"/>
            <w:col w:w="4020"/>
          </w:cols>
          <w:pgMar w:left="320" w:top="490"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117475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Tilray,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3860" w:type="dxa"/>
            <w:vAlign w:val="bottom"/>
          </w:tcPr>
          <w:p>
            <w:pPr>
              <w:jc w:val="center"/>
              <w:ind w:right="2134"/>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center"/>
              <w:ind w:left="2134"/>
              <w:spacing w:after="0"/>
              <w:rPr>
                <w:sz w:val="20"/>
                <w:szCs w:val="20"/>
                <w:color w:val="auto"/>
              </w:rPr>
            </w:pPr>
            <w:r>
              <w:rPr>
                <w:rFonts w:ascii="Arial" w:cs="Arial" w:eastAsia="Arial" w:hAnsi="Arial"/>
                <w:sz w:val="14"/>
                <w:szCs w:val="14"/>
                <w:b w:val="1"/>
                <w:bCs w:val="1"/>
                <w:color w:val="auto"/>
                <w:w w:val="93"/>
              </w:rPr>
              <w:t>82-4310622</w:t>
            </w:r>
          </w:p>
        </w:tc>
      </w:tr>
      <w:tr>
        <w:trPr>
          <w:trHeight w:val="135"/>
        </w:trPr>
        <w:tc>
          <w:tcPr>
            <w:tcW w:w="3860" w:type="dxa"/>
            <w:vAlign w:val="bottom"/>
          </w:tcPr>
          <w:p>
            <w:pPr>
              <w:jc w:val="center"/>
              <w:ind w:right="215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180" w:type="dxa"/>
            <w:vAlign w:val="bottom"/>
          </w:tcPr>
          <w:p>
            <w:pPr>
              <w:jc w:val="center"/>
              <w:ind w:left="21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860" w:type="dxa"/>
            <w:vAlign w:val="bottom"/>
          </w:tcPr>
          <w:p>
            <w:pPr>
              <w:jc w:val="center"/>
              <w:ind w:right="2154"/>
              <w:spacing w:after="0"/>
              <w:rPr>
                <w:sz w:val="20"/>
                <w:szCs w:val="20"/>
                <w:color w:val="auto"/>
              </w:rPr>
            </w:pPr>
            <w:r>
              <w:rPr>
                <w:rFonts w:ascii="Arial" w:cs="Arial" w:eastAsia="Arial" w:hAnsi="Arial"/>
                <w:sz w:val="13"/>
                <w:szCs w:val="13"/>
                <w:b w:val="1"/>
                <w:bCs w:val="1"/>
                <w:color w:val="auto"/>
                <w:w w:val="88"/>
              </w:rPr>
              <w:t>incorporation or organization</w:t>
            </w:r>
            <w:r>
              <w:rPr>
                <w:rFonts w:ascii="Arial" w:cs="Arial" w:eastAsia="Arial" w:hAnsi="Arial"/>
                <w:sz w:val="13"/>
                <w:szCs w:val="13"/>
                <w:color w:val="auto"/>
                <w:w w:val="88"/>
              </w:rPr>
              <w:t>)</w:t>
            </w:r>
          </w:p>
        </w:tc>
        <w:tc>
          <w:tcPr>
            <w:tcW w:w="3180" w:type="dxa"/>
            <w:vAlign w:val="bottom"/>
          </w:tcPr>
          <w:p>
            <w:pPr>
              <w:jc w:val="center"/>
              <w:ind w:left="213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1100 Maughan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Nanaimo, BC, Canada, V9X IJ2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8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Trading</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Symbol(s)</w:t>
            </w: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03"/>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2 Common Stock, $0.0001 par value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TLRY</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right="120" w:firstLine="74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81" w:lineRule="exact"/>
        <w:rPr>
          <w:sz w:val="24"/>
          <w:szCs w:val="24"/>
          <w:color w:val="auto"/>
        </w:rPr>
      </w:pPr>
    </w:p>
    <w:p>
      <w:pPr>
        <w:jc w:val="both"/>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May 7, 2021, the registrant had 447,371,310 shares of Class 2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6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120" w:type="dxa"/>
            <w:vAlign w:val="bottom"/>
            <w:gridSpan w:val="2"/>
            <w:vMerge w:val="continue"/>
          </w:tcPr>
          <w:p>
            <w:pPr>
              <w:spacing w:after="0"/>
              <w:rPr>
                <w:sz w:val="16"/>
                <w:szCs w:val="16"/>
                <w:color w:val="auto"/>
              </w:rPr>
            </w:pPr>
          </w:p>
        </w:tc>
        <w:tc>
          <w:tcPr>
            <w:tcW w:w="8060" w:type="dxa"/>
            <w:vAlign w:val="bottom"/>
            <w:gridSpan w:val="18"/>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20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06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400" w:type="dxa"/>
            <w:vAlign w:val="bottom"/>
            <w:tcBorders>
              <w:top w:val="single" w:sz="8" w:color="0000EE"/>
            </w:tcBorders>
          </w:tcPr>
          <w:p>
            <w:pPr>
              <w:spacing w:after="0"/>
              <w:rPr>
                <w:sz w:val="17"/>
                <w:szCs w:val="17"/>
                <w:color w:val="auto"/>
              </w:rPr>
            </w:pPr>
          </w:p>
        </w:tc>
        <w:tc>
          <w:tcPr>
            <w:tcW w:w="380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Net Loss and Comprehensive Loss (Unaudited)</w:t>
              </w:r>
            </w:hyperlink>
          </w:p>
        </w:tc>
        <w:tc>
          <w:tcPr>
            <w:tcW w:w="176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(Unaudited)</w:t>
              </w:r>
            </w:hyperlink>
          </w:p>
        </w:tc>
        <w:tc>
          <w:tcPr>
            <w:tcW w:w="274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w:t>
              </w:r>
            </w:hyperlink>
          </w:p>
        </w:tc>
        <w:tc>
          <w:tcPr>
            <w:tcW w:w="34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0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5"/>
          </w:tcPr>
          <w:p>
            <w:pPr>
              <w:spacing w:after="0"/>
              <w:rPr>
                <w:sz w:val="17"/>
                <w:szCs w:val="17"/>
                <w:color w:val="auto"/>
              </w:rPr>
            </w:pPr>
          </w:p>
        </w:tc>
        <w:tc>
          <w:tcPr>
            <w:tcW w:w="160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62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OTHER INFORMATION</w:t>
              </w:r>
            </w:hyperlink>
          </w:p>
        </w:tc>
        <w:tc>
          <w:tcPr>
            <w:tcW w:w="616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06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72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370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57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62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06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6740" w:type="dxa"/>
            <w:vAlign w:val="bottom"/>
            <w:gridSpan w:val="1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par value data, 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416,370</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w w:val="93"/>
              </w:rPr>
              <w:t>Accounts receivable, net of allowance for credit losses of $1,267 and provision for sales returns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$727 (December 31, 2020 - $887 and $1,651, respectively)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571,969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197,771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186,222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1,168,244</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945,949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Accrued lease obligations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Facility, net of transaction costs - current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Accrued lease obligations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Convertible notes, net of issuance costs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259,443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Senior Facility, net of transaction costs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627,613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(refer to Note 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w w:val="95"/>
              </w:rPr>
              <w:t>Class 1 common stock ($0.0001 par value, 233,333,333 shares authorized; 0 shares issued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2 common stock ($0.0001 par value; 500,000,000 shares authorized;</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179,118,980 and 158,486,087 shares issued and outstanding, respectively</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1,599,713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1,095,781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(1,071,058)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(730,103)</w:t>
            </w:r>
          </w:p>
        </w:tc>
        <w:tc>
          <w:tcPr>
            <w:tcW w:w="0" w:type="dxa"/>
            <w:vAlign w:val="bottom"/>
          </w:tcPr>
          <w:p>
            <w:pPr>
              <w:spacing w:after="0"/>
              <w:rPr>
                <w:sz w:val="1"/>
                <w:szCs w:val="1"/>
                <w:color w:val="auto"/>
              </w:rPr>
            </w:pPr>
          </w:p>
        </w:tc>
      </w:tr>
      <w:tr>
        <w:trPr>
          <w:trHeight w:val="223"/>
        </w:trPr>
        <w:tc>
          <w:tcPr>
            <w:tcW w:w="7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540,631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1,168,244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per share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sales</w:t>
            </w:r>
          </w:p>
        </w:tc>
        <w:tc>
          <w:tcPr>
            <w:tcW w:w="6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Gross profit</w:t>
            </w:r>
          </w:p>
        </w:tc>
        <w:tc>
          <w:tcPr>
            <w:tcW w:w="6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 expenses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 expenses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7"/>
                <w:szCs w:val="17"/>
                <w:color w:val="auto"/>
              </w:rPr>
              <w:t>Impairment of assets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Loss from equity method investments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Litigation settlement</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Operating loss</w:t>
            </w:r>
          </w:p>
        </w:tc>
        <w:tc>
          <w:tcPr>
            <w:tcW w:w="6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(73,310)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Foreign exchange (gain) loss, net</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Change in fair value of warrant liability</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Interest expenses, net</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expenses, net</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(1,516)</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Loss before income taxes</w:t>
            </w:r>
          </w:p>
        </w:tc>
        <w:tc>
          <w:tcPr>
            <w:tcW w:w="66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 recoveries</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Current income tax expenses</w:t>
            </w:r>
          </w:p>
        </w:tc>
        <w:tc>
          <w:tcPr>
            <w:tcW w:w="6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(340,955)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260"/>
              <w:spacing w:after="0"/>
              <w:rPr>
                <w:sz w:val="20"/>
                <w:szCs w:val="20"/>
                <w:color w:val="auto"/>
              </w:rPr>
            </w:pPr>
            <w:r>
              <w:rPr>
                <w:rFonts w:ascii="Arial" w:cs="Arial" w:eastAsia="Arial" w:hAnsi="Arial"/>
                <w:sz w:val="17"/>
                <w:szCs w:val="17"/>
                <w:color w:val="auto"/>
              </w:rPr>
              <w:t>Net loss per share - basic and diluted</w:t>
            </w: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9"/>
              </w:rPr>
              <w:t>Weighted average shares used in computation of net loss per share - basic and diluted</w:t>
            </w: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169,489,223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106,463,352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Net loss</w:t>
            </w:r>
          </w:p>
        </w:tc>
        <w:tc>
          <w:tcPr>
            <w:tcW w:w="106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(340,955)</w:t>
            </w: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(184,123)</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Foreign currency translation gain (loss), net</w:t>
            </w:r>
          </w:p>
        </w:tc>
        <w:tc>
          <w:tcPr>
            <w:tcW w:w="6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Unrealized loss on investments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Other comprehensive loss</w:t>
            </w:r>
          </w:p>
        </w:tc>
        <w:tc>
          <w:tcPr>
            <w:tcW w:w="6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7"/>
                <w:szCs w:val="17"/>
                <w:color w:val="auto"/>
              </w:rPr>
              <w:t>Comprehensive loss</w:t>
            </w:r>
          </w:p>
        </w:tc>
        <w:tc>
          <w:tcPr>
            <w:tcW w:w="66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180" w:type="dxa"/>
            <w:vAlign w:val="bottom"/>
            <w:gridSpan w:val="4"/>
            <w:vMerge w:val="restart"/>
          </w:tcPr>
          <w:p>
            <w:pPr>
              <w:jc w:val="right"/>
              <w:ind w:right="46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 paid-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6"/>
        </w:trPr>
        <w:tc>
          <w:tcPr>
            <w:tcW w:w="33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102,781,225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ind w:right="72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w:t>
            </w: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705,671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9,719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(430,130)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285,271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260"/>
              <w:spacing w:after="0" w:line="137" w:lineRule="exact"/>
              <w:rPr>
                <w:sz w:val="20"/>
                <w:szCs w:val="20"/>
                <w:color w:val="auto"/>
              </w:rPr>
            </w:pPr>
            <w:r>
              <w:rPr>
                <w:rFonts w:ascii="Arial" w:cs="Arial" w:eastAsia="Arial" w:hAnsi="Arial"/>
                <w:sz w:val="14"/>
                <w:szCs w:val="14"/>
                <w:color w:val="auto"/>
              </w:rPr>
              <w:t>Proceeds from ABG Profit Participation</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60"/>
              <w:spacing w:after="0"/>
              <w:rPr>
                <w:sz w:val="20"/>
                <w:szCs w:val="20"/>
                <w:color w:val="auto"/>
              </w:rPr>
            </w:pPr>
            <w:r>
              <w:rPr>
                <w:rFonts w:ascii="Arial" w:cs="Arial" w:eastAsia="Arial" w:hAnsi="Arial"/>
                <w:sz w:val="14"/>
                <w:szCs w:val="14"/>
                <w:color w:val="auto"/>
              </w:rPr>
              <w:t>Arrangement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Write-off of ABG finance receivable</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(28,900)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w w:val="99"/>
              </w:rPr>
              <w:t>Escrow shares released from downstream merger</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(7,659)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7"/>
              </w:rPr>
              <w:t>Shares issued for common stock at-the-market, net</w:t>
            </w: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 issuance costs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2,265,115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Shares issued for investments</w:t>
            </w:r>
          </w:p>
        </w:tc>
        <w:tc>
          <w:tcPr>
            <w:tcW w:w="1080" w:type="dxa"/>
            <w:vAlign w:val="bottom"/>
          </w:tcPr>
          <w:p>
            <w:pPr>
              <w:jc w:val="right"/>
              <w:spacing w:after="0"/>
              <w:rPr>
                <w:sz w:val="20"/>
                <w:szCs w:val="20"/>
                <w:color w:val="auto"/>
              </w:rPr>
            </w:pPr>
            <w:r>
              <w:rPr>
                <w:rFonts w:ascii="Arial" w:cs="Arial" w:eastAsia="Arial" w:hAnsi="Arial"/>
                <w:sz w:val="14"/>
                <w:szCs w:val="14"/>
                <w:color w:val="auto"/>
              </w:rPr>
              <w:t>6,934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under stock-based compensation</w:t>
            </w: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plans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597,868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Stock-based compensation expenses</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Shares issued under registered offering, net of</w:t>
            </w: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costs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7,250,000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w w:val="99"/>
              </w:rPr>
              <w:t>Shares issued for exercise of pre-funded warrants</w:t>
            </w:r>
          </w:p>
        </w:tc>
        <w:tc>
          <w:tcPr>
            <w:tcW w:w="1080" w:type="dxa"/>
            <w:vAlign w:val="bottom"/>
          </w:tcPr>
          <w:p>
            <w:pPr>
              <w:jc w:val="right"/>
              <w:spacing w:after="0"/>
              <w:rPr>
                <w:sz w:val="20"/>
                <w:szCs w:val="20"/>
                <w:color w:val="auto"/>
              </w:rPr>
            </w:pPr>
            <w:r>
              <w:rPr>
                <w:rFonts w:ascii="Arial" w:cs="Arial" w:eastAsia="Arial" w:hAnsi="Arial"/>
                <w:sz w:val="14"/>
                <w:szCs w:val="14"/>
                <w:color w:val="auto"/>
              </w:rPr>
              <w:t>11,750,000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49,054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(16,707)</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(16,707)</w:t>
            </w: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(184,123)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(184,123)</w:t>
            </w:r>
          </w:p>
        </w:tc>
        <w:tc>
          <w:tcPr>
            <w:tcW w:w="0" w:type="dxa"/>
            <w:vAlign w:val="bottom"/>
          </w:tcPr>
          <w:p>
            <w:pPr>
              <w:spacing w:after="0"/>
              <w:rPr>
                <w:sz w:val="1"/>
                <w:szCs w:val="1"/>
                <w:color w:val="auto"/>
              </w:rPr>
            </w:pPr>
          </w:p>
        </w:tc>
      </w:tr>
      <w:tr>
        <w:trPr>
          <w:trHeight w:val="155"/>
        </w:trPr>
        <w:tc>
          <w:tcPr>
            <w:tcW w:w="33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March 31, 2020</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124,643,483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ind w:right="72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840,436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(6,988)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(643,153)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190,308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158,046,087</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723"/>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440" w:type="dxa"/>
            <w:vAlign w:val="bottom"/>
            <w:gridSpan w:val="2"/>
            <w:shd w:val="clear" w:color="auto" w:fill="CFF0FC"/>
          </w:tcPr>
          <w:p>
            <w:pPr>
              <w:jc w:val="right"/>
              <w:ind w:right="83"/>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1,095,781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(730,103)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373,899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ind w:left="260"/>
              <w:spacing w:after="0" w:line="155" w:lineRule="exact"/>
              <w:rPr>
                <w:sz w:val="20"/>
                <w:szCs w:val="20"/>
                <w:color w:val="auto"/>
              </w:rPr>
            </w:pPr>
            <w:r>
              <w:rPr>
                <w:rFonts w:ascii="Arial" w:cs="Arial" w:eastAsia="Arial" w:hAnsi="Arial"/>
                <w:sz w:val="14"/>
                <w:szCs w:val="14"/>
                <w:color w:val="auto"/>
                <w:w w:val="99"/>
              </w:rPr>
              <w:t>Escrow shares released from downstream merger</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(6,342)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7"/>
              </w:rPr>
              <w:t>Shares issued for common stock at-the-market, net</w:t>
            </w: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 issuance costs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6,254,980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60" w:type="dxa"/>
            <w:vAlign w:val="bottom"/>
          </w:tcPr>
          <w:p>
            <w:pPr>
              <w:ind w:left="260"/>
              <w:spacing w:after="0" w:line="143" w:lineRule="exact"/>
              <w:rPr>
                <w:sz w:val="20"/>
                <w:szCs w:val="20"/>
                <w:color w:val="auto"/>
              </w:rPr>
            </w:pPr>
            <w:r>
              <w:rPr>
                <w:rFonts w:ascii="Arial" w:cs="Arial" w:eastAsia="Arial" w:hAnsi="Arial"/>
                <w:sz w:val="14"/>
                <w:szCs w:val="14"/>
                <w:color w:val="auto"/>
              </w:rPr>
              <w:t>Shares issued under stock-based compensation</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60"/>
              <w:spacing w:after="0"/>
              <w:rPr>
                <w:sz w:val="20"/>
                <w:szCs w:val="20"/>
                <w:color w:val="auto"/>
              </w:rPr>
            </w:pPr>
            <w:r>
              <w:rPr>
                <w:rFonts w:ascii="Arial" w:cs="Arial" w:eastAsia="Arial" w:hAnsi="Arial"/>
                <w:sz w:val="14"/>
                <w:szCs w:val="14"/>
                <w:color w:val="auto"/>
              </w:rPr>
              <w:t>plans</w:t>
            </w:r>
          </w:p>
        </w:tc>
        <w:tc>
          <w:tcPr>
            <w:tcW w:w="1080" w:type="dxa"/>
            <w:vAlign w:val="bottom"/>
          </w:tcPr>
          <w:p>
            <w:pPr>
              <w:jc w:val="right"/>
              <w:spacing w:after="0"/>
              <w:rPr>
                <w:sz w:val="20"/>
                <w:szCs w:val="20"/>
                <w:color w:val="auto"/>
              </w:rPr>
            </w:pPr>
            <w:r>
              <w:rPr>
                <w:rFonts w:ascii="Arial" w:cs="Arial" w:eastAsia="Arial" w:hAnsi="Arial"/>
                <w:sz w:val="14"/>
                <w:szCs w:val="14"/>
                <w:color w:val="auto"/>
              </w:rPr>
              <w:t>1,623,255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Shares issued for exercise of warrants</w:t>
            </w:r>
          </w:p>
        </w:tc>
        <w:tc>
          <w:tcPr>
            <w:tcW w:w="1080" w:type="dxa"/>
            <w:vAlign w:val="bottom"/>
          </w:tcPr>
          <w:p>
            <w:pPr>
              <w:jc w:val="right"/>
              <w:spacing w:after="0"/>
              <w:rPr>
                <w:sz w:val="20"/>
                <w:szCs w:val="20"/>
                <w:color w:val="auto"/>
              </w:rPr>
            </w:pPr>
            <w:r>
              <w:rPr>
                <w:rFonts w:ascii="Arial" w:cs="Arial" w:eastAsia="Arial" w:hAnsi="Arial"/>
                <w:sz w:val="14"/>
                <w:szCs w:val="14"/>
                <w:color w:val="auto"/>
              </w:rPr>
              <w:t>12,791,000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337,151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337,152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(340,955)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(340,955)</w:t>
            </w:r>
          </w:p>
        </w:tc>
        <w:tc>
          <w:tcPr>
            <w:tcW w:w="0" w:type="dxa"/>
            <w:vAlign w:val="bottom"/>
          </w:tcPr>
          <w:p>
            <w:pPr>
              <w:spacing w:after="0"/>
              <w:rPr>
                <w:sz w:val="1"/>
                <w:szCs w:val="1"/>
                <w:color w:val="auto"/>
              </w:rPr>
            </w:pPr>
          </w:p>
        </w:tc>
      </w:tr>
      <w:tr>
        <w:trPr>
          <w:trHeight w:val="155"/>
        </w:trPr>
        <w:tc>
          <w:tcPr>
            <w:tcW w:w="33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2021</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178,708,980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ind w:right="723"/>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1,599,713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11,958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(1,071,058)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540,631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 thousands of United States dollars,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3"/>
                <w:szCs w:val="13"/>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25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9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5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580" w:type="dxa"/>
            <w:vAlign w:val="bottom"/>
            <w:gridSpan w:val="2"/>
          </w:tcPr>
          <w:p>
            <w:pPr>
              <w:jc w:val="right"/>
              <w:ind w:right="913"/>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(340,955)</w:t>
            </w:r>
          </w:p>
        </w:tc>
        <w:tc>
          <w:tcPr>
            <w:tcW w:w="118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(184,123)</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Adjusted for the following items: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Inventory valuation adjustments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Depreciation and amortization expenses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Impairment of assets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29,839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Change in fair value of warrant liability</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263,201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from equity method investments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(Gain) loss from equity investments measured at fair value</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loss from sale of investment</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Interest on debt securities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taxes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(635)</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(1,272)</w:t>
            </w: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Amortization of discount on convertible notes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transaction costs on Senior Facility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Foreign currency (gain) loss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(699)</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Accretion related to obligations under finance leases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Issuance costs on registered offering recorded to net loss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3,953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Credit loss expenses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Provision for sales returns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(924)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disposal of property and equipment</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Other non-cash items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non-cash working capital:</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(1,906)</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Inventory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(4,893)</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(11,594)</w:t>
            </w: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Prepayments and other current assets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6,749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30,513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(15,218)</w:t>
            </w:r>
          </w:p>
        </w:tc>
        <w:tc>
          <w:tcPr>
            <w:tcW w:w="0" w:type="dxa"/>
            <w:vAlign w:val="bottom"/>
          </w:tcPr>
          <w:p>
            <w:pPr>
              <w:spacing w:after="0"/>
              <w:rPr>
                <w:sz w:val="1"/>
                <w:szCs w:val="1"/>
                <w:color w:val="auto"/>
              </w:rPr>
            </w:pPr>
          </w:p>
        </w:tc>
      </w:tr>
      <w:tr>
        <w:trPr>
          <w:trHeight w:val="175"/>
        </w:trPr>
        <w:tc>
          <w:tcPr>
            <w:tcW w:w="5900" w:type="dxa"/>
            <w:vAlign w:val="bottom"/>
          </w:tcPr>
          <w:p>
            <w:pPr>
              <w:ind w:left="500"/>
              <w:spacing w:after="0"/>
              <w:rPr>
                <w:sz w:val="20"/>
                <w:szCs w:val="20"/>
                <w:color w:val="auto"/>
              </w:rPr>
            </w:pPr>
            <w:r>
              <w:rPr>
                <w:rFonts w:ascii="Arial" w:cs="Arial" w:eastAsia="Arial" w:hAnsi="Arial"/>
                <w:sz w:val="15"/>
                <w:szCs w:val="15"/>
                <w:color w:val="auto"/>
              </w:rPr>
              <w:t>Accrued expenses and other current liabilities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20,645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(3,172)</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Net cash used in operating activities</w:t>
            </w: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vMerge w:val="continue"/>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(13,008)</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(54,031)</w:t>
            </w:r>
          </w:p>
        </w:tc>
        <w:tc>
          <w:tcPr>
            <w:tcW w:w="0" w:type="dxa"/>
            <w:vAlign w:val="bottom"/>
          </w:tcPr>
          <w:p>
            <w:pPr>
              <w:spacing w:after="0"/>
              <w:rPr>
                <w:sz w:val="1"/>
                <w:szCs w:val="1"/>
                <w:color w:val="auto"/>
              </w:rPr>
            </w:pP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15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 in deposits and other assets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Investment in equity method investees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(493)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the sale of other investments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2,719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(2,466)</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(18,290)</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disposal of property and equipment</w:t>
            </w:r>
          </w:p>
        </w:tc>
        <w:tc>
          <w:tcPr>
            <w:tcW w:w="152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tcPr>
          <w:p>
            <w:pPr>
              <w:ind w:left="500"/>
              <w:spacing w:after="0" w:line="169" w:lineRule="exact"/>
              <w:rPr>
                <w:sz w:val="20"/>
                <w:szCs w:val="20"/>
                <w:color w:val="auto"/>
              </w:rPr>
            </w:pPr>
            <w:r>
              <w:rPr>
                <w:rFonts w:ascii="Arial" w:cs="Arial" w:eastAsia="Arial" w:hAnsi="Arial"/>
                <w:sz w:val="15"/>
                <w:szCs w:val="15"/>
                <w:color w:val="auto"/>
              </w:rPr>
              <w:t>Net cash used in investing activities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(69)</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(18,119)</w:t>
            </w:r>
          </w:p>
        </w:tc>
        <w:tc>
          <w:tcPr>
            <w:tcW w:w="0" w:type="dxa"/>
            <w:vAlign w:val="bottom"/>
          </w:tcPr>
          <w:p>
            <w:pPr>
              <w:spacing w:after="0"/>
              <w:rPr>
                <w:sz w:val="1"/>
                <w:szCs w:val="1"/>
                <w:color w:val="auto"/>
              </w:rPr>
            </w:pPr>
          </w:p>
        </w:tc>
      </w:tr>
      <w:tr>
        <w:trPr>
          <w:trHeight w:val="169"/>
        </w:trPr>
        <w:tc>
          <w:tcPr>
            <w:tcW w:w="59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15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Proceeds from at-the-market equity offering, net of costs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156,029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27,027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ABG Profit Participation Arrangement</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Proceeds from issuance of registered offering, net of issuance costs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85,465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ABG finance liability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(375)</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Proceeds from exercise of warrants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76,106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6,117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Payment of obligations under finance lease</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on the settlement of stock options</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(2,487)</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175"/>
        </w:trPr>
        <w:tc>
          <w:tcPr>
            <w:tcW w:w="5900" w:type="dxa"/>
            <w:vAlign w:val="bottom"/>
          </w:tcPr>
          <w:p>
            <w:pPr>
              <w:ind w:left="260"/>
              <w:spacing w:after="0"/>
              <w:rPr>
                <w:sz w:val="20"/>
                <w:szCs w:val="20"/>
                <w:color w:val="auto"/>
              </w:rPr>
            </w:pPr>
            <w:r>
              <w:rPr>
                <w:rFonts w:ascii="Arial" w:cs="Arial" w:eastAsia="Arial" w:hAnsi="Arial"/>
                <w:sz w:val="15"/>
                <w:szCs w:val="15"/>
                <w:color w:val="auto"/>
              </w:rPr>
              <w:t>Proceeds from issuance of Senior Facility, net of transaction costs</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46,395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 of Senior Facility</w:t>
            </w:r>
          </w:p>
        </w:tc>
        <w:tc>
          <w:tcPr>
            <w:tcW w:w="15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(1,309)</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169"/>
        </w:trPr>
        <w:tc>
          <w:tcPr>
            <w:tcW w:w="5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52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234,081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159,786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0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Effect of foreign currency translation on cash and cash equivalents</w:t>
            </w:r>
          </w:p>
        </w:tc>
        <w:tc>
          <w:tcPr>
            <w:tcW w:w="1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5,664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(10,437)</w:t>
            </w:r>
          </w:p>
        </w:tc>
        <w:tc>
          <w:tcPr>
            <w:tcW w:w="0" w:type="dxa"/>
            <w:vAlign w:val="bottom"/>
          </w:tcPr>
          <w:p>
            <w:pPr>
              <w:spacing w:after="0"/>
              <w:rPr>
                <w:sz w:val="1"/>
                <w:szCs w:val="1"/>
                <w:color w:val="auto"/>
              </w:rPr>
            </w:pPr>
          </w:p>
        </w:tc>
      </w:tr>
      <w:tr>
        <w:trPr>
          <w:trHeight w:val="169"/>
        </w:trPr>
        <w:tc>
          <w:tcPr>
            <w:tcW w:w="590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w:t>
            </w:r>
          </w:p>
        </w:tc>
        <w:tc>
          <w:tcPr>
            <w:tcW w:w="15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Increase (decrease) in cash and cash equivalents</w:t>
            </w:r>
          </w:p>
        </w:tc>
        <w:tc>
          <w:tcPr>
            <w:tcW w:w="152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226,668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77,199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tcBorders>
              <w:bottom w:val="single" w:sz="8" w:color="CFF0FC"/>
            </w:tcBorders>
          </w:tcPr>
          <w:p>
            <w:pPr>
              <w:ind w:left="260"/>
              <w:spacing w:after="0" w:line="169" w:lineRule="exact"/>
              <w:rPr>
                <w:sz w:val="20"/>
                <w:szCs w:val="20"/>
                <w:color w:val="auto"/>
              </w:rPr>
            </w:pPr>
            <w:r>
              <w:rPr>
                <w:rFonts w:ascii="Arial" w:cs="Arial" w:eastAsia="Arial" w:hAnsi="Arial"/>
                <w:sz w:val="15"/>
                <w:szCs w:val="15"/>
                <w:color w:val="auto"/>
              </w:rPr>
              <w:t>Cash and cash equivalents, beginning of period</w:t>
            </w:r>
          </w:p>
        </w:tc>
        <w:tc>
          <w:tcPr>
            <w:tcW w:w="15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189,702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96,791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0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Cash and cash equivalents, end of period</w:t>
            </w:r>
          </w:p>
        </w:tc>
        <w:tc>
          <w:tcPr>
            <w:tcW w:w="2580" w:type="dxa"/>
            <w:vAlign w:val="bottom"/>
            <w:gridSpan w:val="2"/>
            <w:shd w:val="clear" w:color="auto" w:fill="CFF0FC"/>
          </w:tcPr>
          <w:p>
            <w:pPr>
              <w:jc w:val="right"/>
              <w:ind w:right="913"/>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416,370</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98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173,990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shares, warrants, per share amounts and per warrant amounts, unaudited)</w:t>
      </w:r>
    </w:p>
    <w:p>
      <w:pPr>
        <w:spacing w:after="0" w:line="207" w:lineRule="exact"/>
        <w:rPr>
          <w:sz w:val="20"/>
          <w:szCs w:val="20"/>
          <w:color w:val="auto"/>
        </w:rPr>
      </w:pPr>
    </w:p>
    <w:p>
      <w:pPr>
        <w:ind w:left="520" w:right="7360" w:hanging="512"/>
        <w:spacing w:after="0" w:line="378" w:lineRule="auto"/>
        <w:tabs>
          <w:tab w:leader="none" w:pos="51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Description of the business</w:t>
      </w:r>
    </w:p>
    <w:p>
      <w:pPr>
        <w:ind w:right="240" w:firstLine="509"/>
        <w:spacing w:after="0" w:line="259" w:lineRule="auto"/>
        <w:rPr>
          <w:sz w:val="20"/>
          <w:szCs w:val="20"/>
          <w:color w:val="auto"/>
        </w:rPr>
      </w:pPr>
      <w:r>
        <w:rPr>
          <w:rFonts w:ascii="Arial" w:cs="Arial" w:eastAsia="Arial" w:hAnsi="Arial"/>
          <w:sz w:val="18"/>
          <w:szCs w:val="18"/>
          <w:color w:val="auto"/>
        </w:rPr>
        <w:t>Tilray, Inc., a Delaware corporation, and its wholly owned subsidiaries (collectively “Tilray”, the “Company”, “we”, “our”, or “us”), is a global medical cannabis research, cultivation, processing and distribution organization, and is one of the leading suppliers of adult-use cannabis in Canada. The Company also markets and distributes food products from hemp seed and offers a broad range of natural and organic hemp based food products and ingredients that are sold through retailers and websites globally.</w:t>
      </w:r>
    </w:p>
    <w:p>
      <w:pPr>
        <w:spacing w:after="0" w:line="7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December 15, 2020, we entered into an Arrangement Agreement (as amended, the “Arrangement Agreement” with Aphria Inc. (“Aphria”), pursuant to which Tilray acquired all of the issued and outstanding common shares of Aphria pursuant to a plan of arrangement (the “Plan of Arrangement”) under the Business Corporations Act (the “Arrangement”). The Arrangement was completed on April 30, 2021. Each outstanding common share of Aphria outstanding immediately prior to the effective time of the Arrangement was transferred to Tilray in exchange for 0.8381 of a share (of Tilray Class 2 common stock). As of March 31, 2021, the Arrangement had not yet been completed and as such, the financial statements do not reflect the effect of the transaction.</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 and going concern</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accompanying unaudited condensed consolidated financial statements (the “financial statements”) reflect the accounts of the Company. The financial statements were prepared in accordance with generally accepted accounting principles in the United States of America (“U.S. GAAP”) and pursuant to the rules and regulations of the United States Securities and Exchange Commission (“SEC”) for interim financial information. The information included in this Form 10-Q should be read in conjunction with the audited consolidated financial statements included in the Company’s annual report on Form 10-K for the year ended December 31, 2020 (the “Annual Financial Statements”). These financial statements reflect all adjustments, which, in the opinion of management, are necessary for a fair presentation of the results for the interim periods presented. Interim results are not necessarily indicative of results for a full year.</w:t>
      </w:r>
    </w:p>
    <w:p>
      <w:pPr>
        <w:spacing w:after="0" w:line="87" w:lineRule="exact"/>
        <w:rPr>
          <w:sz w:val="20"/>
          <w:szCs w:val="20"/>
          <w:color w:val="auto"/>
        </w:rPr>
      </w:pPr>
    </w:p>
    <w:p>
      <w:pPr>
        <w:jc w:val="both"/>
        <w:ind w:right="580" w:firstLine="509"/>
        <w:spacing w:after="0" w:line="342" w:lineRule="auto"/>
        <w:rPr>
          <w:sz w:val="20"/>
          <w:szCs w:val="20"/>
          <w:color w:val="auto"/>
        </w:rPr>
      </w:pPr>
      <w:r>
        <w:rPr>
          <w:rFonts w:ascii="Arial" w:cs="Arial" w:eastAsia="Arial" w:hAnsi="Arial"/>
          <w:sz w:val="16"/>
          <w:szCs w:val="16"/>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Company reclassified previously disclosed amounts related to inventory valuation adjustments and stock-based compensation expenses to conform with the disclosures as of March 31, 2021.</w:t>
      </w:r>
    </w:p>
    <w:p>
      <w:pPr>
        <w:spacing w:after="0" w:line="62"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Inventory valuation adjustments were previously disclosed as a separate component of cost of sales on the Company’s Consolidated Statements of Net Loss and Comprehensive Loss. As of March 31, 2021, these amounts are included under the caption of cost of sales.</w:t>
      </w:r>
    </w:p>
    <w:p>
      <w:pPr>
        <w:spacing w:after="0" w:line="151"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-3175</wp:posOffset>
            </wp:positionV>
            <wp:extent cx="1200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tabs>
          <w:tab w:leader="none" w:pos="9200" w:val="left"/>
          <w:tab w:leader="none" w:pos="10680" w:val="left"/>
        </w:tabs>
        <w:rPr>
          <w:sz w:val="20"/>
          <w:szCs w:val="20"/>
          <w:color w:val="auto"/>
        </w:rPr>
      </w:pPr>
      <w:r>
        <w:rPr>
          <w:rFonts w:ascii="Arial" w:cs="Arial" w:eastAsia="Arial" w:hAnsi="Arial"/>
          <w:sz w:val="17"/>
          <w:szCs w:val="17"/>
          <w:color w:val="auto"/>
        </w:rPr>
        <w:t>Inventory valuation adjustment no longer disclosed separately from cost of 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4,044</w:t>
      </w:r>
    </w:p>
    <w:p>
      <w:pPr>
        <w:spacing w:after="0" w:line="223"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auto"/>
        </w:rPr>
        <w:t>Stock-based compensation expenses was previously presented as a separate line item in the Company’s Consolidated Statements of Net Loss and Comprehensive Loss. As of March 31, 2021, the Company includes its stock-based compensation expense under the respective caption in financial statements where compensation paid to the same employees is recorded. These reclassifications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three months</w:t>
            </w:r>
          </w:p>
        </w:tc>
      </w:tr>
      <w:tr>
        <w:trPr>
          <w:trHeight w:val="171"/>
        </w:trPr>
        <w:tc>
          <w:tcPr>
            <w:tcW w:w="9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 March 31, 2020</w:t>
            </w: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General and administrative expenses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220" w:type="dxa"/>
            <w:vAlign w:val="bottom"/>
          </w:tcPr>
          <w:p>
            <w:pPr>
              <w:spacing w:after="0"/>
              <w:rPr>
                <w:sz w:val="20"/>
                <w:szCs w:val="20"/>
                <w:color w:val="auto"/>
              </w:rPr>
            </w:pPr>
            <w:r>
              <w:rPr>
                <w:rFonts w:ascii="Arial" w:cs="Arial" w:eastAsia="Arial" w:hAnsi="Arial"/>
                <w:sz w:val="17"/>
                <w:szCs w:val="17"/>
                <w:color w:val="auto"/>
              </w:rPr>
              <w:t>Sales and marketing expenses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r>
      <w:tr>
        <w:trPr>
          <w:trHeight w:val="229"/>
        </w:trPr>
        <w:tc>
          <w:tcPr>
            <w:tcW w:w="9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auto"/>
        </w:rPr>
        <w:t>The statement of net loss and comprehensive loss for the three months ended March 31, 2020 was reclassified to conform to the current period’s presentation. Acquisition-related expenses, net, formerly presented as a separate line item, is now presented in general and administrative expenses.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Basic net loss per share is computed by dividing reported net loss by the weighted average number of common shares outstanding for the reported period. Diluted net loss per share reflects the potential dilution that could occur if securities or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right="100"/>
        <w:spacing w:after="0" w:line="275" w:lineRule="auto"/>
        <w:rPr>
          <w:sz w:val="20"/>
          <w:szCs w:val="20"/>
          <w:color w:val="auto"/>
        </w:rPr>
      </w:pPr>
      <w:r>
        <w:rPr>
          <w:rFonts w:ascii="Arial" w:cs="Arial" w:eastAsia="Arial" w:hAnsi="Arial"/>
          <w:sz w:val="17"/>
          <w:szCs w:val="17"/>
          <w:color w:val="auto"/>
        </w:rPr>
        <w:t>contracts to issue common stock were exercised or converted into common stock of the Company during the reporting period. Diluted net loss per share is computed by dividing net loss by the sum of the weighted average number of common shares and the number of potential dilutive common share equivalents outstanding during the period. Potential dilutive common share equivalents consist of the incremental common shares issuable upon the exercise of vested share options and the incremental shares issuable upon conversion of the convertible notes. Potential dilutive common share equivalents consist of warrants, stock options, restricted stock units (“RSUs”) and restricted stock awards.</w:t>
      </w:r>
    </w:p>
    <w:p>
      <w:pPr>
        <w:spacing w:after="0" w:line="6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computing diluted earnings per share, common share equivalents are not considered in periods in which a net loss is reported, as the inclusion of the common share equivalents would be anti-dilutive. As of March 31, 2021, there were 14,243,733 common share equivalents with potential dilutive impact (March 31, 2020 – 21,266,707). Since the Company is in a net loss for all periods presented in these financial statements, there is no difference between the Company’s basic and diluted net loss per share for the periods presented.</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(“ASU 2020-06”), which is intended to address issues identified as a result of the complexity associated with applying generally accepted accounting principles (GAAP) for certain financial instruments with characteristics of liabilities and equity. ASU 2020-06 is effective for the Company beginning January 1, 2022. The Company is currently evaluating the effect of adopting this ASU.</w:t>
      </w:r>
    </w:p>
    <w:p>
      <w:pPr>
        <w:spacing w:after="0" w:line="7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Inventory is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60,197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61,867</w:t>
            </w:r>
          </w:p>
        </w:tc>
        <w:tc>
          <w:tcPr>
            <w:tcW w:w="10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16,555</w:t>
            </w:r>
          </w:p>
        </w:tc>
        <w:tc>
          <w:tcPr>
            <w:tcW w:w="100" w:type="dxa"/>
            <w:vAlign w:val="bottom"/>
            <w:shd w:val="clear" w:color="auto" w:fill="CFF0FC"/>
          </w:tcPr>
          <w:p>
            <w:pPr>
              <w:spacing w:after="0"/>
              <w:rPr>
                <w:sz w:val="19"/>
                <w:szCs w:val="19"/>
                <w:color w:val="auto"/>
              </w:rPr>
            </w:pP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93,645</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Inventory is written down for any obsolescence, spoilage and excess inventory or when the net realizable value of inventory is less than the carrying value. During the three months ended March 31, 2021, the Company recorded charges for inventory and inventory-related write downs as a component of cost of sales. Cannabis products were written down by $1,720 and hemp products were written down by $342 (2020: $3,247 and $797).</w:t>
      </w:r>
    </w:p>
    <w:p>
      <w:pPr>
        <w:spacing w:after="0" w:line="5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Current Assets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Prepayments and other current assets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Deposits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Prepayments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Taxes receivable</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shd w:val="clear" w:color="auto" w:fill="CFF0FC"/>
          </w:tcPr>
          <w:p>
            <w:pPr>
              <w:spacing w:after="0"/>
              <w:rPr>
                <w:sz w:val="19"/>
                <w:szCs w:val="19"/>
                <w:color w:val="auto"/>
              </w:rPr>
            </w:pP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34,640</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520" w:right="9420" w:hanging="512"/>
        <w:spacing w:after="0" w:line="425" w:lineRule="auto"/>
        <w:tabs>
          <w:tab w:leader="none" w:pos="51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Other investments</w:t>
      </w: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Long-term investments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investments at fair value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Equity investments under measurement alternative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classified under available-for-sale method</w:t>
            </w: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color w:val="auto"/>
              </w:rPr>
              <w:t>Total other investments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12,083</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14,369</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Unrealized gains recognized in other expenses, net during the three months ended March 31, 2021 on equity investments still held at March 31, 2021 is $300 (2020 – loss of $1,534). There were no impairments or adjustments to equity investments under the measurement alternative for the three months ended March 31, 2021 and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ind w:right="180" w:firstLine="509"/>
        <w:spacing w:after="0" w:line="277" w:lineRule="auto"/>
        <w:rPr>
          <w:sz w:val="20"/>
          <w:szCs w:val="20"/>
          <w:color w:val="auto"/>
        </w:rPr>
      </w:pPr>
      <w:r>
        <w:rPr>
          <w:rFonts w:ascii="Arial" w:cs="Arial" w:eastAsia="Arial" w:hAnsi="Arial"/>
          <w:sz w:val="18"/>
          <w:szCs w:val="18"/>
          <w:color w:val="auto"/>
        </w:rPr>
        <w:t>The Company collected a cash settlement of its only debt security classified under available-for-sale method instrument with the lender prior to its contractual maturity for $2,500 in February 2021.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As of March 31, 2021, there are no changes to the status of the Company’s assessment of its joint ventures with Anheuser-Busch InBev (“AB InBev”) in Plain Vanilla Research Limited Partnership (“Fluent”) and the Company’s joint venture with Cannfections Group Inc. (“Cannfections”).</w:t>
      </w:r>
    </w:p>
    <w:p>
      <w:pPr>
        <w:spacing w:after="0" w:line="1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During the three months ended March 31, 2021, the Company made $493 capital contributions to Fluent (2020 - $0). The Company provides production support services to Fluent on a cost recovery basis. For the three months ended March 31, 2021, total fees charged were $372, (2020 - $1,880). The total amount included in accounts payable is $1,785 at March 31, 2021 (December 31, 2020 - $674). At March 31, 2021, the maximum exposure to loss is limited to the Company’s equity investment in Fluent.</w:t>
      </w:r>
    </w:p>
    <w:p>
      <w:pPr>
        <w:spacing w:after="0" w:line="79"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During the three months ended March 31, 2021, the Company made $0 capital contributions to Cannfections (2020 - $0). At March 31, 2021, the maximum exposure to loss is limited to the Company’s equity investment in Cannfections. During the three months ended March 31, 2021, the Company incurred $448 in expenses for purchases from Cannfections (2020 - $80).</w:t>
      </w:r>
    </w:p>
    <w:p>
      <w:pPr>
        <w:spacing w:after="0" w:line="76"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Company’s ownership interests in its equity method investments as of March 31, 2020 and December 31, 2019 and loss from equity method investments for the three months ended March 31,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Gain (loss)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equity method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investments for</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Approximate</w:t>
            </w:r>
          </w:p>
        </w:tc>
        <w:tc>
          <w:tcPr>
            <w:tcW w:w="140" w:type="dxa"/>
            <w:vAlign w:val="bottom"/>
          </w:tcPr>
          <w:p>
            <w:pPr>
              <w:spacing w:after="0"/>
              <w:rPr>
                <w:sz w:val="12"/>
                <w:szCs w:val="12"/>
                <w:color w:val="auto"/>
              </w:rPr>
            </w:pPr>
          </w:p>
        </w:tc>
        <w:tc>
          <w:tcPr>
            <w:tcW w:w="14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the three months</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215"/>
        </w:trPr>
        <w:tc>
          <w:tcPr>
            <w:tcW w:w="62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ownership %</w:t>
            </w:r>
          </w:p>
        </w:tc>
        <w:tc>
          <w:tcPr>
            <w:tcW w:w="14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Cannfections</w:t>
            </w:r>
          </w:p>
        </w:tc>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4"/>
              </w:rPr>
              <w:t>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1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Gain (loss)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equity method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investments for</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Approximate</w:t>
            </w:r>
          </w:p>
        </w:tc>
        <w:tc>
          <w:tcPr>
            <w:tcW w:w="140" w:type="dxa"/>
            <w:vAlign w:val="bottom"/>
          </w:tcPr>
          <w:p>
            <w:pPr>
              <w:spacing w:after="0"/>
              <w:rPr>
                <w:sz w:val="12"/>
                <w:szCs w:val="12"/>
                <w:color w:val="auto"/>
              </w:rPr>
            </w:pPr>
          </w:p>
        </w:tc>
        <w:tc>
          <w:tcPr>
            <w:tcW w:w="14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the three months</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ownership %</w:t>
            </w:r>
          </w:p>
        </w:tc>
        <w:tc>
          <w:tcPr>
            <w:tcW w:w="14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Cannfections</w:t>
            </w:r>
          </w:p>
        </w:tc>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4"/>
              </w:rPr>
              <w:t>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1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Summary financial information for the equity method investments on an aggregate basis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7,033</w:t>
            </w:r>
          </w:p>
        </w:tc>
        <w:tc>
          <w:tcPr>
            <w:tcW w:w="2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FF0FC"/>
          </w:tcPr>
          <w:p>
            <w:pPr>
              <w:spacing w:after="0"/>
              <w:rPr>
                <w:sz w:val="19"/>
                <w:szCs w:val="19"/>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3220" w:type="dxa"/>
            <w:vAlign w:val="bottom"/>
            <w:tcBorders>
              <w:bottom w:val="single" w:sz="8" w:color="CFF0FC"/>
            </w:tcBorders>
          </w:tcPr>
          <w:p>
            <w:pPr>
              <w:spacing w:after="0"/>
              <w:rPr>
                <w:sz w:val="13"/>
                <w:szCs w:val="13"/>
                <w:color w:val="auto"/>
              </w:rPr>
            </w:pPr>
          </w:p>
        </w:tc>
        <w:tc>
          <w:tcPr>
            <w:tcW w:w="420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Gross profit</w:t>
            </w:r>
          </w:p>
        </w:tc>
        <w:tc>
          <w:tcPr>
            <w:tcW w:w="46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9"/>
                <w:szCs w:val="19"/>
                <w:color w:val="auto"/>
              </w:rPr>
            </w:pPr>
          </w:p>
        </w:tc>
        <w:tc>
          <w:tcPr>
            <w:tcW w:w="5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6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(3,574)</w:t>
            </w:r>
          </w:p>
        </w:tc>
        <w:tc>
          <w:tcPr>
            <w:tcW w:w="5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(3,496)</w:t>
            </w:r>
          </w:p>
        </w:tc>
      </w:tr>
      <w:tr>
        <w:trPr>
          <w:trHeight w:val="648"/>
        </w:trPr>
        <w:tc>
          <w:tcPr>
            <w:tcW w:w="3220" w:type="dxa"/>
            <w:vAlign w:val="bottom"/>
          </w:tcPr>
          <w:p>
            <w:pPr>
              <w:spacing w:after="0"/>
              <w:rPr>
                <w:sz w:val="24"/>
                <w:szCs w:val="24"/>
                <w:color w:val="auto"/>
              </w:rPr>
            </w:pPr>
          </w:p>
        </w:tc>
        <w:tc>
          <w:tcPr>
            <w:tcW w:w="4200" w:type="dxa"/>
            <w:vAlign w:val="bottom"/>
          </w:tcPr>
          <w:p>
            <w:pPr>
              <w:jc w:val="right"/>
              <w:ind w:right="167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ind w:left="520" w:right="8580" w:hanging="512"/>
        <w:spacing w:after="0" w:line="442" w:lineRule="auto"/>
        <w:tabs>
          <w:tab w:leader="none" w:pos="51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Allowance for Credit Losses </w:t>
      </w:r>
      <w:r>
        <w:rPr>
          <w:rFonts w:ascii="Arial" w:cs="Arial" w:eastAsia="Arial" w:hAnsi="Arial"/>
          <w:sz w:val="16"/>
          <w:szCs w:val="16"/>
          <w:i w:val="1"/>
          <w:iCs w:val="1"/>
          <w:color w:val="auto"/>
        </w:rPr>
        <w:t>Accounts receivable</w:t>
      </w:r>
    </w:p>
    <w:p>
      <w:pPr>
        <w:spacing w:after="0" w:line="1"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Company maintains an allowance for credit losses at an amount sufficient to absorb losses inherent in the existing accounts receivable portfolio as of the reporting dates based on the estimate of expected net credit losses. The following table provides activity in the allowance for credit losses for the three months ended March 31, 2021 and March 31,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For the three months ended March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credit losses, January 1</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 xml:space="preserve">Provision for expected credit losses </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Write-offs charged against allowance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(439)</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credit losses, March 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140"/>
              <w:spacing w:after="0"/>
              <w:rPr>
                <w:sz w:val="20"/>
                <w:szCs w:val="20"/>
                <w:color w:val="auto"/>
              </w:rPr>
            </w:pPr>
            <w:r>
              <w:rPr>
                <w:rFonts w:ascii="Arial" w:cs="Arial" w:eastAsia="Arial" w:hAnsi="Arial"/>
                <w:sz w:val="18"/>
                <w:szCs w:val="18"/>
                <w:color w:val="auto"/>
                <w:w w:val="92"/>
              </w:rPr>
              <w:t>Accounts receivable balance before allowance for credit losses and provision for sales returns, March 31,</w:t>
            </w: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40"/>
              <w:spacing w:after="0"/>
              <w:rPr>
                <w:sz w:val="20"/>
                <w:szCs w:val="20"/>
                <w:color w:val="auto"/>
              </w:rPr>
            </w:pPr>
            <w:r>
              <w:rPr>
                <w:rFonts w:ascii="Arial" w:cs="Arial" w:eastAsia="Arial" w:hAnsi="Arial"/>
                <w:sz w:val="18"/>
                <w:szCs w:val="18"/>
                <w:color w:val="auto"/>
              </w:rPr>
              <w:t>2021 and 2020</w:t>
            </w:r>
          </w:p>
        </w:tc>
        <w:tc>
          <w:tcPr>
            <w:tcW w:w="102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30,298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provision for expected credit losses is recorded in general and administrative expenses</w:t>
      </w:r>
    </w:p>
    <w:p>
      <w:pPr>
        <w:spacing w:after="0" w:line="1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1960" w:type="dxa"/>
            <w:vAlign w:val="bottom"/>
            <w:tcBorders>
              <w:top w:val="single" w:sz="8" w:color="CFF0FC"/>
            </w:tcBorders>
            <w:gridSpan w:val="6"/>
            <w:shd w:val="clear" w:color="auto" w:fill="CFF0FC"/>
          </w:tcPr>
          <w:p>
            <w:pPr>
              <w:spacing w:after="0"/>
              <w:rPr>
                <w:sz w:val="20"/>
                <w:szCs w:val="20"/>
                <w:color w:val="auto"/>
              </w:rPr>
            </w:pPr>
            <w:r>
              <w:rPr>
                <w:rFonts w:ascii="Arial" w:cs="Arial" w:eastAsia="Arial" w:hAnsi="Arial"/>
                <w:sz w:val="18"/>
                <w:szCs w:val="18"/>
                <w:color w:val="auto"/>
              </w:rPr>
              <w:t>Land</w:t>
            </w:r>
          </w:p>
        </w:tc>
        <w:tc>
          <w:tcPr>
            <w:tcW w:w="1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6,771</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8"/>
          </w:tcPr>
          <w:p>
            <w:pPr>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117,597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117,325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8"/>
            <w:shd w:val="clear" w:color="auto" w:fill="CFF0FC"/>
          </w:tcPr>
          <w:p>
            <w:pPr>
              <w:spacing w:after="0"/>
              <w:rPr>
                <w:sz w:val="20"/>
                <w:szCs w:val="20"/>
                <w:color w:val="auto"/>
              </w:rPr>
            </w:pPr>
            <w:r>
              <w:rPr>
                <w:rFonts w:ascii="Arial" w:cs="Arial" w:eastAsia="Arial" w:hAnsi="Arial"/>
                <w:sz w:val="18"/>
                <w:szCs w:val="18"/>
                <w:color w:val="auto"/>
                <w:w w:val="99"/>
              </w:rPr>
              <w:t>Laboratory and manufacturing equipment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8"/>
          </w:tcPr>
          <w:p>
            <w:pPr>
              <w:spacing w:after="0"/>
              <w:rPr>
                <w:sz w:val="20"/>
                <w:szCs w:val="20"/>
                <w:color w:val="auto"/>
              </w:rPr>
            </w:pPr>
            <w:r>
              <w:rPr>
                <w:rFonts w:ascii="Arial" w:cs="Arial" w:eastAsia="Arial" w:hAnsi="Arial"/>
                <w:sz w:val="18"/>
                <w:szCs w:val="18"/>
                <w:color w:val="auto"/>
              </w:rPr>
              <w:t>Office and computer equipment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Right-of-use ("ROU") assets under finance lease</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15,072</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gridSpan w:val="10"/>
          </w:tcPr>
          <w:p>
            <w:pPr>
              <w:spacing w:after="0"/>
              <w:rPr>
                <w:sz w:val="20"/>
                <w:szCs w:val="20"/>
                <w:color w:val="auto"/>
              </w:rPr>
            </w:pPr>
            <w:r>
              <w:rPr>
                <w:rFonts w:ascii="Arial" w:cs="Arial" w:eastAsia="Arial" w:hAnsi="Arial"/>
                <w:sz w:val="18"/>
                <w:szCs w:val="18"/>
                <w:color w:val="auto"/>
              </w:rPr>
              <w:t>Construction-in-process, not yet available for use</w:t>
            </w: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49,380</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228,358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227,434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8"/>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(30,587)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(27,875)</w:t>
            </w:r>
          </w:p>
        </w:tc>
        <w:tc>
          <w:tcPr>
            <w:tcW w:w="0" w:type="dxa"/>
            <w:vAlign w:val="bottom"/>
          </w:tcPr>
          <w:p>
            <w:pPr>
              <w:spacing w:after="0"/>
              <w:rPr>
                <w:sz w:val="1"/>
                <w:szCs w:val="1"/>
                <w:color w:val="auto"/>
              </w:rPr>
            </w:pPr>
          </w:p>
        </w:tc>
      </w:tr>
      <w:tr>
        <w:trPr>
          <w:trHeight w:val="223"/>
        </w:trPr>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60" w:type="dxa"/>
            <w:vAlign w:val="bottom"/>
            <w:tcBorders>
              <w:top w:val="single" w:sz="8" w:color="CFF0FC"/>
              <w:bottom w:val="single" w:sz="8" w:color="CFF0FC"/>
            </w:tcBorders>
            <w:gridSpan w:val="5"/>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9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199,559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20" w:type="dxa"/>
            <w:vAlign w:val="bottom"/>
            <w:gridSpan w:val="14"/>
            <w:vMerge w:val="restart"/>
          </w:tcPr>
          <w:p>
            <w:pPr>
              <w:ind w:left="80"/>
              <w:spacing w:after="0"/>
              <w:rPr>
                <w:sz w:val="20"/>
                <w:szCs w:val="20"/>
                <w:color w:val="auto"/>
              </w:rPr>
            </w:pPr>
            <w:r>
              <w:rPr>
                <w:rFonts w:ascii="Arial" w:cs="Arial" w:eastAsia="Arial" w:hAnsi="Arial"/>
                <w:sz w:val="18"/>
                <w:szCs w:val="18"/>
                <w:color w:val="auto"/>
                <w:w w:val="92"/>
              </w:rPr>
              <w:t>Refer to Note 16 for contractual commitments related to construction-in-process.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gridSpan w:val="1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4"/>
                <w:szCs w:val="24"/>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Intangible Assets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10"/>
          </w:tcPr>
          <w:p>
            <w:pPr>
              <w:ind w:left="80"/>
              <w:spacing w:after="0"/>
              <w:rPr>
                <w:sz w:val="20"/>
                <w:szCs w:val="20"/>
                <w:color w:val="auto"/>
              </w:rPr>
            </w:pPr>
            <w:r>
              <w:rPr>
                <w:rFonts w:ascii="Arial" w:cs="Arial" w:eastAsia="Arial" w:hAnsi="Arial"/>
                <w:sz w:val="18"/>
                <w:szCs w:val="18"/>
                <w:color w:val="auto"/>
              </w:rPr>
              <w:t>Intangible assets are comprised of the following items: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March 31,</w:t>
            </w: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520"/>
              <w:spacing w:after="0"/>
              <w:rPr>
                <w:sz w:val="20"/>
                <w:szCs w:val="20"/>
                <w:color w:val="auto"/>
              </w:rPr>
            </w:pPr>
            <w:r>
              <w:rPr>
                <w:rFonts w:ascii="Arial" w:cs="Arial" w:eastAsia="Arial" w:hAnsi="Arial"/>
                <w:sz w:val="11"/>
                <w:szCs w:val="11"/>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jc w:val="center"/>
              <w:ind w:right="140"/>
              <w:spacing w:after="0" w:line="115" w:lineRule="exact"/>
              <w:rPr>
                <w:sz w:val="20"/>
                <w:szCs w:val="20"/>
                <w:color w:val="auto"/>
              </w:rPr>
            </w:pPr>
            <w:r>
              <w:rPr>
                <w:rFonts w:ascii="Arial" w:cs="Arial" w:eastAsia="Arial" w:hAnsi="Arial"/>
                <w:sz w:val="11"/>
                <w:szCs w:val="11"/>
                <w:b w:val="1"/>
                <w:bCs w:val="1"/>
                <w:color w:val="auto"/>
                <w:w w:val="88"/>
              </w:rPr>
              <w:t>Weighted</w:t>
            </w: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2"/>
          </w:tcPr>
          <w:p>
            <w:pPr>
              <w:jc w:val="center"/>
              <w:ind w:right="368"/>
              <w:spacing w:after="0" w:line="122" w:lineRule="exact"/>
              <w:rPr>
                <w:sz w:val="20"/>
                <w:szCs w:val="20"/>
                <w:color w:val="auto"/>
              </w:rPr>
            </w:pPr>
            <w:r>
              <w:rPr>
                <w:rFonts w:ascii="Arial" w:cs="Arial" w:eastAsia="Arial" w:hAnsi="Arial"/>
                <w:sz w:val="11"/>
                <w:szCs w:val="11"/>
                <w:b w:val="1"/>
                <w:bCs w:val="1"/>
                <w:color w:val="auto"/>
                <w:w w:val="87"/>
              </w:rPr>
              <w:t>Average</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2"/>
          </w:tcPr>
          <w:p>
            <w:pPr>
              <w:jc w:val="center"/>
              <w:ind w:right="368"/>
              <w:spacing w:after="0" w:line="122" w:lineRule="exact"/>
              <w:rPr>
                <w:sz w:val="20"/>
                <w:szCs w:val="20"/>
                <w:color w:val="auto"/>
              </w:rPr>
            </w:pPr>
            <w:r>
              <w:rPr>
                <w:rFonts w:ascii="Arial" w:cs="Arial" w:eastAsia="Arial" w:hAnsi="Arial"/>
                <w:sz w:val="11"/>
                <w:szCs w:val="11"/>
                <w:b w:val="1"/>
                <w:bCs w:val="1"/>
                <w:color w:val="auto"/>
                <w:w w:val="92"/>
              </w:rPr>
              <w:t>Amortization</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2"/>
          </w:tcPr>
          <w:p>
            <w:pPr>
              <w:jc w:val="center"/>
              <w:ind w:right="348"/>
              <w:spacing w:after="0" w:line="122" w:lineRule="exact"/>
              <w:rPr>
                <w:sz w:val="20"/>
                <w:szCs w:val="20"/>
                <w:color w:val="auto"/>
              </w:rPr>
            </w:pPr>
            <w:r>
              <w:rPr>
                <w:rFonts w:ascii="Arial" w:cs="Arial" w:eastAsia="Arial" w:hAnsi="Arial"/>
                <w:sz w:val="11"/>
                <w:szCs w:val="11"/>
                <w:b w:val="1"/>
                <w:bCs w:val="1"/>
                <w:color w:val="auto"/>
                <w:w w:val="93"/>
              </w:rPr>
              <w:t>Period</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jc w:val="center"/>
              <w:ind w:right="348"/>
              <w:spacing w:after="0"/>
              <w:rPr>
                <w:sz w:val="20"/>
                <w:szCs w:val="20"/>
                <w:color w:val="auto"/>
              </w:rPr>
            </w:pPr>
            <w:r>
              <w:rPr>
                <w:rFonts w:ascii="Arial" w:cs="Arial" w:eastAsia="Arial" w:hAnsi="Arial"/>
                <w:sz w:val="11"/>
                <w:szCs w:val="11"/>
                <w:b w:val="1"/>
                <w:bCs w:val="1"/>
                <w:color w:val="auto"/>
                <w:w w:val="89"/>
              </w:rPr>
              <w:t>(in years)</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1"/>
                <w:szCs w:val="11"/>
                <w:color w:val="auto"/>
              </w:rPr>
            </w:pP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rPr>
              <w:t>Impairment</w:t>
            </w: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Net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2"/>
              </w:rPr>
              <w:t>Amortization</w:t>
            </w:r>
          </w:p>
        </w:tc>
        <w:tc>
          <w:tcPr>
            <w:tcW w:w="8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Impairment</w:t>
            </w:r>
          </w:p>
        </w:tc>
        <w:tc>
          <w:tcPr>
            <w:tcW w:w="220" w:type="dxa"/>
            <w:vAlign w:val="bottom"/>
          </w:tcPr>
          <w:p>
            <w:pPr>
              <w:spacing w:after="0"/>
              <w:rPr>
                <w:sz w:val="11"/>
                <w:szCs w:val="11"/>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28"/>
        </w:trPr>
        <w:tc>
          <w:tcPr>
            <w:tcW w:w="1960" w:type="dxa"/>
            <w:vAlign w:val="bottom"/>
            <w:tcBorders>
              <w:top w:val="single" w:sz="8" w:color="CFF0FC"/>
            </w:tcBorders>
            <w:gridSpan w:val="6"/>
            <w:shd w:val="clear" w:color="auto" w:fill="CFF0FC"/>
          </w:tcPr>
          <w:p>
            <w:pPr>
              <w:spacing w:after="0" w:line="129" w:lineRule="exact"/>
              <w:rPr>
                <w:sz w:val="20"/>
                <w:szCs w:val="20"/>
                <w:color w:val="auto"/>
              </w:rPr>
            </w:pPr>
            <w:r>
              <w:rPr>
                <w:rFonts w:ascii="Arial" w:cs="Arial" w:eastAsia="Arial" w:hAnsi="Arial"/>
                <w:sz w:val="13"/>
                <w:szCs w:val="13"/>
                <w:color w:val="auto"/>
              </w:rPr>
              <w:t>Definite-lived intangible assets:</w:t>
            </w:r>
          </w:p>
        </w:tc>
        <w:tc>
          <w:tcPr>
            <w:tcW w:w="11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0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3"/>
                <w:szCs w:val="13"/>
                <w:color w:val="auto"/>
              </w:rPr>
              <w:t>Patent</w:t>
            </w:r>
          </w:p>
        </w:tc>
        <w:tc>
          <w:tcPr>
            <w:tcW w:w="360" w:type="dxa"/>
            <w:vAlign w:val="bottom"/>
            <w:tcBorders>
              <w:top w:val="single" w:sz="8" w:color="CFF0FC"/>
            </w:tcBorders>
          </w:tcPr>
          <w:p>
            <w:pPr>
              <w:spacing w:after="0"/>
              <w:rPr>
                <w:sz w:val="12"/>
                <w:szCs w:val="12"/>
                <w:color w:val="auto"/>
              </w:rPr>
            </w:pPr>
          </w:p>
        </w:tc>
        <w:tc>
          <w:tcPr>
            <w:tcW w:w="1320" w:type="dxa"/>
            <w:vAlign w:val="bottom"/>
            <w:tcBorders>
              <w:top w:val="single" w:sz="8" w:color="CFF0FC"/>
            </w:tcBorders>
            <w:gridSpan w:val="2"/>
          </w:tcPr>
          <w:p>
            <w:pPr>
              <w:jc w:val="center"/>
              <w:ind w:right="228"/>
              <w:spacing w:after="0" w:line="142" w:lineRule="exact"/>
              <w:rPr>
                <w:sz w:val="20"/>
                <w:szCs w:val="20"/>
                <w:color w:val="auto"/>
              </w:rPr>
            </w:pPr>
            <w:r>
              <w:rPr>
                <w:rFonts w:ascii="Arial" w:cs="Arial" w:eastAsia="Arial" w:hAnsi="Arial"/>
                <w:sz w:val="13"/>
                <w:szCs w:val="13"/>
                <w:color w:val="auto"/>
                <w:w w:val="91"/>
              </w:rPr>
              <w:t>—</w:t>
            </w:r>
          </w:p>
        </w:tc>
        <w:tc>
          <w:tcPr>
            <w:tcW w:w="880" w:type="dxa"/>
            <w:vAlign w:val="bottom"/>
            <w:tcBorders>
              <w:top w:val="single" w:sz="8" w:color="CFF0FC"/>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2"/>
                <w:szCs w:val="12"/>
                <w:color w:val="auto"/>
              </w:rPr>
            </w:pPr>
          </w:p>
        </w:tc>
        <w:tc>
          <w:tcPr>
            <w:tcW w:w="1000" w:type="dxa"/>
            <w:vAlign w:val="bottom"/>
            <w:tcBorders>
              <w:top w:val="single" w:sz="8" w:color="CFF0FC"/>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2"/>
                <w:szCs w:val="12"/>
                <w:color w:val="auto"/>
              </w:rPr>
            </w:pPr>
          </w:p>
        </w:tc>
        <w:tc>
          <w:tcPr>
            <w:tcW w:w="1120" w:type="dxa"/>
            <w:vAlign w:val="bottom"/>
            <w:tcBorders>
              <w:top w:val="single" w:sz="8" w:color="CFF0FC"/>
            </w:tcBorders>
            <w:gridSpan w:val="3"/>
          </w:tcPr>
          <w:p>
            <w:pPr>
              <w:ind w:left="580"/>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CFF0FC"/>
            </w:tcBorders>
            <w:gridSpan w:val="3"/>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669</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131</w:t>
            </w:r>
          </w:p>
        </w:tc>
        <w:tc>
          <w:tcPr>
            <w:tcW w:w="20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538</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gridSpan w:val="3"/>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60" w:type="dxa"/>
            <w:vAlign w:val="bottom"/>
            <w:gridSpan w:val="6"/>
            <w:shd w:val="clear" w:color="auto" w:fill="CFF0FC"/>
          </w:tcPr>
          <w:p>
            <w:pPr>
              <w:spacing w:after="0"/>
              <w:rPr>
                <w:sz w:val="20"/>
                <w:szCs w:val="20"/>
                <w:color w:val="auto"/>
              </w:rPr>
            </w:pPr>
            <w:r>
              <w:rPr>
                <w:rFonts w:ascii="Arial" w:cs="Arial" w:eastAsia="Arial" w:hAnsi="Arial"/>
                <w:sz w:val="13"/>
                <w:szCs w:val="13"/>
                <w:color w:val="auto"/>
              </w:rPr>
              <w:t>Customer relationships</w:t>
            </w:r>
          </w:p>
        </w:tc>
        <w:tc>
          <w:tcPr>
            <w:tcW w:w="1120" w:type="dxa"/>
            <w:vAlign w:val="bottom"/>
            <w:shd w:val="clear" w:color="auto" w:fill="CFF0FC"/>
          </w:tcPr>
          <w:p>
            <w:pPr>
              <w:jc w:val="center"/>
              <w:ind w:right="20"/>
              <w:spacing w:after="0"/>
              <w:rPr>
                <w:sz w:val="20"/>
                <w:szCs w:val="20"/>
                <w:color w:val="auto"/>
              </w:rPr>
            </w:pPr>
            <w:r>
              <w:rPr>
                <w:rFonts w:ascii="Arial" w:cs="Arial" w:eastAsia="Arial" w:hAnsi="Arial"/>
                <w:sz w:val="13"/>
                <w:szCs w:val="13"/>
                <w:color w:val="auto"/>
                <w:w w:val="82"/>
              </w:rPr>
              <w:t>16</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140,709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18,455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ind w:left="5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122,255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138,885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16,030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122,855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6"/>
          </w:tcPr>
          <w:p>
            <w:pPr>
              <w:spacing w:after="0"/>
              <w:rPr>
                <w:sz w:val="20"/>
                <w:szCs w:val="20"/>
                <w:color w:val="auto"/>
              </w:rPr>
            </w:pPr>
            <w:r>
              <w:rPr>
                <w:rFonts w:ascii="Arial" w:cs="Arial" w:eastAsia="Arial" w:hAnsi="Arial"/>
                <w:sz w:val="13"/>
                <w:szCs w:val="13"/>
                <w:color w:val="auto"/>
              </w:rPr>
              <w:t>Developed technology</w:t>
            </w:r>
          </w:p>
        </w:tc>
        <w:tc>
          <w:tcPr>
            <w:tcW w:w="1120" w:type="dxa"/>
            <w:vAlign w:val="bottom"/>
          </w:tcPr>
          <w:p>
            <w:pPr>
              <w:jc w:val="center"/>
              <w:ind w:right="20"/>
              <w:spacing w:after="0"/>
              <w:rPr>
                <w:sz w:val="20"/>
                <w:szCs w:val="20"/>
                <w:color w:val="auto"/>
              </w:rPr>
            </w:pPr>
            <w:r>
              <w:rPr>
                <w:rFonts w:ascii="Arial" w:cs="Arial" w:eastAsia="Arial" w:hAnsi="Arial"/>
                <w:sz w:val="13"/>
                <w:szCs w:val="13"/>
                <w:color w:val="auto"/>
                <w:w w:val="82"/>
              </w:rPr>
              <w:t>10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5,902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6"/>
            <w:shd w:val="clear" w:color="auto" w:fill="CFF0FC"/>
          </w:tcPr>
          <w:p>
            <w:pPr>
              <w:spacing w:after="0"/>
              <w:rPr>
                <w:sz w:val="20"/>
                <w:szCs w:val="20"/>
                <w:color w:val="auto"/>
              </w:rPr>
            </w:pPr>
            <w:r>
              <w:rPr>
                <w:rFonts w:ascii="Arial" w:cs="Arial" w:eastAsia="Arial" w:hAnsi="Arial"/>
                <w:sz w:val="13"/>
                <w:szCs w:val="13"/>
                <w:color w:val="auto"/>
              </w:rPr>
              <w:t>Websites</w:t>
            </w:r>
          </w:p>
        </w:tc>
        <w:tc>
          <w:tcPr>
            <w:tcW w:w="1120" w:type="dxa"/>
            <w:vAlign w:val="bottom"/>
            <w:shd w:val="clear" w:color="auto" w:fill="CFF0FC"/>
          </w:tcPr>
          <w:p>
            <w:pPr>
              <w:jc w:val="center"/>
              <w:ind w:right="20"/>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ind w:left="5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5,332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6"/>
          </w:tcPr>
          <w:p>
            <w:pPr>
              <w:spacing w:after="0"/>
              <w:rPr>
                <w:sz w:val="20"/>
                <w:szCs w:val="20"/>
                <w:color w:val="auto"/>
              </w:rPr>
            </w:pPr>
            <w:r>
              <w:rPr>
                <w:rFonts w:ascii="Arial" w:cs="Arial" w:eastAsia="Arial" w:hAnsi="Arial"/>
                <w:sz w:val="13"/>
                <w:szCs w:val="13"/>
                <w:color w:val="auto"/>
              </w:rPr>
              <w:t>Trademarks and licenses</w:t>
            </w:r>
          </w:p>
        </w:tc>
        <w:tc>
          <w:tcPr>
            <w:tcW w:w="1120" w:type="dxa"/>
            <w:vAlign w:val="bottom"/>
          </w:tcPr>
          <w:p>
            <w:pPr>
              <w:jc w:val="center"/>
              <w:ind w:right="2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7,650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520" w:type="dxa"/>
            <w:vAlign w:val="bottom"/>
            <w:tcBorders>
              <w:top w:val="single" w:sz="8" w:color="CFF0FC"/>
            </w:tcBorders>
            <w:gridSpan w:val="3"/>
            <w:shd w:val="clear" w:color="auto" w:fill="CFF0FC"/>
          </w:tcPr>
          <w:p>
            <w:pPr>
              <w:ind w:left="60"/>
              <w:spacing w:after="0" w:line="142" w:lineRule="exact"/>
              <w:rPr>
                <w:sz w:val="20"/>
                <w:szCs w:val="20"/>
                <w:color w:val="auto"/>
              </w:rPr>
            </w:pPr>
            <w:r>
              <w:rPr>
                <w:rFonts w:ascii="Arial" w:cs="Arial" w:eastAsia="Arial" w:hAnsi="Arial"/>
                <w:sz w:val="13"/>
                <w:szCs w:val="13"/>
                <w:color w:val="auto"/>
              </w:rPr>
              <w:t>Total</w:t>
            </w:r>
          </w:p>
        </w:tc>
        <w:tc>
          <w:tcPr>
            <w:tcW w:w="1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152,923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24,035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ind w:left="58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128,889</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161,122</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23,079</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8,188</w:t>
            </w: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129,855</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gridSpan w:val="6"/>
          </w:tcPr>
          <w:p>
            <w:pPr>
              <w:spacing w:after="0" w:line="129" w:lineRule="exact"/>
              <w:rPr>
                <w:sz w:val="20"/>
                <w:szCs w:val="20"/>
                <w:color w:val="auto"/>
              </w:rPr>
            </w:pPr>
            <w:r>
              <w:rPr>
                <w:rFonts w:ascii="Arial" w:cs="Arial" w:eastAsia="Arial" w:hAnsi="Arial"/>
                <w:sz w:val="13"/>
                <w:szCs w:val="13"/>
                <w:color w:val="auto"/>
              </w:rPr>
              <w:t>Indefinite-lived intangible</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3"/>
                <w:szCs w:val="13"/>
                <w:color w:val="auto"/>
                <w:w w:val="77"/>
              </w:rPr>
              <w:t>assets:</w:t>
            </w:r>
          </w:p>
        </w:tc>
        <w:tc>
          <w:tcPr>
            <w:tcW w:w="880" w:type="dxa"/>
            <w:vAlign w:val="bottom"/>
            <w:tcBorders>
              <w:top w:val="single" w:sz="8" w:color="auto"/>
            </w:tcBorders>
          </w:tcPr>
          <w:p>
            <w:pPr>
              <w:spacing w:after="0"/>
              <w:rPr>
                <w:sz w:val="10"/>
                <w:szCs w:val="10"/>
                <w:color w:val="auto"/>
              </w:rPr>
            </w:pPr>
          </w:p>
        </w:tc>
        <w:tc>
          <w:tcPr>
            <w:tcW w:w="6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760" w:type="dxa"/>
            <w:vAlign w:val="bottom"/>
            <w:gridSpan w:val="4"/>
            <w:shd w:val="clear" w:color="auto" w:fill="CFF0FC"/>
          </w:tcPr>
          <w:p>
            <w:pPr>
              <w:ind w:left="60"/>
              <w:spacing w:after="0" w:line="142" w:lineRule="exact"/>
              <w:rPr>
                <w:sz w:val="20"/>
                <w:szCs w:val="20"/>
                <w:color w:val="auto"/>
              </w:rPr>
            </w:pPr>
            <w:r>
              <w:rPr>
                <w:rFonts w:ascii="Arial" w:cs="Arial" w:eastAsia="Arial" w:hAnsi="Arial"/>
                <w:sz w:val="13"/>
                <w:szCs w:val="13"/>
                <w:color w:val="auto"/>
              </w:rPr>
              <w:t>Cultivation license</w:t>
            </w:r>
          </w:p>
        </w:tc>
        <w:tc>
          <w:tcPr>
            <w:tcW w:w="1320" w:type="dxa"/>
            <w:vAlign w:val="bottom"/>
            <w:gridSpan w:val="2"/>
            <w:shd w:val="clear" w:color="auto" w:fill="CFF0FC"/>
          </w:tcPr>
          <w:p>
            <w:pPr>
              <w:jc w:val="center"/>
              <w:ind w:right="348"/>
              <w:spacing w:after="0" w:line="142" w:lineRule="exact"/>
              <w:rPr>
                <w:sz w:val="20"/>
                <w:szCs w:val="20"/>
                <w:color w:val="auto"/>
              </w:rPr>
            </w:pPr>
            <w:r>
              <w:rPr>
                <w:rFonts w:ascii="Arial" w:cs="Arial" w:eastAsia="Arial" w:hAnsi="Arial"/>
                <w:sz w:val="13"/>
                <w:szCs w:val="13"/>
                <w:color w:val="auto"/>
                <w:w w:val="90"/>
              </w:rPr>
              <w:t>Indefinite</w:t>
            </w:r>
          </w:p>
        </w:tc>
        <w:tc>
          <w:tcPr>
            <w:tcW w:w="880" w:type="dxa"/>
            <w:vAlign w:val="bottom"/>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ind w:left="580"/>
              <w:spacing w:after="0" w:line="142"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10,239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10,239</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ind w:left="60"/>
              <w:spacing w:after="0"/>
              <w:rPr>
                <w:sz w:val="20"/>
                <w:szCs w:val="20"/>
                <w:color w:val="auto"/>
              </w:rPr>
            </w:pPr>
            <w:r>
              <w:rPr>
                <w:rFonts w:ascii="Arial" w:cs="Arial" w:eastAsia="Arial" w:hAnsi="Arial"/>
                <w:sz w:val="13"/>
                <w:szCs w:val="13"/>
                <w:color w:val="auto"/>
              </w:rPr>
              <w:t>Trademarks</w:t>
            </w:r>
          </w:p>
        </w:tc>
        <w:tc>
          <w:tcPr>
            <w:tcW w:w="1320" w:type="dxa"/>
            <w:vAlign w:val="bottom"/>
            <w:gridSpan w:val="2"/>
          </w:tcPr>
          <w:p>
            <w:pPr>
              <w:jc w:val="center"/>
              <w:ind w:right="348"/>
              <w:spacing w:after="0"/>
              <w:rPr>
                <w:sz w:val="20"/>
                <w:szCs w:val="20"/>
                <w:color w:val="auto"/>
              </w:rPr>
            </w:pPr>
            <w:r>
              <w:rPr>
                <w:rFonts w:ascii="Arial" w:cs="Arial" w:eastAsia="Arial" w:hAnsi="Arial"/>
                <w:sz w:val="13"/>
                <w:szCs w:val="13"/>
                <w:color w:val="auto"/>
                <w:w w:val="90"/>
              </w:rPr>
              <w:t>Indefinite</w:t>
            </w:r>
          </w:p>
        </w:tc>
        <w:tc>
          <w:tcPr>
            <w:tcW w:w="640" w:type="dxa"/>
            <w:vAlign w:val="bottom"/>
          </w:tcPr>
          <w:p>
            <w:pPr>
              <w:jc w:val="right"/>
              <w:spacing w:after="0"/>
              <w:rPr>
                <w:sz w:val="20"/>
                <w:szCs w:val="20"/>
                <w:color w:val="auto"/>
              </w:rPr>
            </w:pPr>
            <w:r>
              <w:rPr>
                <w:rFonts w:ascii="Arial" w:cs="Arial" w:eastAsia="Arial" w:hAnsi="Arial"/>
                <w:sz w:val="13"/>
                <w:szCs w:val="13"/>
                <w:color w:val="auto"/>
              </w:rPr>
              <w:t>57,333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2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57,333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56,590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56,590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76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Rights under ABG Profit</w:t>
            </w:r>
          </w:p>
        </w:tc>
        <w:tc>
          <w:tcPr>
            <w:tcW w:w="1320" w:type="dxa"/>
            <w:vAlign w:val="bottom"/>
            <w:gridSpan w:val="2"/>
            <w:shd w:val="clear" w:color="auto" w:fill="CFF0FC"/>
          </w:tcPr>
          <w:p>
            <w:pPr>
              <w:jc w:val="center"/>
              <w:ind w:right="348"/>
              <w:spacing w:after="0" w:line="134" w:lineRule="exact"/>
              <w:rPr>
                <w:sz w:val="20"/>
                <w:szCs w:val="20"/>
                <w:color w:val="auto"/>
              </w:rPr>
            </w:pPr>
            <w:r>
              <w:rPr>
                <w:rFonts w:ascii="Arial" w:cs="Arial" w:eastAsia="Arial" w:hAnsi="Arial"/>
                <w:sz w:val="13"/>
                <w:szCs w:val="13"/>
                <w:color w:val="auto"/>
                <w:w w:val="90"/>
              </w:rPr>
              <w:t>Indefinite</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760" w:type="dxa"/>
            <w:vAlign w:val="bottom"/>
            <w:gridSpan w:val="4"/>
            <w:shd w:val="clear" w:color="auto" w:fill="CFF0FC"/>
          </w:tcPr>
          <w:p>
            <w:pPr>
              <w:jc w:val="center"/>
              <w:ind w:right="820"/>
              <w:spacing w:after="0" w:line="135" w:lineRule="exact"/>
              <w:rPr>
                <w:sz w:val="20"/>
                <w:szCs w:val="20"/>
                <w:color w:val="auto"/>
              </w:rPr>
            </w:pPr>
            <w:r>
              <w:rPr>
                <w:rFonts w:ascii="Arial" w:cs="Arial" w:eastAsia="Arial" w:hAnsi="Arial"/>
                <w:sz w:val="13"/>
                <w:szCs w:val="13"/>
                <w:color w:val="auto"/>
                <w:w w:val="92"/>
              </w:rPr>
              <w:t>Participation</w:t>
            </w: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760" w:type="dxa"/>
            <w:vAlign w:val="bottom"/>
            <w:gridSpan w:val="4"/>
            <w:shd w:val="clear" w:color="auto" w:fill="CFF0FC"/>
          </w:tcPr>
          <w:p>
            <w:pPr>
              <w:jc w:val="center"/>
              <w:ind w:right="800"/>
              <w:spacing w:after="0"/>
              <w:rPr>
                <w:sz w:val="20"/>
                <w:szCs w:val="20"/>
                <w:color w:val="auto"/>
              </w:rPr>
            </w:pPr>
            <w:r>
              <w:rPr>
                <w:rFonts w:ascii="Arial" w:cs="Arial" w:eastAsia="Arial" w:hAnsi="Arial"/>
                <w:sz w:val="13"/>
                <w:szCs w:val="13"/>
                <w:color w:val="auto"/>
                <w:w w:val="90"/>
              </w:rPr>
              <w:t>Arrangement</w:t>
            </w: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16,765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16,765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520" w:type="dxa"/>
            <w:vAlign w:val="bottom"/>
            <w:tcBorders>
              <w:bottom w:val="single" w:sz="8" w:color="CFF0FC"/>
            </w:tcBorders>
            <w:gridSpan w:val="3"/>
          </w:tcPr>
          <w:p>
            <w:pPr>
              <w:ind w:left="60"/>
              <w:spacing w:after="0" w:line="142" w:lineRule="exact"/>
              <w:rPr>
                <w:sz w:val="20"/>
                <w:szCs w:val="20"/>
                <w:color w:val="auto"/>
              </w:rPr>
            </w:pPr>
            <w:r>
              <w:rPr>
                <w:rFonts w:ascii="Arial" w:cs="Arial" w:eastAsia="Arial" w:hAnsi="Arial"/>
                <w:sz w:val="13"/>
                <w:szCs w:val="13"/>
                <w:color w:val="auto"/>
              </w:rPr>
              <w:t>Total</w:t>
            </w:r>
          </w:p>
        </w:tc>
        <w:tc>
          <w:tcPr>
            <w:tcW w:w="11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57,333</w:t>
            </w:r>
          </w:p>
        </w:tc>
        <w:tc>
          <w:tcPr>
            <w:tcW w:w="2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57,333</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83,594</w:t>
            </w:r>
          </w:p>
        </w:tc>
        <w:tc>
          <w:tcPr>
            <w:tcW w:w="2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27,004</w:t>
            </w:r>
          </w:p>
        </w:tc>
        <w:tc>
          <w:tcPr>
            <w:tcW w:w="10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56,590</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CFF0FC"/>
            </w:tcBorders>
            <w:shd w:val="clear" w:color="auto" w:fill="CFF0FC"/>
          </w:tcPr>
          <w:p>
            <w:pPr>
              <w:spacing w:after="0"/>
              <w:rPr>
                <w:sz w:val="12"/>
                <w:szCs w:val="12"/>
                <w:color w:val="auto"/>
              </w:rPr>
            </w:pPr>
          </w:p>
        </w:tc>
        <w:tc>
          <w:tcPr>
            <w:tcW w:w="1860" w:type="dxa"/>
            <w:vAlign w:val="bottom"/>
            <w:tcBorders>
              <w:bottom w:val="single" w:sz="8" w:color="CFF0FC"/>
            </w:tcBorders>
            <w:gridSpan w:val="5"/>
            <w:shd w:val="clear" w:color="auto" w:fill="CFF0FC"/>
          </w:tcPr>
          <w:p>
            <w:pPr>
              <w:jc w:val="center"/>
              <w:ind w:right="680"/>
              <w:spacing w:after="0" w:line="142" w:lineRule="exact"/>
              <w:rPr>
                <w:sz w:val="20"/>
                <w:szCs w:val="20"/>
                <w:color w:val="auto"/>
              </w:rPr>
            </w:pPr>
            <w:r>
              <w:rPr>
                <w:rFonts w:ascii="Arial" w:cs="Arial" w:eastAsia="Arial" w:hAnsi="Arial"/>
                <w:sz w:val="13"/>
                <w:szCs w:val="13"/>
                <w:color w:val="auto"/>
                <w:w w:val="85"/>
              </w:rPr>
              <w:t>Total intangible assets</w:t>
            </w:r>
          </w:p>
        </w:tc>
        <w:tc>
          <w:tcPr>
            <w:tcW w:w="1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210,256</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24,035</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FF0FC"/>
          </w:tcPr>
          <w:p>
            <w:pPr>
              <w:ind w:left="58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186,222</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244,716</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23,079</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35,192</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186,445</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600" w:firstLine="509"/>
        <w:spacing w:after="0" w:line="277" w:lineRule="auto"/>
        <w:rPr>
          <w:sz w:val="20"/>
          <w:szCs w:val="20"/>
          <w:color w:val="auto"/>
        </w:rPr>
      </w:pPr>
      <w:r>
        <w:rPr>
          <w:rFonts w:ascii="Arial" w:cs="Arial" w:eastAsia="Arial" w:hAnsi="Arial"/>
          <w:sz w:val="18"/>
          <w:szCs w:val="18"/>
          <w:color w:val="auto"/>
        </w:rPr>
        <w:t>Amortization expenses for intangibles was $2,271 for the three months ended March 31, 2021 (2020 - $1,857). Expected future amortization expenses for intangible assets as at March 31, 2021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3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FF0FC"/>
            </w:tcBorders>
          </w:tcPr>
          <w:p>
            <w:pPr>
              <w:spacing w:after="0"/>
              <w:rPr>
                <w:sz w:val="18"/>
                <w:szCs w:val="18"/>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2021 (remaining nine months)</w:t>
            </w:r>
          </w:p>
        </w:tc>
        <w:tc>
          <w:tcPr>
            <w:tcW w:w="3740" w:type="dxa"/>
            <w:vAlign w:val="bottom"/>
            <w:gridSpan w:val="2"/>
            <w:shd w:val="clear" w:color="auto" w:fill="CFF0FC"/>
          </w:tcPr>
          <w:p>
            <w:pPr>
              <w:jc w:val="right"/>
              <w:ind w:right="284"/>
              <w:spacing w:after="0"/>
              <w:rPr>
                <w:sz w:val="20"/>
                <w:szCs w:val="20"/>
                <w:color w:val="auto"/>
              </w:rPr>
            </w:pPr>
            <w:r>
              <w:rPr>
                <w:rFonts w:ascii="Arial" w:cs="Arial" w:eastAsia="Arial" w:hAnsi="Arial"/>
                <w:sz w:val="16"/>
                <w:szCs w:val="16"/>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7,684</w:t>
            </w:r>
          </w:p>
        </w:tc>
        <w:tc>
          <w:tcPr>
            <w:tcW w:w="120" w:type="dxa"/>
            <w:vAlign w:val="bottom"/>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2022</w:t>
            </w:r>
          </w:p>
        </w:tc>
        <w:tc>
          <w:tcPr>
            <w:tcW w:w="374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9,868</w:t>
            </w:r>
          </w:p>
        </w:tc>
        <w:tc>
          <w:tcPr>
            <w:tcW w:w="120" w:type="dxa"/>
            <w:vAlign w:val="bottom"/>
          </w:tcPr>
          <w:p>
            <w:pPr>
              <w:spacing w:after="0"/>
              <w:rPr>
                <w:sz w:val="18"/>
                <w:szCs w:val="18"/>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740" w:type="dxa"/>
            <w:vAlign w:val="bottom"/>
            <w:gridSpan w:val="2"/>
            <w:shd w:val="clear" w:color="auto" w:fill="CFF0FC"/>
          </w:tcPr>
          <w:p>
            <w:pPr>
              <w:jc w:val="right"/>
              <w:ind w:right="284"/>
              <w:spacing w:after="0"/>
              <w:rPr>
                <w:sz w:val="20"/>
                <w:szCs w:val="20"/>
                <w:color w:val="auto"/>
              </w:rPr>
            </w:pPr>
            <w:r>
              <w:rPr>
                <w:rFonts w:ascii="Arial" w:cs="Arial" w:eastAsia="Arial" w:hAnsi="Arial"/>
                <w:sz w:val="16"/>
                <w:szCs w:val="16"/>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9,625</w:t>
            </w:r>
          </w:p>
        </w:tc>
        <w:tc>
          <w:tcPr>
            <w:tcW w:w="120" w:type="dxa"/>
            <w:vAlign w:val="bottom"/>
            <w:shd w:val="clear" w:color="auto" w:fill="CFF0FC"/>
          </w:tcPr>
          <w:p>
            <w:pPr>
              <w:spacing w:after="0"/>
              <w:rPr>
                <w:sz w:val="19"/>
                <w:szCs w:val="19"/>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2024</w:t>
            </w:r>
          </w:p>
        </w:tc>
        <w:tc>
          <w:tcPr>
            <w:tcW w:w="374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9,619</w:t>
            </w:r>
          </w:p>
        </w:tc>
        <w:tc>
          <w:tcPr>
            <w:tcW w:w="120" w:type="dxa"/>
            <w:vAlign w:val="bottom"/>
          </w:tcPr>
          <w:p>
            <w:pPr>
              <w:spacing w:after="0"/>
              <w:rPr>
                <w:sz w:val="18"/>
                <w:szCs w:val="18"/>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740" w:type="dxa"/>
            <w:vAlign w:val="bottom"/>
            <w:gridSpan w:val="2"/>
            <w:shd w:val="clear" w:color="auto" w:fill="CFF0FC"/>
          </w:tcPr>
          <w:p>
            <w:pPr>
              <w:jc w:val="right"/>
              <w:ind w:right="284"/>
              <w:spacing w:after="0"/>
              <w:rPr>
                <w:sz w:val="20"/>
                <w:szCs w:val="20"/>
                <w:color w:val="auto"/>
              </w:rPr>
            </w:pPr>
            <w:r>
              <w:rPr>
                <w:rFonts w:ascii="Arial" w:cs="Arial" w:eastAsia="Arial" w:hAnsi="Arial"/>
                <w:sz w:val="16"/>
                <w:szCs w:val="16"/>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9,589</w:t>
            </w:r>
          </w:p>
        </w:tc>
        <w:tc>
          <w:tcPr>
            <w:tcW w:w="120" w:type="dxa"/>
            <w:vAlign w:val="bottom"/>
            <w:shd w:val="clear" w:color="auto" w:fill="CFF0FC"/>
          </w:tcPr>
          <w:p>
            <w:pPr>
              <w:spacing w:after="0"/>
              <w:rPr>
                <w:sz w:val="19"/>
                <w:szCs w:val="19"/>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82,504</w:t>
            </w:r>
          </w:p>
        </w:tc>
        <w:tc>
          <w:tcPr>
            <w:tcW w:w="12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3740" w:type="dxa"/>
            <w:vAlign w:val="bottom"/>
            <w:gridSpan w:val="2"/>
            <w:shd w:val="clear" w:color="auto" w:fill="CFF0FC"/>
          </w:tcPr>
          <w:p>
            <w:pPr>
              <w:jc w:val="right"/>
              <w:ind w:right="284"/>
              <w:spacing w:after="0"/>
              <w:rPr>
                <w:sz w:val="20"/>
                <w:szCs w:val="20"/>
                <w:color w:val="auto"/>
              </w:rPr>
            </w:pPr>
            <w:r>
              <w:rPr>
                <w:rFonts w:ascii="Arial" w:cs="Arial" w:eastAsia="Arial" w:hAnsi="Arial"/>
                <w:sz w:val="16"/>
                <w:szCs w:val="16"/>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128,889</w:t>
            </w:r>
          </w:p>
        </w:tc>
        <w:tc>
          <w:tcPr>
            <w:tcW w:w="12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7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 in carrying amount of goodwill: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Hemp</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Cannabis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136,332</w:t>
            </w: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30,583</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138,094</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30,985</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Goodwill is tested for impairment annually, or more frequently when events or circumstances indicate that impairment may have occurred. No triggers have been identified in the quarter to perform additional quantitative tests.</w:t>
      </w:r>
    </w:p>
    <w:p>
      <w:pPr>
        <w:spacing w:after="0" w:line="18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Accrued litigation settlement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employment related withholding taxes</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Accrued interest on convertible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 - current</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on Senior Facility</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1" w:lineRule="exact"/>
        <w:rPr>
          <w:rFonts w:ascii="Arial" w:cs="Arial" w:eastAsia="Arial" w:hAnsi="Arial"/>
          <w:sz w:val="18"/>
          <w:szCs w:val="18"/>
          <w:b w:val="1"/>
          <w:bCs w:val="1"/>
          <w:color w:val="auto"/>
        </w:rPr>
      </w:pPr>
    </w:p>
    <w:p>
      <w:pPr>
        <w:ind w:left="520" w:right="1040"/>
        <w:spacing w:after="0" w:line="422" w:lineRule="auto"/>
        <w:rPr>
          <w:rFonts w:ascii="Arial" w:cs="Arial" w:eastAsia="Arial" w:hAnsi="Arial"/>
          <w:sz w:val="18"/>
          <w:szCs w:val="18"/>
          <w:b w:val="1"/>
          <w:bCs w:val="1"/>
          <w:color w:val="auto"/>
        </w:rPr>
      </w:pPr>
      <w:r>
        <w:rPr>
          <w:rFonts w:ascii="Arial" w:cs="Arial" w:eastAsia="Arial" w:hAnsi="Arial"/>
          <w:sz w:val="16"/>
          <w:szCs w:val="16"/>
          <w:color w:val="auto"/>
        </w:rPr>
        <w:t>The Company has outstanding convertible senior notes with a face value of $277,857 as described in the Annual Financial Statements. As of March 31, 2021, the convertible notes are not yet convertible, and the Company is in compliance with all covenants.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net carrying amount of the convertible notes: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5.00% Convertible Notes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277,857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Unamortized discount</w:t>
            </w:r>
          </w:p>
        </w:tc>
        <w:tc>
          <w:tcPr>
            <w:tcW w:w="2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(13,977)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(15,229)</w:t>
            </w: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Unamortized transaction costs</w:t>
            </w:r>
          </w:p>
        </w:tc>
        <w:tc>
          <w:tcPr>
            <w:tcW w:w="2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(4,437)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(4,839)</w:t>
            </w:r>
          </w:p>
        </w:tc>
      </w:tr>
      <w:tr>
        <w:trPr>
          <w:trHeight w:val="223"/>
        </w:trPr>
        <w:tc>
          <w:tcPr>
            <w:tcW w:w="7420" w:type="dxa"/>
            <w:vAlign w:val="bottom"/>
          </w:tcPr>
          <w:p>
            <w:pPr>
              <w:ind w:left="260"/>
              <w:spacing w:after="0"/>
              <w:rPr>
                <w:sz w:val="20"/>
                <w:szCs w:val="20"/>
                <w:color w:val="auto"/>
              </w:rPr>
            </w:pPr>
            <w:r>
              <w:rPr>
                <w:rFonts w:ascii="Arial" w:cs="Arial" w:eastAsia="Arial" w:hAnsi="Arial"/>
                <w:sz w:val="18"/>
                <w:szCs w:val="18"/>
                <w:color w:val="auto"/>
              </w:rPr>
              <w:t>Net carrying amount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257,789</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total interest expense recognized related to the convertible notes: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4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1420" w:type="dxa"/>
            <w:vAlign w:val="bottom"/>
            <w:gridSpan w:val="2"/>
          </w:tcPr>
          <w:p>
            <w:pPr>
              <w:jc w:val="right"/>
              <w:ind w:right="6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coupon interest</w:t>
            </w:r>
          </w:p>
        </w:tc>
        <w:tc>
          <w:tcPr>
            <w:tcW w:w="34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3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1,253</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transaction costs</w:t>
            </w:r>
          </w:p>
        </w:tc>
        <w:tc>
          <w:tcPr>
            <w:tcW w:w="34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60"/>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20" w:type="dxa"/>
            <w:vAlign w:val="bottom"/>
            <w:vMerge w:val="restart"/>
          </w:tcPr>
          <w:p>
            <w:pPr>
              <w:jc w:val="right"/>
              <w:ind w:right="167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Senior Facility</w:t>
      </w:r>
    </w:p>
    <w:p>
      <w:pPr>
        <w:spacing w:after="0" w:line="13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On February 28, 2020, High Park Holdings Ltd., a wholly owned subsidiary of the Company (the “Borrower” or “High Park”) entered into a credit agreement, denominated in Canadian dollars (“C$”), for a senior secured credit facility in a maximum aggregate principal amount of $59,600 (C$79,800) (the “Senior Facility”).</w:t>
      </w:r>
    </w:p>
    <w:p>
      <w:pPr>
        <w:spacing w:after="0" w:line="8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On June 5, 2020, High Park entered into the First Amendment of the Senior Facility (the “Amendment”) which provided for interest-only payments for the remainder of its term with all outstanding principal payments due at February 28, 2022.</w:t>
      </w:r>
    </w:p>
    <w:p>
      <w:pPr>
        <w:spacing w:after="0" w:line="76"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Senior Facility bears interest on the outstanding principal balance at an annual rate equal to the Canadian prime rate plus 8.05%, calculated based on the daily outstanding balance of the Senior Facility calculated and compounded monthly in arrears and with no deemed reinvestment of monthly payments. Interest is due monthly throughout the term. The Company has the option to voluntarily prepay, without penalty, the outstanding amounts, in full or in part, at any time starting 6 months from the closing date subsequent to providing 75 days’ notice.</w:t>
      </w:r>
    </w:p>
    <w:p>
      <w:pPr>
        <w:spacing w:after="0" w:line="7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The Senior Facility has first priority claims on all North American assets of the Company and contains certain affirmative and negative covenants. The operational covenant includes a minimum unrestricted cash threshold of $29,466 (C$40,000) in order for the Company to make additional capital expenditures and investments. The Senior Facility is collateralized against all real and personal property owned, leased and operated by the Company in North America, and any and all other property of the Company now existing and acquired in North America after the closing date.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 Company was in compliance with all covenants set forth under the Senior Facility.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net carrying amount of the Senior Facility: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Facility</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51,161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Unamortized transaction costs</w:t>
            </w:r>
          </w:p>
        </w:tc>
        <w:tc>
          <w:tcPr>
            <w:tcW w:w="2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carrying amount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49,547</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Senior Facility</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noncurrent portion of Senior Facility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520"/>
              <w:spacing w:after="0"/>
              <w:rPr>
                <w:sz w:val="20"/>
                <w:szCs w:val="20"/>
                <w:color w:val="auto"/>
              </w:rPr>
            </w:pPr>
            <w:r>
              <w:rPr>
                <w:rFonts w:ascii="Arial" w:cs="Arial" w:eastAsia="Arial" w:hAnsi="Arial"/>
                <w:sz w:val="18"/>
                <w:szCs w:val="18"/>
                <w:color w:val="auto"/>
                <w:w w:val="93"/>
              </w:rPr>
              <w:t>The following table sets forth total interest expense recognized related to the Senior Facility:</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4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at Canadian prime plus 8.05%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transaction costs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Offering and Warrants</w:t>
      </w:r>
    </w:p>
    <w:p>
      <w:pPr>
        <w:spacing w:after="0" w:line="13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has outstanding warrants as described in the Annual Financial Statements. Warrants outstanding at March 31, 2021, and related activity for the three months ended March 31, 2021 is as follows (reflects the number of Class 2 common stock as if the warrants were converted to Class 2 common stock):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86"/>
              </w:rPr>
              <w:t>Exercise</w:t>
            </w:r>
          </w:p>
        </w:tc>
        <w:tc>
          <w:tcPr>
            <w:tcW w:w="220" w:type="dxa"/>
            <w:vAlign w:val="bottom"/>
            <w:vMerge w:val="restart"/>
          </w:tcPr>
          <w:p>
            <w:pPr>
              <w:spacing w:after="0"/>
              <w:rPr>
                <w:sz w:val="13"/>
                <w:szCs w:val="13"/>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vMerge w:val="restart"/>
          </w:tcPr>
          <w:p>
            <w:pPr>
              <w:spacing w:after="0"/>
              <w:rPr>
                <w:sz w:val="13"/>
                <w:szCs w:val="13"/>
                <w:color w:val="auto"/>
              </w:rPr>
            </w:pPr>
          </w:p>
        </w:tc>
        <w:tc>
          <w:tcPr>
            <w:tcW w:w="9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80" w:type="dxa"/>
            <w:vAlign w:val="bottom"/>
            <w:vMerge w:val="continue"/>
          </w:tcPr>
          <w:p>
            <w:pPr>
              <w:spacing w:after="0"/>
              <w:rPr>
                <w:sz w:val="5"/>
                <w:szCs w:val="5"/>
                <w:color w:val="auto"/>
              </w:rPr>
            </w:pPr>
          </w:p>
        </w:tc>
        <w:tc>
          <w:tcPr>
            <w:tcW w:w="11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Classification</w:t>
            </w:r>
          </w:p>
        </w:tc>
        <w:tc>
          <w:tcPr>
            <w:tcW w:w="6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rPr>
              <w:t>Issued</w:t>
            </w:r>
          </w:p>
        </w:tc>
        <w:tc>
          <w:tcPr>
            <w:tcW w:w="11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rPr>
              <w:t>Exercised</w:t>
            </w:r>
          </w:p>
        </w:tc>
        <w:tc>
          <w:tcPr>
            <w:tcW w:w="94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81"/>
        </w:trPr>
        <w:tc>
          <w:tcPr>
            <w:tcW w:w="408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price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date</w:t>
            </w:r>
          </w:p>
        </w:tc>
        <w:tc>
          <w:tcPr>
            <w:tcW w:w="114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80" w:type="dxa"/>
            <w:vAlign w:val="bottom"/>
            <w:tcBorders>
              <w:bottom w:val="single" w:sz="8" w:color="CFF0FC"/>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17,</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w w:val="99"/>
              </w:rPr>
              <w:t>Liability  $</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19,000,000</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12,791,000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6,209,000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19,000,000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12,791,000</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7"/>
              </w:rPr>
              <w:t>6,209,000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During the quarter ended March 31, 2021 12,791,000 warrants were exercised by warrant holders resulting in cash proceeds to the Company of $76,106.</w:t>
      </w:r>
    </w:p>
    <w:p>
      <w:pPr>
        <w:spacing w:after="0" w:line="19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estimated the fair value of the Warrant liability at March 31, 2021 using the Monte Carlo pricing model (Level 3) with the following weighted-average assumptions: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9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0.92%</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9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 years</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Strike price</w:t>
            </w:r>
          </w:p>
        </w:tc>
        <w:tc>
          <w:tcPr>
            <w:tcW w:w="39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5.95</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Fair value of common stock</w:t>
            </w:r>
          </w:p>
        </w:tc>
        <w:tc>
          <w:tcPr>
            <w:tcW w:w="39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22.73</w:t>
            </w: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Discount due to exercise restrictions</w:t>
            </w:r>
          </w:p>
        </w:tc>
        <w:tc>
          <w:tcPr>
            <w:tcW w:w="39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volatility is based on the historical volatility of the Company's common stock since its initial public offering in 2018.</w:t>
      </w:r>
    </w:p>
    <w:p>
      <w:pPr>
        <w:spacing w:after="0" w:line="100" w:lineRule="exact"/>
        <w:rPr>
          <w:sz w:val="20"/>
          <w:szCs w:val="20"/>
          <w:color w:val="auto"/>
        </w:rPr>
      </w:pPr>
    </w:p>
    <w:p>
      <w:pPr>
        <w:ind w:left="520" w:right="8640" w:hanging="512"/>
        <w:spacing w:after="0" w:line="425" w:lineRule="auto"/>
        <w:tabs>
          <w:tab w:leader="none" w:pos="51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Common and preferred stock</w:t>
      </w:r>
    </w:p>
    <w:p>
      <w:pPr>
        <w:ind w:right="60" w:firstLine="509"/>
        <w:spacing w:after="0" w:line="263"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 as of March 31, 2021. The liquidation and dividend rights are identical among Class 1 common stock and Class 2 common stock, and all classes of common stock share equally in the Company’s earnings and losses.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 Value</w:t>
            </w:r>
          </w:p>
        </w:tc>
        <w:tc>
          <w:tcPr>
            <w:tcW w:w="1440" w:type="dxa"/>
            <w:vAlign w:val="bottom"/>
          </w:tcPr>
          <w:p>
            <w:pPr>
              <w:jc w:val="right"/>
              <w:ind w:right="295"/>
              <w:spacing w:after="0"/>
              <w:rPr>
                <w:sz w:val="20"/>
                <w:szCs w:val="20"/>
                <w:color w:val="auto"/>
              </w:rPr>
            </w:pPr>
            <w:r>
              <w:rPr>
                <w:rFonts w:ascii="Arial" w:cs="Arial" w:eastAsia="Arial" w:hAnsi="Arial"/>
                <w:sz w:val="14"/>
                <w:szCs w:val="14"/>
                <w:b w:val="1"/>
                <w:bCs w:val="1"/>
                <w:color w:val="auto"/>
              </w:rPr>
              <w:t>Authorized</w:t>
            </w:r>
          </w:p>
        </w:tc>
        <w:tc>
          <w:tcPr>
            <w:tcW w:w="280" w:type="dxa"/>
            <w:vAlign w:val="bottom"/>
          </w:tcPr>
          <w:p>
            <w:pPr>
              <w:spacing w:after="0"/>
              <w:rPr>
                <w:sz w:val="14"/>
                <w:szCs w:val="14"/>
                <w:color w:val="auto"/>
              </w:rPr>
            </w:pPr>
          </w:p>
        </w:tc>
        <w:tc>
          <w:tcPr>
            <w:tcW w:w="2580" w:type="dxa"/>
            <w:vAlign w:val="bottom"/>
          </w:tcPr>
          <w:p>
            <w:pPr>
              <w:ind w:left="860"/>
              <w:spacing w:after="0"/>
              <w:rPr>
                <w:sz w:val="20"/>
                <w:szCs w:val="20"/>
                <w:color w:val="auto"/>
              </w:rPr>
            </w:pPr>
            <w:r>
              <w:rPr>
                <w:rFonts w:ascii="Arial" w:cs="Arial" w:eastAsia="Arial" w:hAnsi="Arial"/>
                <w:sz w:val="14"/>
                <w:szCs w:val="14"/>
                <w:b w:val="1"/>
                <w:bCs w:val="1"/>
                <w:color w:val="auto"/>
              </w:rPr>
              <w:t>Voting Rights</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Class 1 common stock</w:t>
            </w:r>
          </w:p>
        </w:tc>
        <w:tc>
          <w:tcPr>
            <w:tcW w:w="17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233,333,333</w:t>
            </w:r>
          </w:p>
        </w:tc>
        <w:tc>
          <w:tcPr>
            <w:tcW w:w="2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10 votes for each share</w:t>
            </w: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Class 2 common stock</w:t>
            </w:r>
          </w:p>
        </w:tc>
        <w:tc>
          <w:tcPr>
            <w:tcW w:w="2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1 vote for each share</w:t>
            </w: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10,000,000</w:t>
            </w:r>
          </w:p>
        </w:tc>
        <w:tc>
          <w:tcPr>
            <w:tcW w:w="28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During the three months ended March 31, 2021, the Company issued 6,254,980 shares of Class 2 common stock for gross proceeds of $159,213 under its at-the-market equity offering program (2020 - $27,579). Transaction costs of $3,184 were recorded net against the allocated gross proceeds in additional paid-in-capital. As described in the Annual Financial Statements, the warrants’ anti-dilution price protection features allow, for the period the warrants are outstanding, the Company to only issue up to $20,000 in aggregate gross proceeds under the Company’s at-the-market offering program at prices less than the exercise price of the warrants, and in no event more than $6,000 per quarter, at prices below the exercise price of the warrants, without triggering the warrant’s anti-dilution price protection features.</w:t>
      </w:r>
    </w:p>
    <w:p>
      <w:pPr>
        <w:spacing w:after="0" w:line="83"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Company’s future ability to pay cash dividends on Class 2 common stock is limited by the terms of the Senior Facility and cannot be paid without the consent of the lender.</w:t>
      </w:r>
    </w:p>
    <w:p>
      <w:pPr>
        <w:spacing w:after="0" w:line="180" w:lineRule="exact"/>
        <w:rPr>
          <w:sz w:val="20"/>
          <w:szCs w:val="20"/>
          <w:color w:val="auto"/>
        </w:rPr>
      </w:pPr>
    </w:p>
    <w:p>
      <w:pPr>
        <w:ind w:left="520" w:right="8640" w:hanging="512"/>
        <w:spacing w:after="0" w:line="453" w:lineRule="auto"/>
        <w:tabs>
          <w:tab w:leader="none" w:pos="511"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Original Stock Option Plan</w:t>
      </w:r>
    </w:p>
    <w:p>
      <w:pPr>
        <w:spacing w:after="0" w:line="1"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Certain employees of the Company participate in the equity-based compensation plan of Privateer Holdings, Inc. (the “Original Plan”) under the terms and valuation method detailed in our annual financial statements. For the three months ended March 31, 2021, the total stock-based compensation expense associated with the Original Plan was $57 (2020 – $162). As of March 31, 2021 the total remaining unrecognized stock-based compensation expense related to non-vested stock options under the Original Plan amounted to $193 which will be recognized over the weighted-average remaining requisite service period of approximately 0.6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Stock option activity under the Original Plan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ind w:left="247"/>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10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term (years)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1,789,750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3.62</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(757,318)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3.17</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4.72</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1,032,352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3.93</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4.3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and expected to vest, March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3.91</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5"/>
              </w:rPr>
              <w:t>4.3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March 31,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945,951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3.72</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4.2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No stock options were granted under the Original Plan during the three months ended March 31, 2021 and March 31, 2020. The total fair value of stock options vested as of March 31, 2021 was $61 (2020 – $169).</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Stock Option and Restricted Stock Unit Plan</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The Company adopted the 2018 Equity Incentive Plan (the “2018 EIP”) as amended and approved by stockholders in May 2018 under the terms and valuation methods detailed in the Annual Financial Statements. The number of shares of Class 2 common stock reserved for issuance under the 2018 EIP automatically increases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 The number of shares reserved for issuance under the 2018 EIP is 23,375,665, effective as of January 1, 2021 (December 31, 2020 – 17,037,421). For the three months ended March 31, 2021, total stock-based compensation expense associated with the 2018 EIP was $7,084 (2020 – $7,515). As of March 31, 2021, the total remaining unrecognized stock-based compensation expense related to non-vested stock options and restricted stock units (“RSUs”) under the 2018 EIP amounted to $29,883 which will be recognized over the weighted average remaining requisite service period of approximately 1.63 years.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and RSU activity under the 2018 EIP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Time-based stock option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92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20" w:type="dxa"/>
            <w:vAlign w:val="bottom"/>
          </w:tcPr>
          <w:p>
            <w:pPr>
              <w:jc w:val="center"/>
              <w:ind w:left="327"/>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term (years)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3,909,559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15.25</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(471,211)</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(33,291)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(36,414)</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42.61</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3,368,643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16.02</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5"/>
              </w:rPr>
              <w:t>7.2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March 31,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3,360,695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15.87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Vested and exercisable, March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2,902,957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13.77</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7.2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weighted-average fair values of stock options granted during the three months ended March 31, 2021 was $0 per share (2020 – $0). The total fair value of stock options vested in 2021 was $2,547 (2020 – $25,426).</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Time-based RSU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Time-based</w:t>
            </w:r>
          </w:p>
        </w:tc>
        <w:tc>
          <w:tcPr>
            <w:tcW w:w="260" w:type="dxa"/>
            <w:vAlign w:val="bottom"/>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3920" w:type="dxa"/>
            <w:vAlign w:val="bottom"/>
            <w:vMerge w:val="restart"/>
          </w:tcPr>
          <w:p>
            <w:pPr>
              <w:spacing w:after="0"/>
              <w:rPr>
                <w:sz w:val="20"/>
                <w:szCs w:val="20"/>
                <w:color w:val="auto"/>
              </w:rPr>
            </w:pPr>
            <w:r>
              <w:rPr>
                <w:rFonts w:ascii="Arial" w:cs="Arial" w:eastAsia="Arial" w:hAnsi="Arial"/>
                <w:sz w:val="18"/>
                <w:szCs w:val="18"/>
                <w:color w:val="auto"/>
              </w:rPr>
              <w:t>Non-vested December 31, 2020</w:t>
            </w:r>
          </w:p>
        </w:tc>
        <w:tc>
          <w:tcPr>
            <w:tcW w:w="2980" w:type="dxa"/>
            <w:vAlign w:val="bottom"/>
          </w:tcPr>
          <w:p>
            <w:pPr>
              <w:spacing w:after="0"/>
              <w:rPr>
                <w:sz w:val="14"/>
                <w:szCs w:val="14"/>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RSUs</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1,884,390</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4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350,311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Vested</w:t>
            </w:r>
          </w:p>
        </w:tc>
        <w:tc>
          <w:tcPr>
            <w:tcW w:w="5240" w:type="dxa"/>
            <w:vAlign w:val="bottom"/>
            <w:gridSpan w:val="3"/>
          </w:tcPr>
          <w:p>
            <w:pPr>
              <w:jc w:val="right"/>
              <w:ind w:right="260"/>
              <w:spacing w:after="0"/>
              <w:rPr>
                <w:sz w:val="20"/>
                <w:szCs w:val="20"/>
                <w:color w:val="auto"/>
              </w:rPr>
            </w:pPr>
            <w:r>
              <w:rPr>
                <w:rFonts w:ascii="Arial" w:cs="Arial" w:eastAsia="Arial" w:hAnsi="Arial"/>
                <w:sz w:val="18"/>
                <w:szCs w:val="18"/>
                <w:color w:val="auto"/>
              </w:rPr>
              <w:t>(289,388)</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52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(170,641)</w:t>
            </w: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Non-vested March 31, 2021</w:t>
            </w:r>
          </w:p>
        </w:tc>
        <w:tc>
          <w:tcPr>
            <w:tcW w:w="298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1,774,672</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980" w:type="dxa"/>
            <w:vAlign w:val="bottom"/>
            <w:vMerge w:val="restart"/>
          </w:tcPr>
          <w:p>
            <w:pPr>
              <w:jc w:val="right"/>
              <w:ind w:right="1090"/>
              <w:spacing w:after="0"/>
              <w:rPr>
                <w:sz w:val="20"/>
                <w:szCs w:val="20"/>
                <w:color w:val="auto"/>
              </w:rPr>
            </w:pPr>
            <w:r>
              <w:rPr>
                <w:rFonts w:ascii="Arial" w:cs="Arial" w:eastAsia="Arial" w:hAnsi="Arial"/>
                <w:sz w:val="18"/>
                <w:szCs w:val="18"/>
                <w:color w:val="auto"/>
              </w:rPr>
              <w:t>12</w:t>
            </w: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ind w:right="240" w:firstLine="509"/>
        <w:spacing w:after="0" w:line="277" w:lineRule="auto"/>
        <w:rPr>
          <w:sz w:val="20"/>
          <w:szCs w:val="20"/>
          <w:color w:val="auto"/>
        </w:rPr>
      </w:pPr>
      <w:r>
        <w:rPr>
          <w:rFonts w:ascii="Arial" w:cs="Arial" w:eastAsia="Arial" w:hAnsi="Arial"/>
          <w:sz w:val="18"/>
          <w:szCs w:val="18"/>
          <w:color w:val="auto"/>
        </w:rPr>
        <w:t>During the three months ended March 31, 2021, 350,311 (2020 – 752,283) time-based RSUs were granted. During the three months ended March 31, 2021, 289,388 (2020 – 154,642) time-based RSUs vested.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Performance-based RSUs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22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Performance-based</w:t>
            </w:r>
          </w:p>
        </w:tc>
        <w:tc>
          <w:tcPr>
            <w:tcW w:w="260" w:type="dxa"/>
            <w:vAlign w:val="bottom"/>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RSUs</w:t>
            </w:r>
          </w:p>
        </w:tc>
        <w:tc>
          <w:tcPr>
            <w:tcW w:w="260" w:type="dxa"/>
            <w:vAlign w:val="bottom"/>
          </w:tcPr>
          <w:p>
            <w:pPr>
              <w:spacing w:after="0"/>
              <w:rPr>
                <w:sz w:val="14"/>
                <w:szCs w:val="14"/>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2020</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540,836</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Vested</w:t>
            </w:r>
          </w:p>
        </w:tc>
        <w:tc>
          <w:tcPr>
            <w:tcW w:w="2260" w:type="dxa"/>
            <w:vAlign w:val="bottom"/>
            <w:gridSpan w:val="2"/>
          </w:tcPr>
          <w:p>
            <w:pPr>
              <w:jc w:val="right"/>
              <w:ind w:right="260"/>
              <w:spacing w:after="0"/>
              <w:rPr>
                <w:sz w:val="20"/>
                <w:szCs w:val="20"/>
                <w:color w:val="auto"/>
              </w:rPr>
            </w:pPr>
            <w:r>
              <w:rPr>
                <w:rFonts w:ascii="Arial" w:cs="Arial" w:eastAsia="Arial" w:hAnsi="Arial"/>
                <w:sz w:val="18"/>
                <w:szCs w:val="18"/>
                <w:color w:val="auto"/>
              </w:rPr>
              <w:t>(341,543)</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March 31, 2021</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199,293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No performance-based RSUs were granted during the three months ended March 31, 2021 (2020 – none). During the three months ended March 31, 2021, 341,543 (2020 – 53,125) performance-based RSUs vested .</w:t>
      </w:r>
    </w:p>
    <w:p>
      <w:pPr>
        <w:spacing w:after="0" w:line="58" w:lineRule="exact"/>
        <w:rPr>
          <w:sz w:val="20"/>
          <w:szCs w:val="20"/>
          <w:color w:val="auto"/>
        </w:rPr>
      </w:pPr>
    </w:p>
    <w:p>
      <w:pPr>
        <w:ind w:left="520" w:right="6020" w:hanging="512"/>
        <w:spacing w:after="0" w:line="445" w:lineRule="auto"/>
        <w:tabs>
          <w:tab w:leader="none" w:pos="511"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Accumulated Other Comprehensive (Loss) Income (“AOCI”) </w:t>
      </w:r>
      <w:r>
        <w:rPr>
          <w:rFonts w:ascii="Arial" w:cs="Arial" w:eastAsia="Arial" w:hAnsi="Arial"/>
          <w:sz w:val="17"/>
          <w:szCs w:val="17"/>
          <w:color w:val="auto"/>
        </w:rPr>
        <w:t>The component of AOCI, net of tax, was as follows:</w:t>
      </w:r>
    </w:p>
    <w:p>
      <w:pPr>
        <w:spacing w:after="0" w:line="67"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Foreign</w:t>
      </w:r>
    </w:p>
    <w:p>
      <w:pPr>
        <w:jc w:val="center"/>
        <w:ind w:left="9100"/>
        <w:spacing w:after="0" w:line="226" w:lineRule="auto"/>
        <w:rPr>
          <w:sz w:val="20"/>
          <w:szCs w:val="20"/>
          <w:color w:val="auto"/>
        </w:rPr>
      </w:pPr>
      <w:r>
        <w:rPr>
          <w:rFonts w:ascii="Arial" w:cs="Arial" w:eastAsia="Arial" w:hAnsi="Arial"/>
          <w:sz w:val="14"/>
          <w:szCs w:val="14"/>
          <w:b w:val="1"/>
          <w:bCs w:val="1"/>
          <w:color w:val="auto"/>
        </w:rPr>
        <w:t>Currency</w:t>
      </w:r>
    </w:p>
    <w:p>
      <w:pPr>
        <w:jc w:val="center"/>
        <w:ind w:left="9100"/>
        <w:spacing w:after="0" w:line="221" w:lineRule="auto"/>
        <w:rPr>
          <w:sz w:val="20"/>
          <w:szCs w:val="20"/>
          <w:color w:val="auto"/>
        </w:rPr>
      </w:pPr>
      <w:r>
        <w:rPr>
          <w:rFonts w:ascii="Arial" w:cs="Arial" w:eastAsia="Arial" w:hAnsi="Arial"/>
          <w:sz w:val="14"/>
          <w:szCs w:val="14"/>
          <w:b w:val="1"/>
          <w:bCs w:val="1"/>
          <w:color w:val="auto"/>
        </w:rPr>
        <w:t>Translation</w:t>
      </w:r>
    </w:p>
    <w:p>
      <w:pPr>
        <w:spacing w:after="0" w:line="1"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as at December 31,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foreign currency translation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Balance as at March 31, 2021</w:t>
      </w:r>
    </w:p>
    <w:p>
      <w:pPr>
        <w:spacing w:after="0" w:line="370" w:lineRule="exact"/>
        <w:rPr>
          <w:sz w:val="20"/>
          <w:szCs w:val="20"/>
          <w:color w:val="auto"/>
        </w:rPr>
      </w:pPr>
    </w:p>
    <w:p>
      <w:pPr>
        <w:ind w:left="520" w:right="5460" w:hanging="512"/>
        <w:spacing w:after="0" w:line="425" w:lineRule="auto"/>
        <w:tabs>
          <w:tab w:leader="none" w:pos="511"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proceedings</w:t>
      </w:r>
    </w:p>
    <w:p>
      <w:pPr>
        <w:spacing w:after="0" w:line="20" w:lineRule="exact"/>
        <w:rPr>
          <w:sz w:val="20"/>
          <w:szCs w:val="20"/>
          <w:color w:val="auto"/>
        </w:rPr>
      </w:pPr>
      <w:r>
        <w:rPr>
          <w:sz w:val="20"/>
          <w:szCs w:val="20"/>
          <w:color w:val="auto"/>
        </w:rPr>
        <w:br w:type="column"/>
      </w:r>
    </w:p>
    <w:p>
      <w:pPr>
        <w:spacing w:after="0"/>
        <w:tabs>
          <w:tab w:leader="none" w:pos="14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8,205</w:t>
      </w:r>
    </w:p>
    <w:p>
      <w:pPr>
        <w:spacing w:after="0" w:line="28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3,753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1200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1" w:lineRule="exact"/>
        <w:rPr>
          <w:sz w:val="20"/>
          <w:szCs w:val="20"/>
          <w:color w:val="auto"/>
        </w:rPr>
      </w:pPr>
    </w:p>
    <w:p>
      <w:pPr>
        <w:spacing w:after="0"/>
        <w:tabs>
          <w:tab w:leader="none" w:pos="1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1200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53975</wp:posOffset>
            </wp:positionV>
            <wp:extent cx="1200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8520" w:space="720"/>
            <w:col w:w="2000"/>
          </w:cols>
          <w:pgMar w:left="320" w:top="557" w:right="339" w:bottom="1440" w:gutter="0" w:footer="0" w:header="0"/>
          <w:type w:val="continuous"/>
        </w:sectPr>
      </w:pPr>
    </w:p>
    <w:p>
      <w:pPr>
        <w:ind w:right="80" w:firstLine="509"/>
        <w:spacing w:after="0" w:line="311" w:lineRule="auto"/>
        <w:rPr>
          <w:sz w:val="20"/>
          <w:szCs w:val="20"/>
          <w:color w:val="auto"/>
        </w:rPr>
      </w:pPr>
      <w:r>
        <w:rPr>
          <w:rFonts w:ascii="Arial" w:cs="Arial" w:eastAsia="Arial" w:hAnsi="Arial"/>
          <w:sz w:val="16"/>
          <w:szCs w:val="16"/>
          <w:color w:val="auto"/>
        </w:rPr>
        <w:t>In the normal course of business, the Company may become involved in legal disputes regarding various litigation matters. The Company records a loss contingency if the information available indicates that it is probable that a liability has been incurred at the date of the financial statements and the amount of loss can be reasonably estimated. As of March 31, 2021, in the opinion of management, no claims meet the criteria to record a loss contingency.</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leases various facilities, under non-cancelable finance and operating leases, which expire at various dates through September 2027.</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(remaining nine months)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related to interest payments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minimum lease payments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current accrued lease obligation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Obligations recognized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reflects the Company’s future non-cancellable minimum purchase commitments for inventory as of March 31, 2021: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nine months)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 commitments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17,359</w:t>
            </w:r>
          </w:p>
        </w:tc>
        <w:tc>
          <w:tcPr>
            <w:tcW w:w="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Due to the termination of a supply agreement, the Company removed $59,700 of purchase commitments from its commitments and contingencies as of March 31, 2021.</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2018, the Company signed an agreement with Rose Lifescience Inc. (“Rose”) for distribution and marketing of product in Quebec in exchange for a minimum fee of $384 per annum for an initial term of five years. In September 2020, the Company signed an amendment to this agreement under which the Company is no longer obligated to purchase product from Rose nor pay the minimum fee. The Company will pay Rose a compensation fee based on net revenue sold in Quebec for an estimated compensation fee of approximately $8,000 through 2023. As there is no firm commission fee commitment, it is excluded from the above schedule. Compensation fee expense is recorded as incurred.</w:t>
      </w:r>
    </w:p>
    <w:p>
      <w:pPr>
        <w:spacing w:after="0" w:line="68"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In 2018, the Company entered into a Product and Trademark License Agreement with Docklight LLC, a related party (refer to Note 20), to use certain intellectual property rights in exchange for payment of royalty depending upon specified percentage of licensed product net sales, with a minimum royalty of $493 per quarter. As the purchase commitment is an undeterminable variable amount, it is excluded from the above schedule.</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Company has payments on the convertible notes (refer to Note 10), the Senior Facility (refer to Note 11), ABG finance liability and Portugal construction purchase commitments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nine months)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notes, principal</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interest</w:t>
            </w:r>
          </w:p>
        </w:tc>
        <w:tc>
          <w:tcPr>
            <w:tcW w:w="4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319,535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291,749</w:t>
            </w:r>
          </w:p>
        </w:tc>
        <w:tc>
          <w:tcPr>
            <w:tcW w:w="6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Senior Facility, principal and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52,504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Portugal construction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commitments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2,778</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67,897</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293,249</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Company reports two segments: cannabis and hemp, in accordance with ASC 280 Segment Reporting. The Company generates revenues from the cannabis and hemp segments through contracts with customers, each with a single performance obligation, being the sale of products. The Company determines that revenue information disclosed in business segment information in Note 23 disaggregates revenue into categories that depict how the nature, amount, timing and uncertainty of revenue and cash flows are affected by economic factors.</w:t>
      </w:r>
    </w:p>
    <w:p>
      <w:pPr>
        <w:spacing w:after="0" w:line="63"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For certain long-term arrangements, the Company has performance obligations for goods it has not yet delivered. For these arrangements, the Company does not have a right to bill for the undelivered goods. The Company has determined that any unbilled consideration relates entirely to the value of undelivered goods. Accordingly, the Company has not recognized revenue, and has elected not to disclose amounts, related to these undelivered goods. As of March 31, 2021 and December 31, 2020, other than accounts receivable, net of allowance for doubtful debts, the Company has no contract balances in the balance sheets.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 w:name="page17"/>
    <w:bookmarkEnd w:id="16"/>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General and administrative expenses are comprised of the following items: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380" w:type="dxa"/>
            <w:vAlign w:val="bottom"/>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7,613</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spacing w:after="0"/>
              <w:rPr>
                <w:sz w:val="20"/>
                <w:szCs w:val="20"/>
                <w:color w:val="auto"/>
              </w:rPr>
            </w:pPr>
            <w:r>
              <w:rPr>
                <w:rFonts w:ascii="Arial" w:cs="Arial" w:eastAsia="Arial" w:hAnsi="Arial"/>
                <w:sz w:val="18"/>
                <w:szCs w:val="18"/>
                <w:color w:val="auto"/>
              </w:rPr>
              <w:t>Salaries and benefits</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7,013</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expenses</w:t>
            </w: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3,577</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loss expenses</w:t>
            </w: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Loss on disposal of property and equipment</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Travel expenses</w:t>
            </w:r>
          </w:p>
        </w:tc>
        <w:tc>
          <w:tcPr>
            <w:tcW w:w="11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25,587</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19.</w:t>
            </w:r>
          </w:p>
        </w:tc>
        <w:tc>
          <w:tcPr>
            <w:tcW w:w="60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Supplemental Cash Flow Information</w:t>
            </w:r>
          </w:p>
        </w:tc>
        <w:tc>
          <w:tcPr>
            <w:tcW w:w="1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6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9"/>
                <w:szCs w:val="19"/>
                <w:color w:val="auto"/>
              </w:rPr>
            </w:pPr>
          </w:p>
        </w:tc>
        <w:tc>
          <w:tcPr>
            <w:tcW w:w="13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Borders>
              <w:top w:val="single" w:sz="8" w:color="CFF0FC"/>
            </w:tcBorders>
            <w:shd w:val="clear" w:color="auto" w:fill="CFF0FC"/>
          </w:tcPr>
          <w:p>
            <w:pPr>
              <w:spacing w:after="0"/>
              <w:rPr>
                <w:sz w:val="19"/>
                <w:szCs w:val="19"/>
                <w:color w:val="auto"/>
              </w:rPr>
            </w:pPr>
          </w:p>
        </w:tc>
        <w:tc>
          <w:tcPr>
            <w:tcW w:w="60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income taxes</w:t>
            </w:r>
          </w:p>
        </w:tc>
        <w:tc>
          <w:tcPr>
            <w:tcW w:w="1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380" w:type="dxa"/>
            <w:vAlign w:val="bottom"/>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2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994</w:t>
            </w:r>
          </w:p>
        </w:tc>
        <w:tc>
          <w:tcPr>
            <w:tcW w:w="138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Non-cash additions to Right-of-use assets and lease liabilities</w:t>
            </w: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the normal course of business, the Company enters into related party transactions with certain entities under common control and joint ventures as described in the Annual Financial Statements and detailed below.</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Leafly Holdings, Inc. (“Leafly”)</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Company has a series of agreements with Leafly providing for, among other things, data licensing, advertising and marketing activities. During the three months ended March 31, 2021, no operational expenses was recorded within general and administrative expenses in the statements of net loss and comprehensive loss (2020 - $129).</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Docklight LLC (“Docklight”)</w:t>
      </w:r>
    </w:p>
    <w:p>
      <w:pPr>
        <w:spacing w:after="0" w:line="117"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The Company pays Docklight a royalty fee pursuant to a brand licensing agreement which provides the Company with exclusive rights in Canada for the use of certain adult-use brands. During the three months ended March 31, 2021, royalty fees of $493 were recorded within general and administrative expenses in the statements of net loss and comprehensive loss (2020 - $221). Refer to Note 16 for purchase commitments with Docklight.</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Fluent and Cannfections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Company has joint venture arrangements with a 50% ownership and voting interest in each Fluent and Cannfections. Refer to Note 4 for details over transactions with these entities for the three months ended March 31, 2021.</w:t>
      </w:r>
    </w:p>
    <w:p>
      <w:pPr>
        <w:spacing w:after="0" w:line="58" w:lineRule="exact"/>
        <w:rPr>
          <w:sz w:val="20"/>
          <w:szCs w:val="20"/>
          <w:color w:val="auto"/>
        </w:rPr>
      </w:pPr>
    </w:p>
    <w:p>
      <w:pPr>
        <w:ind w:left="520" w:right="9020" w:hanging="512"/>
        <w:spacing w:after="0" w:line="425" w:lineRule="auto"/>
        <w:tabs>
          <w:tab w:leader="none" w:pos="51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i w:val="1"/>
          <w:iCs w:val="1"/>
          <w:color w:val="auto"/>
        </w:rPr>
        <w:t>Credit risk</w:t>
      </w:r>
    </w:p>
    <w:p>
      <w:pPr>
        <w:ind w:firstLine="509"/>
        <w:spacing w:after="0" w:line="277" w:lineRule="auto"/>
        <w:rPr>
          <w:sz w:val="20"/>
          <w:szCs w:val="20"/>
          <w:color w:val="auto"/>
        </w:rPr>
      </w:pPr>
      <w:r>
        <w:rPr>
          <w:rFonts w:ascii="Arial" w:cs="Arial" w:eastAsia="Arial" w:hAnsi="Arial"/>
          <w:sz w:val="18"/>
          <w:szCs w:val="18"/>
          <w:color w:val="auto"/>
        </w:rPr>
        <w:t>Credit risk is the risk of financial loss to the Company if a customer or counterparty to a financial instrument fails to meet its contractual obligations, and arises principally from the Company’s cash and cash equivalents and accounts receivable.</w:t>
      </w:r>
    </w:p>
    <w:p>
      <w:pPr>
        <w:spacing w:after="0" w:line="6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The Company’s cash and cash equivalents are deposited in major financial institutions in Canada, Australia, Portugal, Germany and the United States. To date, the Company has not experienced any losses on its cash deposits. Accounts receivable are unsecured and the Company does not require collateral from its customers.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7"/>
          <w:szCs w:val="17"/>
          <w:color w:val="auto"/>
        </w:rPr>
        <w:t>The Company evaluates the collectability of its accounts receivable and provides an allowance for credit losses as necessary (refer to Note 5).</w:t>
      </w:r>
    </w:p>
    <w:p>
      <w:pPr>
        <w:spacing w:after="0" w:line="12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Due to the uncertainties associated with COVID-19, the Company may be unable to accurately predict the creditworthiness of its counterparties and their ability to meet their obligations. This may result in unforeseen additional credit losses.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Company conducts its business in several countries and in a variety of currencies, the most significant of which are the Canadian dollar and the Euro. Consequently, the Company is exposed to foreign currency risk. A significant portion of the Company’s assets, liabilities, revenue, and expenses are denominated in Canadian dollars. A 10% change in the exchange rates for the Canadian dollar would affect the carrying value of net assets by approximately $47,220 as of March 31, 2021, with a corresponding impact to accumulated other comprehensive (loss) income. The Company is also exposed to risk related to changes in the value of the Euro due to its construction commitments in Portugal.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Company’s exposure to changes in interest rates relates primarily to the Company’s outsanding debt. The Company is exposed to changes to the Canadian prime rate as the Senior Facility bears interest based on the Canadian prime rate plus 8.05%. The convertible notes bear interest at a fixed rate of 5% and are not publicly traded and is therefore are not affected by changes in the market interest rates. A 1% change in the Canadian prime rate would have an impact of $134 to the statements of net loss and comprehensive loss for the three months ended March 31, 2021.</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of March 31, 2021, the most significant financial liabilities are accounts payable, accrued expenses and other current liabilities, convertible notes and the Senior Facility.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price risks</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As of March 31, 2021, we held long-term equity investments at fair value and equity investments under the measurement alternative. These investment in equities were acquired as part of our strategic transactions. Accordingly, the changes in fair values of investment in equities measured at fair value or under the measurement alternative are recognized through other expense (income), net in the statements of net loss and comprehensive loss. Based on the fair value of investment in equities held as of March 31, 2021, a hypothetical decrease of 10% in the prices for these companies would reduce the fair values of the investments and result in unrealized loss recorded in other expense (income), net by $1,132. Similarly, based on the fair value of our warrant liability as of March 31, 2021, a hypothetical increase of 10% in the price for our common stock would increase the change in fair value of warrant liability by $12,290.</w:t>
      </w:r>
    </w:p>
    <w:p>
      <w:pPr>
        <w:spacing w:after="0" w:line="96"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Company complies with ASC 820, Fair Value Measurements, for its financial assets and liabilities that are re-measured and reported at fair value at each reporting period, and non-financial assets and liabilities that are re-measured and reported at fair value at least annually.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information about the Company’s assets that are measured at fair value on a recurring basis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techniques the Company utilized to determine such fair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Quoted prices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markets for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31, 2021</w:t>
            </w: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Equity investments measured at fair value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(122,804)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(122,804)</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Convertible Debt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(269,223)</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(269,223)</w:t>
            </w:r>
          </w:p>
        </w:tc>
      </w:tr>
      <w:tr>
        <w:trPr>
          <w:trHeight w:val="223"/>
        </w:trPr>
        <w:tc>
          <w:tcPr>
            <w:tcW w:w="4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(269,223)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(391,394)</w:t>
            </w:r>
          </w:p>
        </w:tc>
        <w:tc>
          <w:tcPr>
            <w:tcW w:w="120" w:type="dxa"/>
            <w:vAlign w:val="bottom"/>
            <w:tcBorders>
              <w:top w:val="single" w:sz="8" w:color="CFF0FC"/>
            </w:tcBorders>
            <w:shd w:val="clear" w:color="auto" w:fill="CFF0FC"/>
          </w:tcPr>
          <w:p>
            <w:pPr>
              <w:spacing w:after="0"/>
              <w:rPr>
                <w:sz w:val="19"/>
                <w:szCs w:val="19"/>
                <w:color w:val="auto"/>
              </w:rPr>
            </w:pPr>
          </w:p>
        </w:tc>
      </w:tr>
      <w:tr>
        <w:trPr>
          <w:trHeight w:val="425"/>
        </w:trPr>
        <w:tc>
          <w:tcPr>
            <w:tcW w:w="44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Quoted prices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markets for</w:t>
            </w: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identical</w:t>
            </w:r>
          </w:p>
        </w:tc>
        <w:tc>
          <w:tcPr>
            <w:tcW w:w="1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Investments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investments measured at fair value</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Debt securities classified as available-for-sale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(120,647)</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(120,647)</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Convertible Debt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(239,652)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(239,652)</w:t>
            </w:r>
          </w:p>
        </w:tc>
      </w:tr>
      <w:tr>
        <w:trPr>
          <w:trHeight w:val="223"/>
        </w:trPr>
        <w:tc>
          <w:tcPr>
            <w:tcW w:w="4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(239,652)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(357,322)</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Items measured at fair value on a recurring basis</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Company’s financial assets and liabilities required to be measured on a recurring basis are its equity investments measured at fair value, convertible debt and warrant liability.</w:t>
      </w:r>
    </w:p>
    <w:p>
      <w:pPr>
        <w:spacing w:after="0" w:line="62"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Equity investments recorded at fair value: The estimated fair value is determined using quoted market prices, broker or dealer quotations or discounted cash flows. These are classified as Level 1.</w:t>
      </w:r>
    </w:p>
    <w:p>
      <w:pPr>
        <w:spacing w:after="0" w:line="62"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Warrant liability: The warrants associated with the warrant liability are classified as Level 3 derivatives. Consequently, the estimated fair value of the warrant liability is determined using the Monte Carlo pricing model (refer to Note 12). Until the warrants are exercised, expire, or other facts and circumstances lead the warrant liability to be reclassified to stockholders’ equity, the warrant liability (which relates to warrants to purchase shares of Class 2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53"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Convertible Debt: This instrument is held at amortized cost. The estimated fair value is determined using quoted market prices near the reporting date and is classified as Level 2.</w:t>
      </w:r>
    </w:p>
    <w:p>
      <w:pPr>
        <w:spacing w:after="0" w:line="6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opening balances of assets and liabilities categorized within Level 3 of the fair value hierarchy measured at fair value on a recurring basis are reconciled to the closing balances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Debt securities</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classified as</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100" w:type="dxa"/>
            <w:vAlign w:val="bottom"/>
          </w:tcPr>
          <w:p>
            <w:pPr>
              <w:spacing w:after="0"/>
              <w:rPr>
                <w:sz w:val="12"/>
                <w:szCs w:val="12"/>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0"/>
              </w:rPr>
              <w:t>sale</w:t>
            </w: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Opening balance as at December 31, 2020</w:t>
            </w:r>
          </w:p>
        </w:tc>
        <w:tc>
          <w:tcPr>
            <w:tcW w:w="5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Additions and settlements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380"/>
              <w:spacing w:after="0"/>
              <w:rPr>
                <w:sz w:val="20"/>
                <w:szCs w:val="20"/>
                <w:color w:val="auto"/>
              </w:rPr>
            </w:pPr>
            <w:r>
              <w:rPr>
                <w:rFonts w:ascii="Arial" w:cs="Arial" w:eastAsia="Arial" w:hAnsi="Arial"/>
                <w:sz w:val="18"/>
                <w:szCs w:val="18"/>
                <w:color w:val="auto"/>
              </w:rPr>
              <w:t>Exercise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80"/>
              <w:spacing w:after="0"/>
              <w:rPr>
                <w:sz w:val="20"/>
                <w:szCs w:val="20"/>
                <w:color w:val="auto"/>
              </w:rPr>
            </w:pPr>
            <w:r>
              <w:rPr>
                <w:rFonts w:ascii="Arial" w:cs="Arial" w:eastAsia="Arial" w:hAnsi="Arial"/>
                <w:sz w:val="18"/>
                <w:szCs w:val="18"/>
                <w:color w:val="auto"/>
              </w:rPr>
              <w:t>Interest expenses,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fair value</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(83,380)</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Closing balance as at March 31, 2021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14"/>
          </w:tcPr>
          <w:p>
            <w:pPr>
              <w:jc w:val="right"/>
              <w:ind w:right="15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Fair value at March</w:t>
            </w:r>
          </w:p>
        </w:tc>
        <w:tc>
          <w:tcPr>
            <w:tcW w:w="80" w:type="dxa"/>
            <w:vAlign w:val="bottom"/>
          </w:tcPr>
          <w:p>
            <w:pPr>
              <w:spacing w:after="0"/>
              <w:rPr>
                <w:sz w:val="11"/>
                <w:szCs w:val="11"/>
                <w:color w:val="auto"/>
              </w:rPr>
            </w:pPr>
          </w:p>
        </w:tc>
        <w:tc>
          <w:tcPr>
            <w:tcW w:w="15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9"/>
              </w:rPr>
              <w:t>Valuation technique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tcPr>
          <w:p>
            <w:pPr>
              <w:spacing w:after="0"/>
              <w:rPr>
                <w:sz w:val="11"/>
                <w:szCs w:val="11"/>
                <w:color w:val="auto"/>
              </w:rPr>
            </w:pPr>
          </w:p>
        </w:tc>
        <w:tc>
          <w:tcPr>
            <w:tcW w:w="168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Range (weighted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68"/>
              <w:spacing w:after="0"/>
              <w:rPr>
                <w:sz w:val="20"/>
                <w:szCs w:val="20"/>
                <w:color w:val="auto"/>
              </w:rPr>
            </w:pPr>
            <w:r>
              <w:rPr>
                <w:rFonts w:ascii="Arial" w:cs="Arial" w:eastAsia="Arial" w:hAnsi="Arial"/>
                <w:sz w:val="14"/>
                <w:szCs w:val="14"/>
                <w:b w:val="1"/>
                <w:bCs w:val="1"/>
                <w:color w:val="auto"/>
              </w:rPr>
              <w:t>31, 2021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55"/>
        </w:trPr>
        <w:tc>
          <w:tcPr>
            <w:tcW w:w="36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Warrant liability</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(122,804)</w:t>
            </w:r>
          </w:p>
        </w:tc>
        <w:tc>
          <w:tcPr>
            <w:tcW w:w="1640" w:type="dxa"/>
            <w:vAlign w:val="bottom"/>
            <w:gridSpan w:val="2"/>
          </w:tcPr>
          <w:p>
            <w:pPr>
              <w:ind w:left="80"/>
              <w:spacing w:after="0"/>
              <w:rPr>
                <w:sz w:val="20"/>
                <w:szCs w:val="20"/>
                <w:color w:val="auto"/>
              </w:rPr>
            </w:pPr>
            <w:r>
              <w:rPr>
                <w:rFonts w:ascii="Arial" w:cs="Arial" w:eastAsia="Arial" w:hAnsi="Arial"/>
                <w:sz w:val="14"/>
                <w:szCs w:val="14"/>
                <w:color w:val="auto"/>
              </w:rPr>
              <w:t>Monte Carlo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ind w:left="40"/>
              <w:spacing w:after="0"/>
              <w:rPr>
                <w:sz w:val="20"/>
                <w:szCs w:val="20"/>
                <w:color w:val="auto"/>
              </w:rPr>
            </w:pPr>
            <w:r>
              <w:rPr>
                <w:rFonts w:ascii="Arial" w:cs="Arial" w:eastAsia="Arial" w:hAnsi="Arial"/>
                <w:sz w:val="14"/>
                <w:szCs w:val="14"/>
                <w:color w:val="auto"/>
              </w:rPr>
              <w:t>Volatility</w:t>
            </w:r>
          </w:p>
        </w:tc>
        <w:tc>
          <w:tcPr>
            <w:tcW w:w="1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4"/>
            <w:vMerge w:val="restart"/>
            <w:shd w:val="clear" w:color="auto" w:fill="CFF0FC"/>
          </w:tcPr>
          <w:p>
            <w:pPr>
              <w:ind w:left="40"/>
              <w:spacing w:after="0"/>
              <w:rPr>
                <w:sz w:val="20"/>
                <w:szCs w:val="20"/>
                <w:color w:val="auto"/>
              </w:rPr>
            </w:pPr>
            <w:r>
              <w:rPr>
                <w:rFonts w:ascii="Arial" w:cs="Arial" w:eastAsia="Arial" w:hAnsi="Arial"/>
                <w:sz w:val="14"/>
                <w:szCs w:val="14"/>
                <w:color w:val="auto"/>
              </w:rPr>
              <w:t>Expected life</w:t>
            </w:r>
          </w:p>
        </w:tc>
        <w:tc>
          <w:tcPr>
            <w:tcW w:w="10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0.2 years to 4.5 years (2.1</w:t>
            </w:r>
          </w:p>
        </w:tc>
        <w:tc>
          <w:tcPr>
            <w:tcW w:w="0" w:type="dxa"/>
            <w:vAlign w:val="bottom"/>
          </w:tcPr>
          <w:p>
            <w:pPr>
              <w:spacing w:after="0"/>
              <w:rPr>
                <w:sz w:val="1"/>
                <w:szCs w:val="1"/>
                <w:color w:val="auto"/>
              </w:rPr>
            </w:pPr>
          </w:p>
        </w:tc>
      </w:tr>
      <w:tr>
        <w:trPr>
          <w:trHeight w:val="101"/>
        </w:trPr>
        <w:tc>
          <w:tcPr>
            <w:tcW w:w="36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720" w:type="dxa"/>
            <w:vAlign w:val="bottom"/>
            <w:gridSpan w:val="4"/>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66"/>
        </w:trPr>
        <w:tc>
          <w:tcPr>
            <w:tcW w:w="36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38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8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Items measured at fair value on a non-recurring basis</w:t>
      </w:r>
    </w:p>
    <w:p>
      <w:pPr>
        <w:spacing w:after="0" w:line="117" w:lineRule="exact"/>
        <w:rPr>
          <w:sz w:val="20"/>
          <w:szCs w:val="20"/>
          <w:color w:val="auto"/>
        </w:rPr>
      </w:pPr>
    </w:p>
    <w:p>
      <w:pPr>
        <w:ind w:right="560" w:firstLine="509"/>
        <w:spacing w:after="0" w:line="342" w:lineRule="auto"/>
        <w:rPr>
          <w:sz w:val="20"/>
          <w:szCs w:val="20"/>
          <w:color w:val="auto"/>
        </w:rPr>
      </w:pPr>
      <w:r>
        <w:rPr>
          <w:rFonts w:ascii="Arial" w:cs="Arial" w:eastAsia="Arial" w:hAnsi="Arial"/>
          <w:sz w:val="16"/>
          <w:szCs w:val="16"/>
          <w:color w:val="auto"/>
        </w:rPr>
        <w:t>The Company's prepayments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 w:lineRule="exact"/>
        <w:rPr>
          <w:sz w:val="20"/>
          <w:szCs w:val="20"/>
          <w:color w:val="auto"/>
        </w:rPr>
      </w:pPr>
    </w:p>
    <w:p>
      <w:pPr>
        <w:ind w:right="120" w:firstLine="509"/>
        <w:spacing w:after="0" w:line="308" w:lineRule="auto"/>
        <w:rPr>
          <w:sz w:val="20"/>
          <w:szCs w:val="20"/>
          <w:color w:val="auto"/>
        </w:rPr>
      </w:pPr>
      <w:r>
        <w:rPr>
          <w:rFonts w:ascii="Arial" w:cs="Arial" w:eastAsia="Arial" w:hAnsi="Arial"/>
          <w:sz w:val="17"/>
          <w:szCs w:val="17"/>
          <w:color w:val="auto"/>
        </w:rPr>
        <w:t>The estimated fair value of cash and cash equivalents, accounts receivable, net, accounts payable, accrued expenses and other current liabilities and Senior Facility at March 31, 2021 (December 31, 2020 – the fair value of all aforementioned) approximate their carrying value.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sz w:val="20"/>
          <w:szCs w:val="20"/>
          <w:color w:val="auto"/>
        </w:rPr>
      </w:pPr>
    </w:p>
    <w:p>
      <w:pPr>
        <w:ind w:right="840" w:firstLine="509"/>
        <w:spacing w:after="0" w:line="277" w:lineRule="auto"/>
        <w:rPr>
          <w:sz w:val="20"/>
          <w:szCs w:val="20"/>
          <w:color w:val="auto"/>
        </w:rPr>
      </w:pPr>
      <w:r>
        <w:rPr>
          <w:rFonts w:ascii="Arial" w:cs="Arial" w:eastAsia="Arial" w:hAnsi="Arial"/>
          <w:sz w:val="18"/>
          <w:szCs w:val="18"/>
          <w:color w:val="auto"/>
        </w:rPr>
        <w:t>The Company has two operating segments based on major product categories: cannabis and hemp. These operating segments are also the Company’s reportable segments.</w:t>
      </w:r>
    </w:p>
    <w:p>
      <w:pPr>
        <w:spacing w:after="0" w:line="62" w:lineRule="exact"/>
        <w:rPr>
          <w:sz w:val="20"/>
          <w:szCs w:val="20"/>
          <w:color w:val="auto"/>
        </w:rPr>
      </w:pPr>
    </w:p>
    <w:p>
      <w:pPr>
        <w:jc w:val="both"/>
        <w:ind w:right="580" w:firstLine="509"/>
        <w:spacing w:after="0" w:line="263" w:lineRule="auto"/>
        <w:rPr>
          <w:sz w:val="20"/>
          <w:szCs w:val="20"/>
          <w:color w:val="auto"/>
        </w:rPr>
      </w:pPr>
      <w:r>
        <w:rPr>
          <w:rFonts w:ascii="Arial" w:cs="Arial" w:eastAsia="Arial" w:hAnsi="Arial"/>
          <w:sz w:val="18"/>
          <w:szCs w:val="18"/>
          <w:color w:val="auto"/>
        </w:rPr>
        <w:t>The cannabis segment cultivates, processes and distributes medical and adult-use cannabis products in a variety of formats, as well as related accessories, on a global basis. The hemp segment processes and distributes a diverse portfolio of hemp-based natural and organic food and wellness products on a global basis.</w:t>
      </w:r>
    </w:p>
    <w:p>
      <w:pPr>
        <w:spacing w:after="0" w:line="7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results of each segment are regularly reviewed by the Company’s Chief Executive Officer, who is the Company’s chief operating decision maker, to assess the performance of the segment and make decisions regarding the allocation of resources. The Company’s chief operating decision maker uses revenue and gross profit as the measure of segment profit or loss. The accounting policies of each segment are the same as those set out under the summary of significant accounting policies in Note 1. There are no intersegment sales or transfers.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67"/>
              <w:spacing w:after="0" w:line="155" w:lineRule="exact"/>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3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 profit</w:t>
            </w:r>
          </w:p>
        </w:tc>
        <w:tc>
          <w:tcPr>
            <w:tcW w:w="2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profit</w:t>
            </w: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w:t>
            </w:r>
          </w:p>
        </w:tc>
        <w:tc>
          <w:tcPr>
            <w:tcW w:w="2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Hemp</w:t>
            </w:r>
          </w:p>
        </w:tc>
        <w:tc>
          <w:tcPr>
            <w:tcW w:w="2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16,635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Pr>
          <w:p>
            <w:pPr>
              <w:spacing w:after="0"/>
              <w:rPr>
                <w:sz w:val="19"/>
                <w:szCs w:val="19"/>
                <w:color w:val="auto"/>
              </w:rPr>
            </w:pPr>
          </w:p>
        </w:tc>
      </w:tr>
      <w:tr>
        <w:trPr>
          <w:trHeight w:val="223"/>
        </w:trPr>
        <w:tc>
          <w:tcPr>
            <w:tcW w:w="3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48,021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No asset information is provided for the segments because the Company’s chief operating decision maker does not review this information by segment on a regular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 and gross profit for the reportable segments is equal to the Company’s consolidated revenue and gross profit.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Gross profit for the segments</w:t>
            </w:r>
          </w:p>
        </w:tc>
        <w:tc>
          <w:tcPr>
            <w:tcW w:w="34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3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Impairment of assets</w:t>
            </w: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investments</w:t>
            </w:r>
          </w:p>
        </w:tc>
        <w:tc>
          <w:tcPr>
            <w:tcW w:w="3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Litigation settlement</w:t>
            </w: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(gain) loss, net</w:t>
            </w:r>
          </w:p>
        </w:tc>
        <w:tc>
          <w:tcPr>
            <w:tcW w:w="3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263,201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3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34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60" w:type="dxa"/>
            <w:vAlign w:val="bottom"/>
            <w:vMerge w:val="restart"/>
          </w:tcPr>
          <w:p>
            <w:pPr>
              <w:jc w:val="right"/>
              <w:ind w:right="187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Sources of revenue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Dried cannabis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21,086</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19,696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Cannabis extracts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10,270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10,545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Hemp products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16,635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21,326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Accessories and other</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48,021</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52,102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520"/>
              <w:spacing w:after="0"/>
              <w:rPr>
                <w:sz w:val="20"/>
                <w:szCs w:val="20"/>
                <w:color w:val="auto"/>
              </w:rPr>
            </w:pPr>
            <w:r>
              <w:rPr>
                <w:rFonts w:ascii="Arial" w:cs="Arial" w:eastAsia="Arial" w:hAnsi="Arial"/>
                <w:sz w:val="18"/>
                <w:szCs w:val="18"/>
                <w:color w:val="auto"/>
              </w:rPr>
              <w:t>Channels of revenue were as follows:</w:t>
            </w: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Cannabis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Adult-use</w:t>
            </w:r>
          </w:p>
        </w:tc>
        <w:tc>
          <w:tcPr>
            <w:tcW w:w="1180" w:type="dxa"/>
            <w:vAlign w:val="bottom"/>
            <w:gridSpan w:val="2"/>
          </w:tcPr>
          <w:p>
            <w:pPr>
              <w:jc w:val="right"/>
              <w:ind w:right="81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19,440</w:t>
            </w:r>
          </w:p>
        </w:tc>
        <w:tc>
          <w:tcPr>
            <w:tcW w:w="280" w:type="dxa"/>
            <w:vAlign w:val="bottom"/>
          </w:tcPr>
          <w:p>
            <w:pPr>
              <w:spacing w:after="0"/>
              <w:rPr>
                <w:sz w:val="19"/>
                <w:szCs w:val="19"/>
                <w:color w:val="auto"/>
              </w:rPr>
            </w:pPr>
          </w:p>
        </w:tc>
        <w:tc>
          <w:tcPr>
            <w:tcW w:w="1000" w:type="dxa"/>
            <w:vAlign w:val="bottom"/>
            <w:gridSpan w:val="2"/>
          </w:tcPr>
          <w:p>
            <w:pPr>
              <w:jc w:val="right"/>
              <w:ind w:right="82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Canada - medical</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International - medical</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Bulk</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 Cannabis revenue</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31,386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Hemp</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16,635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48,021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520"/>
              <w:spacing w:after="0"/>
              <w:rPr>
                <w:sz w:val="20"/>
                <w:szCs w:val="20"/>
                <w:color w:val="auto"/>
              </w:rPr>
            </w:pPr>
            <w:r>
              <w:rPr>
                <w:rFonts w:ascii="Arial" w:cs="Arial" w:eastAsia="Arial" w:hAnsi="Arial"/>
                <w:sz w:val="18"/>
                <w:szCs w:val="18"/>
                <w:color w:val="auto"/>
                <w:w w:val="92"/>
              </w:rPr>
              <w:t>Revenue attributed to geographic region based on the location of the customer was as follows:</w:t>
            </w: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5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27,195</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29,488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11,043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Other countries</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9,783</w:t>
            </w:r>
          </w:p>
        </w:tc>
        <w:tc>
          <w:tcPr>
            <w:tcW w:w="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48,021</w:t>
            </w:r>
          </w:p>
        </w:tc>
        <w:tc>
          <w:tcPr>
            <w:tcW w:w="28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includes excise duties of $4,646 for the three months ended March 31, 2021 (2020: $4,972).</w:t>
      </w:r>
    </w:p>
    <w:p>
      <w:pPr>
        <w:spacing w:after="0" w:line="13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Long-lived assets consisting of property and equipment, net of accumulated depreciation, attributed to geographic regions based on their physical location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122,182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Portugal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69,704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71,988</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countries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197,771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Major customers</w:t>
      </w:r>
    </w:p>
    <w:p>
      <w:pPr>
        <w:spacing w:after="0" w:line="13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One customer, in the Cannabis segment, accounted for 20% of revenue for the three months ended March 31, 2021. One customer, in the Hemp segment, accounted for 11% of revenue for the three months ended March 31, 2021. Two customers, in the Cannabis segment, accounted for 16% and 13% of revenue, respectively, for the three months ended March 31, 2020. One customer, in the Hemp segment, accounted for 26% of revenue for the three months ended March 31, 2020.</w:t>
      </w:r>
    </w:p>
    <w:p>
      <w:pPr>
        <w:spacing w:after="0" w:line="92"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Two customers accounted for 18% and 11%, respectively, of the Company’s accounts receivable balance as of March 31, 2021. Three customers accounted for 17%, 16% and 11%, respectively, of the Company’s accounts receivable balance as of December 31, 2020.</w:t>
      </w:r>
    </w:p>
    <w:p>
      <w:pPr>
        <w:spacing w:after="0" w:line="34"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 cannabinoid supplier (“supplier”) to Tilray, and Tilray had been engaged in binding arbitration, which commenced in March 2020 and related to a supply agreement dispute between the parties. On April 29, 2021, the parties mutually agreed to settle this matter. Pursuant to a settlement agreement and release, Tilray (i) paid $20,000 in cash and $5,000 in Class 2 Common Stock to the supplier on April 29, 2021, and (ii) agreed to pay either $15,000 in Class 2 Common Stock or $20,000 in cash, depending on certain circumstances, to the supplier within nine months of the settlement date, in each case subject to certain upward adjustments based on the trading price and resale registration status of the Class 2 Common Stock. The parties also agreed to, among other things, withdraw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line="275" w:lineRule="auto"/>
        <w:rPr>
          <w:sz w:val="20"/>
          <w:szCs w:val="20"/>
          <w:color w:val="auto"/>
        </w:rPr>
      </w:pPr>
      <w:r>
        <w:rPr>
          <w:rFonts w:ascii="Arial" w:cs="Arial" w:eastAsia="Arial" w:hAnsi="Arial"/>
          <w:sz w:val="17"/>
          <w:szCs w:val="17"/>
          <w:color w:val="auto"/>
        </w:rPr>
        <w:t>from the arbitration proceeding and to release the other party from any and all claims arising out of or relating to the arbitration or the supply agreement. As of March 31, 2021, the Company recorded the litigation settlement expense in its statement of net loss and comprehensive loss to reflect the outcome of this settlement. The litigation liability is payable in a combination of cash and shares of the Company’s class 2 common stock. The initial payments made on April 29, 2021 are reflected in accounts payable and the remaining future payment is reflected in accrued expenses. The Company also removed $59,700 of purchase commitments (refer to Note 16) from its commitments and contingencies as of March 31, 2021.</w:t>
      </w:r>
    </w:p>
    <w:p>
      <w:pPr>
        <w:spacing w:after="0" w:line="82"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On April 25, 2021, the Company notified its senior secure credit facility lender that it intends to (i) terminate the commitments under the Senior Facility, and (ii) repay all outstanding loans and other obligations under the Senior Facility. On May 4, 2021, the Company repaid in full all outstanding indebtedness under its Senior Facility agreement. The Senior Facility and related security interests were terminated in conjunction with the repayment in full of $52,069 (C$64,000) of principal, as well as accrued and unpaid interest and fees of $494 (C$610), plus a prior notice prepayment fee of $1,070 (C$1,320).</w:t>
      </w:r>
    </w:p>
    <w:p>
      <w:pPr>
        <w:spacing w:after="0" w:line="8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As disclosed previously, on April 30, 2021 the Arrangement with Aphria was completed (refer to Note 1 for additional information regarding the Arrangement) and we paid the financial advisor transaction fee of $9,200.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unaudited financial information and the notes thereto included elsewhere in this Quarterly Report on Form 10-Q, and our Annual Report on Form 10-K for the fiscal year ended December 31, 2020 (“Annual Report”). Some of the information contained in this discussion and analysis or set forth elsewhere in this Quarterly Report on Form 10-Q, including information with respect to our plans and strategy for our business and related financing, includes “forward-looking statements” within the meaning of Section 27A of the Securities Act and Section 21E of the Securities Exchange Act of 1934, as amended, or the Exchange Act, or “forward-looking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Quarterly Report on Form 10-Q and those discussed in the section titled “Risk Factors” set forth in Part II, Item 1A of this Quarterly Report on Form 10-Q and in our other SEC and Canadian public filings. 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Except as required by law, we undertake no obligation to update any forward-looking statements or forward-looking information to reflect events or circumstances after the date of such statements.</w:t>
      </w:r>
    </w:p>
    <w:p>
      <w:pPr>
        <w:spacing w:after="0" w:line="80"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Amounts are presented in thousands of United States dollars, except for shares, warrants, per share amounts and per warrant amounts or as otherwise noted. The Canadian dollar (“C$”) equivalents presented are derived using the average exchange rate during the reporting period. Amounts are individually converted by multiplying the United States dollar to Canadian dollar rate to determine the Canadian dollar amount.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Our vision is to build the world’s most trusted and valuable cannabis and hemp company. We are pioneering the future of medical, wellness and adult-use cannabis and hemp research, cultivation, processing and distribution, globally. We are one of the leading suppliers of adult-use cannabis in Canada, medicinal cannabis in Germany, and a leading supplier of hemp products in North America.</w:t>
      </w:r>
    </w:p>
    <w:p>
      <w:pPr>
        <w:spacing w:after="0" w:line="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have supplied high-quality medical cannabis products to tens of thousands of patients in eighteen countries spanning five continents through our subsidiaries in Australia, Canada, Germany, Latin America and Portugal, and through agreements with established pharmaceutical distributors. We cultivate medical and adult-use cannabis in Canada and medical cannabis in Portugal. We only operate in countries where cannabis or hemp-derived cannabinoids are legal, and are permitted under all applicable federal, state, provincial and local laws.</w:t>
      </w:r>
    </w:p>
    <w:p>
      <w:pPr>
        <w:spacing w:after="0" w:line="63"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are witnessing a global paradigm shift regarding regulatory and consumer sentiment about cannabis and hemp. This shift is transforming a multibillion-dollar industry from a state of prohibition to one of legalization. Medical cannabis is now authorized at the national or federal level in forty-two countries. The legal market for medical cannabis is still in its early stages and we believe the number of countries with legalized regimes will continue to increase over time. As this transformation occurs, we believe trusted global brands with multinational supply chains will become market leaders by earning the confidence of patients, doctors, governments, and adult consumers around the world.</w:t>
      </w:r>
    </w:p>
    <w:p>
      <w:pPr>
        <w:spacing w:after="0" w:line="68"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212529"/>
        </w:rPr>
        <w:t>We are a leader in the Canadian adult-use market. We have agreements to supply certain provinces and territories with our adult-use products for sale through their established retail distribution systems. Adult-use legalization occurred in Canada on October 17, 2018. On October 17, 2019, the Canadian adult-use regulations were amended to permit the sale of new classes of cannabis products including edibles, beverages and vape products.</w:t>
      </w:r>
    </w:p>
    <w:p>
      <w:pPr>
        <w:spacing w:after="0" w:line="4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During the three months ended March 31, 2021, we issued 6,254,980 shares of Class 2 common stock for gross proceeds of approximately $159.2 million under our at-the-market equity offering program.</w:t>
      </w:r>
    </w:p>
    <w:p>
      <w:pPr>
        <w:spacing w:after="0" w:line="6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During the three months ended March 31, 2021, we issued 12,791,000 shares of Class 2 common stock related to the exercise of outstanding warrants for gross proceeds of approximately $76.1 million.</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April 30, 2021, we completed an arrangement pursuant to an Arrangement Agreement dated as of December 15, 2020 (as amended, the “Arrangement Agreement”) with Aphria Inc. (“Aphria”), pursuant to which we acquired all of the issued and outstanding common shares of Aphria pursuant to a plan of arrangement (the “Plan of Arrangement”) under the Business Corporations Act (the “Arrangement”). Each outstanding common share of Aphria outstanding immediately prior to the effective time of the Arrangement was transferred to Tilray in exchange for 0.8381 of a share of Tilray Class 2 common stock. As of March 31, 2021,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740"/>
        <w:spacing w:after="0" w:line="383" w:lineRule="auto"/>
        <w:rPr>
          <w:sz w:val="20"/>
          <w:szCs w:val="20"/>
          <w:color w:val="auto"/>
        </w:rPr>
      </w:pPr>
      <w:r>
        <w:rPr>
          <w:rFonts w:ascii="Arial" w:cs="Arial" w:eastAsia="Arial" w:hAnsi="Arial"/>
          <w:sz w:val="18"/>
          <w:szCs w:val="18"/>
          <w:color w:val="auto"/>
        </w:rPr>
        <w:t xml:space="preserve">Arrangement had not yet been completed and as such, this Management’s Discussion and Analysis does not reflect the effect of the Arrangement. </w:t>
      </w:r>
      <w:r>
        <w:rPr>
          <w:rFonts w:ascii="Arial" w:cs="Arial" w:eastAsia="Arial" w:hAnsi="Arial"/>
          <w:sz w:val="18"/>
          <w:szCs w:val="18"/>
          <w:b w:val="1"/>
          <w:bCs w:val="1"/>
          <w:color w:val="auto"/>
        </w:rPr>
        <w:t>COVID-19</w:t>
      </w:r>
    </w:p>
    <w:p>
      <w:pPr>
        <w:spacing w:after="0" w:line="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The COVID-19 pandemic and various government steps to reduce the spread of COVID-19 have had and continue to have a significant impact on the way people live, work and interact and have significantly impacted and will likely continue to impact economic activity around the world.</w:t>
      </w:r>
    </w:p>
    <w:p>
      <w:pPr>
        <w:spacing w:after="0" w:line="29"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During the COVID-19 pandemic, many of the markets in which we produce and sell our products have experienced unprecedented “lockdowns” or “stay at home” orders, and other government mandated restrictions to try and reduce the spread of COVID-19. The situation continues to be uncertain and varies by market as infection rates of COVID-19 remain high in many regions throughout the world including Canada, Portugal, and Germany where we either have production facilities, sales efforts, or both. Because our products have been deemed essential products, we have been able to continue operating our business. The health, safety and well-being of our employees has been and remains our first priority. Many of our employees continue to work from home. In those instances where our employees cannot perform their work at home, such as in our production facilities, we have implemented additional health and safety measures and social distancing protocols, consistent with government recommendations and requirements, to help to ensure their safety.</w:t>
      </w:r>
    </w:p>
    <w:p>
      <w:pPr>
        <w:spacing w:after="0" w:line="7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During the comparable quarter in 2020, and as a result of the COVID-19 pandemic, we saw an increase in demand for our cannabis products driven by consumer pantry-loading and increased consumption of our products due to concerns about future availability of products and or concerns about whether retail locations that sell our products would remain open. During the quarter ended March 31, 2021 some of our key markets, including Canada and Germany, experienced severe restrictions on patients and consumers and the retail locations at which patients and consumers purchase our products. As a result of these restrictions we believe demand for our products was subdued during the period. Despite the COVID-19 pandemic, we have been able to keep up with fluctuating patient and consumer demand for our products and have continued to introduce new products in the market.</w:t>
      </w:r>
    </w:p>
    <w:p>
      <w:pPr>
        <w:spacing w:after="0" w:line="70" w:lineRule="exact"/>
        <w:rPr>
          <w:sz w:val="20"/>
          <w:szCs w:val="20"/>
          <w:color w:val="auto"/>
        </w:rPr>
      </w:pPr>
    </w:p>
    <w:p>
      <w:pPr>
        <w:ind w:right="220" w:firstLine="510"/>
        <w:spacing w:after="0" w:line="271" w:lineRule="auto"/>
        <w:rPr>
          <w:sz w:val="20"/>
          <w:szCs w:val="20"/>
          <w:color w:val="auto"/>
        </w:rPr>
      </w:pPr>
      <w:r>
        <w:rPr>
          <w:rFonts w:ascii="Arial" w:cs="Arial" w:eastAsia="Arial" w:hAnsi="Arial"/>
          <w:sz w:val="17"/>
          <w:szCs w:val="17"/>
          <w:color w:val="auto"/>
        </w:rPr>
        <w:t>The COVID-19 pandemic and the various government steps to reduce the spread have impacted and may continue to impact our patients’ and consumers’ ability to access and purchase our products. These steps may also inhibit our ability to produce products at our various facilities. While we believe consumer demand for our products remains strong, due to the uncertainties surrounding the COVID-19 and its impact on our patients’ and consumers’ ability to access and purchase our products, as well the uncertainties about whether we will be able to continue operations at our productions facilities, there remains commensurate uncertainty about the overall impact the pandemic may have on our business in the future. We generally expect COVID-19 to continue to impact patient and consumer behavior and access to products and present uncertainty in the markets in which we do business. Despite the uncertainty presented by COVID-19 our current forecasts show our cash balances will be sufficient to satisfy our working capital needs, debt payments, and general liquidity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Other companies, including companies in our industry, may calculate key operating metrics with similar names differently which may reduce their usefulness as comparative measures.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is expressed in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Kilograms equivalents sold - cannabis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Kilograms harvested - cannabis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Thousand units sold - hemp products</w:t>
            </w: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Average net selling price per gram - cannabis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Average cost per gram sold - cannabis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Average gross selling price per unit - hemp products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647"/>
        </w:trPr>
        <w:tc>
          <w:tcPr>
            <w:tcW w:w="4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right="60" w:firstLine="510"/>
        <w:spacing w:after="0" w:line="257" w:lineRule="auto"/>
        <w:rPr>
          <w:sz w:val="20"/>
          <w:szCs w:val="20"/>
          <w:color w:val="auto"/>
        </w:rPr>
      </w:pPr>
      <w:r>
        <w:rPr>
          <w:rFonts w:ascii="Arial" w:cs="Arial" w:eastAsia="Arial" w:hAnsi="Arial"/>
          <w:sz w:val="18"/>
          <w:szCs w:val="18"/>
          <w:b w:val="1"/>
          <w:bCs w:val="1"/>
          <w:i w:val="1"/>
          <w:iCs w:val="1"/>
          <w:color w:val="auto"/>
        </w:rPr>
        <w:t xml:space="preserve">Kilogram equivalents sold – cannabis. </w:t>
      </w:r>
      <w:r>
        <w:rPr>
          <w:rFonts w:ascii="Arial" w:cs="Arial" w:eastAsia="Arial" w:hAnsi="Arial"/>
          <w:sz w:val="18"/>
          <w:szCs w:val="18"/>
          <w:color w:val="auto"/>
        </w:rPr>
        <w:t>We sell two product categories: (1) dried cannabis, which includes whole flower, ground flower and pre-roll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(2) cannabis extracts, which includes full-spectrum and purified oil drops and capsules, and product formats infused with cannabis extract such as edibles and vape products. Cannabis extracts are converted to flower equivalent grams based on the type and number of dried cannabis grams required to produce extracted cannabis in the form of cannabis oils infused into the final product. This conversion ratio is based on the amount of active cannabinoids in the products rather than the volume of the final product.</w:t>
      </w:r>
    </w:p>
    <w:p>
      <w:pPr>
        <w:spacing w:after="0" w:line="80"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Total kilogram equivalents sold increased 8% for the three months ended March 31, 2021 from the comparable period in 2020 primarily due to growth in our international medical sales. We expect continued increases in kilogram equivalents grams sold as we generate sales growth in our key cannabis businesses; adult-use and international medical.</w:t>
      </w:r>
    </w:p>
    <w:p>
      <w:pPr>
        <w:spacing w:after="0" w:line="7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b w:val="1"/>
          <w:bCs w:val="1"/>
          <w:i w:val="1"/>
          <w:iCs w:val="1"/>
          <w:color w:val="auto"/>
        </w:rPr>
        <w:t>Kilograms harvested – cannabis</w:t>
      </w:r>
      <w:r>
        <w:rPr>
          <w:rFonts w:ascii="Arial" w:cs="Arial" w:eastAsia="Arial" w:hAnsi="Arial"/>
          <w:sz w:val="18"/>
          <w:szCs w:val="18"/>
          <w:color w:val="auto"/>
        </w:rPr>
        <w:t>. Kilograms harvested represents the weight of dried whole plants post-harvest, drying and curing. This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 is used to measure the production efficiency of our facilities and production team.</w:t>
      </w:r>
    </w:p>
    <w:p>
      <w:pPr>
        <w:spacing w:after="0" w:line="62"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Total kilograms harvested increased by 15% for the three months ended March 31, 2021 from the comparable periods in 2020 primarily due to additional operating capacity at our Portugal facility.</w:t>
      </w:r>
    </w:p>
    <w:p>
      <w:pPr>
        <w:spacing w:after="0" w:line="6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 xml:space="preserve">Thousand units sold – hemp products. </w:t>
      </w:r>
      <w:r>
        <w:rPr>
          <w:rFonts w:ascii="Arial" w:cs="Arial" w:eastAsia="Arial" w:hAnsi="Arial"/>
          <w:sz w:val="18"/>
          <w:szCs w:val="18"/>
          <w:color w:val="auto"/>
        </w:rPr>
        <w:t>Our subsidiary, FHF Holdings Ltd. (“Manitoba Harvest”) sells hemp products such as shelled hemp seed,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ground hemp, broad spectrum hemp extract containing CBD and hemp seed oil that are tracked by individual units.</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Hemp products sold for the three months ended March 31, 2021 increased 30% from the comparable period in 2020. The increase was as a result of our large format retail customers shifting to larger size private label offerings, as well as increased promotional activity within the Club and US Retail channels. Looking forward, the number of units sold is likely to continue to increase as sales volumes rise.</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b w:val="1"/>
          <w:bCs w:val="1"/>
          <w:i w:val="1"/>
          <w:iCs w:val="1"/>
          <w:color w:val="auto"/>
        </w:rPr>
        <w:t>Average net selling price per gram – cannabis</w:t>
      </w:r>
      <w:r>
        <w:rPr>
          <w:rFonts w:ascii="Arial" w:cs="Arial" w:eastAsia="Arial" w:hAnsi="Arial"/>
          <w:sz w:val="18"/>
          <w:szCs w:val="18"/>
          <w:color w:val="auto"/>
        </w:rPr>
        <w:t>. The average net selling price per gram is an indicator of our pricing trends over time on a 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basis and is impacted by sales mix, channel and product type. We exclude revenue associated with hemp products, accessories, and freight sales, to arrive at cannabis-related revenue. We calculate average net selling price per gram by dividing total cannabis-related revenue by total kilogram equivalents sold. As Cannabis 2.0 products become a larger percentage of our mix, and because Cannabis 2.0 products include more value-added activities and the cannabis inputs will be a lower portion of the overall cost and value of the products, we may change this operating metric from per gram to per unit measures in the future.</w:t>
      </w:r>
    </w:p>
    <w:p>
      <w:pPr>
        <w:spacing w:after="0" w:line="84"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average net selling price per gram decreased by 5% for the three months ended March 31, 2021 from the comparable period in 2020 due to increased competitive pricing in the adult-use segment. Generally, we expect our average net selling price to increase over time as our international medical sales make up a greater percentage of our total sales and we continue to introduce higher-priced Cannabis 2.0 products in our adult-use business.</w:t>
      </w:r>
    </w:p>
    <w:p>
      <w:pPr>
        <w:spacing w:after="0" w:line="54"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b w:val="1"/>
          <w:bCs w:val="1"/>
          <w:i w:val="1"/>
          <w:iCs w:val="1"/>
          <w:color w:val="auto"/>
        </w:rPr>
        <w:t>Average cost per gram sold – cannabis</w:t>
      </w:r>
      <w:r>
        <w:rPr>
          <w:rFonts w:ascii="Arial" w:cs="Arial" w:eastAsia="Arial" w:hAnsi="Arial"/>
          <w:sz w:val="16"/>
          <w:szCs w:val="16"/>
          <w:color w:val="auto"/>
        </w:rPr>
        <w:t>. The average cost per gram sold measures the efficiency of our cultivation, manufacturing and fulfillment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We exclude hemp products, inventory valuation adjustments and the cost of sales related to accessories from total cost of sales to arrive at cannabis-related cost of sales. Cannabis-related cost of sales is then divided by total kilogram equivalents sold to calculate the average cost per gram sold. As Cannabis 2.0 products become a larger percentage of our mix, and because the Cannabis 2.0 products include other input costs that can be a greater portion of the unit cost than the cannabis ingredients, we may change this operating metric from per gram to per unit measures in the future.</w:t>
      </w:r>
    </w:p>
    <w:p>
      <w:pPr>
        <w:spacing w:after="0" w:line="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average cost per gram sold decreased by 10% for the three months ended March 31, 2021 from the comparable period in 2020 primarily as a result of reduced cost structures at our facilities due to our cost cutting efforts during 2020, better throughput and cost absorption at our High Park Holdings processing facility, and partially due to the availability of low cost product from third parties. We expect to see continued improvement in our cost per gram metric as we continue to leverage our cost reductions, including the closure of High Park Gardens which was a relatively high cost facility to operate, and identify additional ways to optimize our production activities.</w:t>
      </w:r>
    </w:p>
    <w:p>
      <w:pPr>
        <w:spacing w:after="0" w:line="8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b w:val="1"/>
          <w:bCs w:val="1"/>
          <w:i w:val="1"/>
          <w:iCs w:val="1"/>
          <w:color w:val="auto"/>
        </w:rPr>
        <w:t>Average gross selling price per unit – hemp products</w:t>
      </w:r>
      <w:r>
        <w:rPr>
          <w:rFonts w:ascii="Arial" w:cs="Arial" w:eastAsia="Arial" w:hAnsi="Arial"/>
          <w:sz w:val="18"/>
          <w:szCs w:val="18"/>
          <w:color w:val="auto"/>
        </w:rPr>
        <w:t>. The average gross selling price per unit is an indicator of our pricing trends over time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basis for our hemp products and is impacted by sales mix, channel and product type. We exclude revenue associated with cannabis, accessories and freight sales to arrive at hemp product-related revenue. We calculate average gross selling price per unit by dividing hemp product-related revenue by units sold.</w:t>
      </w:r>
    </w:p>
    <w:p>
      <w:pPr>
        <w:spacing w:after="0" w:line="7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average gross selling price per unit decreased by 40% during the three months ended March 31, 2021 from the comparable period in 2020 primarily due to increased sales of lower priced private label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There were no material changes to our critical accounting policies and estimates from the information provided in “Management’s Discussion and Analysis of Financial Condition and Results of Operations,” included in our Annual Report on Form 10-K for the year ended December 31, 2020.</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data is expressed in thousands of United States dollars, unless otherwise noted.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Statements of Net Loss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Litigation settlement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(73,310)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Foreign exchange (gain) loss,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263,201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expenses,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expenses,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(1,516)</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(341,212)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income tax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(340,955)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(6,283)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6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27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(as a percentage of revenue)</w:t>
            </w: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72%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53%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7%</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equity method investments</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Litigation settlement</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94%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Foreign exchange (gain) loss, net</w:t>
            </w:r>
          </w:p>
        </w:tc>
        <w:tc>
          <w:tcPr>
            <w:tcW w:w="106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548%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Interest expenses, net</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expenses, net</w:t>
            </w: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60"/>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(711)%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Current income tax expenses</w:t>
            </w:r>
          </w:p>
        </w:tc>
        <w:tc>
          <w:tcPr>
            <w:tcW w:w="106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(710)%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48"/>
        </w:trPr>
        <w:tc>
          <w:tcPr>
            <w:tcW w:w="7520" w:type="dxa"/>
            <w:vAlign w:val="bottom"/>
          </w:tcPr>
          <w:p>
            <w:pPr>
              <w:ind w:left="5540"/>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500" w:right="60" w:hanging="492"/>
        <w:spacing w:after="0" w:line="277" w:lineRule="auto"/>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We report our operating results in two segments: (i) Cannabis (licensed), and (ii) Hemp (unlicensed). The business segments reflect how our operations are managed, how resources are allocated, how operating performance is evaluated by senior management and the structure of our internal financial reporting. We also evaluate revenue by product channel.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channel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80"/>
              <w:spacing w:after="0"/>
              <w:rPr>
                <w:sz w:val="20"/>
                <w:szCs w:val="20"/>
                <w:color w:val="auto"/>
              </w:rPr>
            </w:pPr>
            <w:r>
              <w:rPr>
                <w:rFonts w:ascii="Arial" w:cs="Arial" w:eastAsia="Arial" w:hAnsi="Arial"/>
                <w:sz w:val="18"/>
                <w:szCs w:val="18"/>
                <w:color w:val="auto"/>
              </w:rPr>
              <w:t>Adult-use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19,440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20,919</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(1,479)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Canada - medical</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780" w:type="dxa"/>
            <w:vAlign w:val="bottom"/>
          </w:tcPr>
          <w:p>
            <w:pPr>
              <w:ind w:left="380"/>
              <w:spacing w:after="0"/>
              <w:rPr>
                <w:sz w:val="20"/>
                <w:szCs w:val="20"/>
                <w:color w:val="auto"/>
              </w:rPr>
            </w:pPr>
            <w:r>
              <w:rPr>
                <w:rFonts w:ascii="Arial" w:cs="Arial" w:eastAsia="Arial" w:hAnsi="Arial"/>
                <w:sz w:val="18"/>
                <w:szCs w:val="18"/>
                <w:color w:val="auto"/>
              </w:rPr>
              <w:t>International - medical</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2,794</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Bulk</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 Cannabis revenue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Hemp</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24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48,021</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52,102</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(4,081)</w:t>
            </w:r>
          </w:p>
        </w:tc>
        <w:tc>
          <w:tcPr>
            <w:tcW w:w="240" w:type="dxa"/>
            <w:vAlign w:val="bottom"/>
            <w:vMerge w:val="continue"/>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Excise duties included in revenue</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vMerge w:val="restart"/>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vMerge w:val="restart"/>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2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decreased by 8% to $48.0 million for the three months ended March 31, 2021 compared to revenue of $52.1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reduction was primarily driven by reduced revenue from the hemp category as a result of delays in the switch from branded product to private label product with certain customers during the quarter and reduced promotional activity in 2021 versus 2020. Adult-use sales and Canada medical sales were negatively impacted by COVID related lockdowns throughout Canada during the quarter, while international medical sales increased as we expanded our customer base in existing and new markets.</w:t>
      </w:r>
    </w:p>
    <w:p>
      <w:pPr>
        <w:spacing w:after="0" w:line="80"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i w:val="1"/>
          <w:iCs w:val="1"/>
          <w:color w:val="auto"/>
        </w:rPr>
        <w:t xml:space="preserve">Cannabis. </w:t>
      </w:r>
      <w:r>
        <w:rPr>
          <w:rFonts w:ascii="Arial" w:cs="Arial" w:eastAsia="Arial" w:hAnsi="Arial"/>
          <w:sz w:val="18"/>
          <w:szCs w:val="18"/>
          <w:color w:val="auto"/>
        </w:rPr>
        <w:t>Cannabis segment revenue increased 2% to $31.4 million for the three months ended March 31, 2021 compared to $30.8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 The increase was primarily driven by increased sales in our international medical markets which was partially offset by reduction in the adult-use and Canada medical categories.</w:t>
      </w:r>
    </w:p>
    <w:p>
      <w:pPr>
        <w:spacing w:after="0" w:line="7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i w:val="1"/>
          <w:iCs w:val="1"/>
          <w:color w:val="auto"/>
        </w:rPr>
        <w:t xml:space="preserve">Hemp. </w:t>
      </w:r>
      <w:r>
        <w:rPr>
          <w:rFonts w:ascii="Arial" w:cs="Arial" w:eastAsia="Arial" w:hAnsi="Arial"/>
          <w:sz w:val="18"/>
          <w:szCs w:val="18"/>
          <w:color w:val="auto"/>
        </w:rPr>
        <w:t>Hemp segment revenue decreased 22% to $16.6 million for the three months ended March 31, 2021 compared to $21.3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decrease was primarily due to delays in the switch from branded product to private label product with certain customers during the quarter.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category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Dried cannabis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Cannabis extracts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Hemp products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(4,691)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Accessories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48,021</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24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Excise duties included in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4,972</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also analyze our sales mix by dried cannabis, extracts, hemp and accessories. Cannabis as a whole represented 65% of total revenue for the three months ended March 31, 2021 versus 59% for the comparable period in 2020. Dried cannabis represented 67% of cannabis revenue for the three months ended March 31, 2021 compared to 64% for the comparable period in 2020. Cannabis extracts represented 33% of cannabis revenue for the three months ended March 31, 2021 compared to 34% for the comparable period in 2020. Hemp products represented 35% of total revenue for the three months ended March 31, 2021 compared to 41% for the comparable period in 2020. In the future, we expect our cannabis products to grow at a faster rate and make up a larger portion of sales than our Hemp products as we generally see higher growth rate opportunities in international medical cannabis markets.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Gross margin by product category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Cannabis</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Hemp</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costs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Inventory valuation adjustments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Gross profit (loss)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Inventory valuation adjustments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 xml:space="preserve">Gross profit, excluding inventory valuation adjustments </w:t>
            </w:r>
            <w:r>
              <w:rPr>
                <w:rFonts w:ascii="Arial" w:cs="Arial" w:eastAsia="Arial" w:hAnsi="Arial"/>
                <w:sz w:val="14"/>
                <w:szCs w:val="14"/>
                <w:color w:val="auto"/>
                <w:w w:val="96"/>
              </w:rPr>
              <w:t>(1)</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11,063</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6,173</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8,741</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w w:val="97"/>
              </w:rPr>
              <w:t>Gross margin, excluding inventory valuation adjustments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6"/>
                <w:szCs w:val="1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6"/>
                <w:szCs w:val="16"/>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right="80" w:hanging="372"/>
        <w:spacing w:after="0" w:line="342" w:lineRule="auto"/>
        <w:tabs>
          <w:tab w:leader="none" w:pos="38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(excluding inventory valuation adjustments) and gross margin percentage (excluding inventory valuation adjustments) are non-GAAP financial measures. For information on how we define and calculate these non-GAAP financial measures, refer to “Non-GAAP Financial Measures.”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 – Cannabis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1"/>
              </w:rPr>
              <w:t>2021 vs 2020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3"/>
            <w:vMerge w:val="restart"/>
          </w:tcPr>
          <w:p>
            <w:pPr>
              <w:jc w:val="center"/>
              <w:ind w:left="375"/>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3"/>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product costs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Cost of sales - inventory valuation adjustments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(1,527)</w:t>
            </w: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Cannabis cost of sales</w:t>
            </w: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27,850</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tcPr>
          <w:p>
            <w:pPr>
              <w:spacing w:after="0"/>
              <w:rPr>
                <w:sz w:val="20"/>
                <w:szCs w:val="20"/>
                <w:color w:val="auto"/>
              </w:rPr>
            </w:pPr>
            <w:r>
              <w:rPr>
                <w:rFonts w:ascii="Arial" w:cs="Arial" w:eastAsia="Arial" w:hAnsi="Arial"/>
                <w:sz w:val="18"/>
                <w:szCs w:val="18"/>
                <w:color w:val="auto"/>
              </w:rPr>
              <w:t>Gross profit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9,343</w:t>
            </w:r>
          </w:p>
        </w:tc>
        <w:tc>
          <w:tcPr>
            <w:tcW w:w="300" w:type="dxa"/>
            <w:vAlign w:val="bottom"/>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2,926</w:t>
            </w:r>
          </w:p>
        </w:tc>
        <w:tc>
          <w:tcPr>
            <w:tcW w:w="220" w:type="dxa"/>
            <w:vAlign w:val="bottom"/>
          </w:tcPr>
          <w:p>
            <w:pPr>
              <w:spacing w:after="0"/>
              <w:rPr>
                <w:sz w:val="24"/>
                <w:szCs w:val="24"/>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6,417</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Gross profit (excluding inventory valuation adjustments)</w:t>
            </w:r>
            <w:r>
              <w:rPr>
                <w:rFonts w:ascii="Arial" w:cs="Arial" w:eastAsia="Arial" w:hAnsi="Arial"/>
                <w:sz w:val="15"/>
                <w:szCs w:val="15"/>
                <w:color w:val="auto"/>
              </w:rPr>
              <w:t>(1)</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w w:val="94"/>
              </w:rPr>
              <w:t>Gross margin percentage (excluding inventory valuation adjustments)</w:t>
            </w:r>
            <w:r>
              <w:rPr>
                <w:rFonts w:ascii="Arial" w:cs="Arial" w:eastAsia="Arial" w:hAnsi="Arial"/>
                <w:sz w:val="15"/>
                <w:szCs w:val="15"/>
                <w:color w:val="auto"/>
                <w:w w:val="94"/>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80" w:hanging="372"/>
        <w:spacing w:after="0" w:line="342" w:lineRule="auto"/>
        <w:tabs>
          <w:tab w:leader="none" w:pos="38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(excluding inventory valuation adjustments) and gross margin percentage (excluding inventory valuation adjustments) are non-GAAP financial measures. For information on how we define and calculate these non-GAAP financial measures, refer to “Non-GAAP Financial Measures.”</w:t>
      </w:r>
    </w:p>
    <w:p>
      <w:pPr>
        <w:spacing w:after="0" w:line="29" w:lineRule="exact"/>
        <w:rPr>
          <w:sz w:val="20"/>
          <w:szCs w:val="20"/>
          <w:color w:val="auto"/>
        </w:rPr>
      </w:pPr>
    </w:p>
    <w:p>
      <w:pPr>
        <w:ind w:right="460" w:firstLine="509"/>
        <w:spacing w:after="0" w:line="301"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decreased for the three months ended March 31, 2021 from the comparable period in 2020 mainly due to improved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operational efficiencies as we realized the benefits of cost reductions implemented throughout our supply chain during 2020. Additionally, we have improved our supply and demand planning efforts which resulted in reduced inventory adjustments versus the comparable period. We incur inventory valuation adjustments generally due to the write off of aged product or products that are unlikely to be sold.</w:t>
      </w:r>
    </w:p>
    <w:p>
      <w:pPr>
        <w:spacing w:after="0" w:line="63" w:lineRule="exact"/>
        <w:rPr>
          <w:sz w:val="20"/>
          <w:szCs w:val="20"/>
          <w:color w:val="auto"/>
        </w:rPr>
      </w:pPr>
    </w:p>
    <w:p>
      <w:pPr>
        <w:ind w:right="480" w:firstLine="509"/>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of 30% for the three months ended March 31, 2021 increased from the comparable period in 2020 due to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valuation adjustments and overall improvements in our cost of production related to our cost cutting efforts. Excluding inventory valuation adjustments, gross margin increased to 35%, from 20% in 2020. The improvement resulted from reduced costs, increased sales in higher margin international medical markets, and the introduction of 2.0 products in the adult use market.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 of sales and gross margin – Hemp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4"/>
                <w:szCs w:val="14"/>
                <w:color w:val="auto"/>
              </w:rPr>
            </w:pPr>
          </w:p>
        </w:tc>
        <w:tc>
          <w:tcPr>
            <w:tcW w:w="150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1"/>
              </w:rPr>
              <w:t>2021 vs 2020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3"/>
            <w:vMerge w:val="restart"/>
          </w:tcPr>
          <w:p>
            <w:pPr>
              <w:jc w:val="center"/>
              <w:ind w:left="375"/>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6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3"/>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product costs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Cost of sales - inventory valuation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Hemp cost of sales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12,475</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3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4,160</w:t>
            </w:r>
          </w:p>
        </w:tc>
        <w:tc>
          <w:tcPr>
            <w:tcW w:w="220" w:type="dxa"/>
            <w:vAlign w:val="bottom"/>
          </w:tcPr>
          <w:p>
            <w:pPr>
              <w:spacing w:after="0"/>
              <w:rPr>
                <w:sz w:val="24"/>
                <w:szCs w:val="24"/>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7,944</w:t>
            </w:r>
          </w:p>
        </w:tc>
        <w:tc>
          <w:tcPr>
            <w:tcW w:w="30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(3,784)</w:t>
            </w:r>
          </w:p>
        </w:tc>
        <w:tc>
          <w:tcPr>
            <w:tcW w:w="3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Gross profit (excluding inventory valuation adjustments) </w:t>
            </w:r>
            <w:r>
              <w:rPr>
                <w:rFonts w:ascii="Arial" w:cs="Arial" w:eastAsia="Arial" w:hAnsi="Arial"/>
                <w:sz w:val="15"/>
                <w:szCs w:val="15"/>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(4,239)</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Gross margin percentage (excluding inventory valuation adjustments) </w:t>
            </w:r>
            <w:r>
              <w:rPr>
                <w:rFonts w:ascii="Arial" w:cs="Arial" w:eastAsia="Arial" w:hAnsi="Arial"/>
                <w:sz w:val="15"/>
                <w:szCs w:val="15"/>
                <w:color w:val="auto"/>
                <w:w w:val="96"/>
              </w:rPr>
              <w:t>(1)</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280" w:hanging="372"/>
        <w:spacing w:after="0" w:line="263" w:lineRule="auto"/>
        <w:tabs>
          <w:tab w:leader="none" w:pos="3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Gross profit (excluding inventory valuation adjustments and purchase accounting step-up) and gross margin percentage (excluding inventory valuation adjustments and purchase accounting step-up) are non-GAAP financial measures. For information on how we define and calculate these non-GAAP financial measures, refer to “Non-GAAP Financial Measures.”</w:t>
      </w:r>
    </w:p>
    <w:p>
      <w:pPr>
        <w:spacing w:after="0" w:line="8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for the three months ended March 31, 2021 from the comparable period in 2020 primarily due to lower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and a shift to larger format private label products for certain customers.</w:t>
      </w:r>
    </w:p>
    <w:p>
      <w:pPr>
        <w:spacing w:after="0" w:line="89"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of 25% for the three months ended March 31, 2021 declined from 37% in the comparable period in 2020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sales of lower margin private label products versus higher margin branded products and lower absorption rates in our facilities due to reduced production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6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566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(8,587)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566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(29,839)</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r>
      <w:tr>
        <w:trPr>
          <w:trHeight w:val="230"/>
        </w:trPr>
        <w:tc>
          <w:tcPr>
            <w:tcW w:w="5660" w:type="dxa"/>
            <w:vAlign w:val="bottom"/>
          </w:tcPr>
          <w:p>
            <w:pPr>
              <w:spacing w:after="0"/>
              <w:rPr>
                <w:sz w:val="20"/>
                <w:szCs w:val="20"/>
                <w:color w:val="auto"/>
              </w:rPr>
            </w:pPr>
            <w:r>
              <w:rPr>
                <w:rFonts w:ascii="Arial" w:cs="Arial" w:eastAsia="Arial" w:hAnsi="Arial"/>
                <w:sz w:val="16"/>
                <w:szCs w:val="16"/>
                <w:color w:val="auto"/>
              </w:rPr>
              <w:t>Loss from equity method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Litigation settlement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86,813</w:t>
            </w:r>
          </w:p>
        </w:tc>
        <w:tc>
          <w:tcPr>
            <w:tcW w:w="3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82,120</w:t>
            </w:r>
          </w:p>
        </w:tc>
        <w:tc>
          <w:tcPr>
            <w:tcW w:w="300" w:type="dxa"/>
            <w:vAlign w:val="bottom"/>
          </w:tcPr>
          <w:p>
            <w:pPr>
              <w:spacing w:after="0"/>
              <w:rPr>
                <w:sz w:val="22"/>
                <w:szCs w:val="22"/>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4,693</w:t>
            </w:r>
          </w:p>
        </w:tc>
        <w:tc>
          <w:tcPr>
            <w:tcW w:w="24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a percentage of revenue)</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Loss from equity method investments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6"/>
                <w:szCs w:val="16"/>
                <w:color w:val="auto"/>
              </w:rPr>
              <w:t>Litigation settlement</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17"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decreased for the three months ended March 31, 2021 from the comparable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2020 generally due to the realization of cost savings initiatives implemented in 2020 designed to better align our business with market conditions.</w:t>
      </w:r>
    </w:p>
    <w:p>
      <w:pPr>
        <w:spacing w:after="0" w:line="16"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for the three months ended March 31, 2021 compared to 2020 partially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 reductions and our efforts to optimize trade and market spend.</w:t>
      </w:r>
    </w:p>
    <w:p>
      <w:pPr>
        <w:spacing w:after="0" w:line="62"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was relatively flat for the three months ended March 31, 2021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2020, primarily because asset purchases in Portugal were not yet put into use.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40" w:firstLine="509"/>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decreased for the three months ended March 31, 2021 from the comparable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in 2020 primarily due to rightsizing and optimizing the departmental structure and focusing on more near term innovations.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Impairment of assets. </w:t>
      </w:r>
      <w:r>
        <w:rPr>
          <w:rFonts w:ascii="Arial" w:cs="Arial" w:eastAsia="Arial" w:hAnsi="Arial"/>
          <w:sz w:val="18"/>
          <w:szCs w:val="18"/>
          <w:color w:val="auto"/>
        </w:rPr>
        <w:t>No impairments were recorded for the three months ended March 31, 2021.</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i w:val="1"/>
          <w:iCs w:val="1"/>
          <w:color w:val="auto"/>
        </w:rPr>
        <w:t xml:space="preserve">Loss from equity method investments. </w:t>
      </w:r>
      <w:r>
        <w:rPr>
          <w:rFonts w:ascii="Arial" w:cs="Arial" w:eastAsia="Arial" w:hAnsi="Arial"/>
          <w:sz w:val="18"/>
          <w:szCs w:val="18"/>
          <w:color w:val="auto"/>
        </w:rPr>
        <w:t>Losses from equity method investments for the three months ended March 31, 2021 remained flat and were</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compared to $1.7 million for the comparable 2020 period.</w:t>
      </w:r>
    </w:p>
    <w:p>
      <w:pPr>
        <w:spacing w:after="0" w:line="6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i w:val="1"/>
          <w:iCs w:val="1"/>
          <w:color w:val="auto"/>
        </w:rPr>
        <w:t xml:space="preserve">Litigation settlement. </w:t>
      </w:r>
      <w:r>
        <w:rPr>
          <w:rFonts w:ascii="Arial" w:cs="Arial" w:eastAsia="Arial" w:hAnsi="Arial"/>
          <w:sz w:val="18"/>
          <w:szCs w:val="18"/>
          <w:color w:val="auto"/>
        </w:rPr>
        <w:t>Litigation settlement for the three months ended March 31, 2021 was due to a one-time settlement related to the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purchase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4"/>
                <w:szCs w:val="14"/>
                <w:color w:val="auto"/>
              </w:rPr>
            </w:pPr>
          </w:p>
        </w:tc>
        <w:tc>
          <w:tcPr>
            <w:tcW w:w="140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1"/>
              </w:rPr>
              <w:t>2021 vs 2020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(gain) loss,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263,201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71,978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191,223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(2,230)</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(6,166)</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N/A</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17"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i w:val="1"/>
          <w:iCs w:val="1"/>
          <w:color w:val="auto"/>
        </w:rPr>
        <w:t xml:space="preserve">Foreign exchange (gain) loss, net. </w:t>
      </w:r>
      <w:r>
        <w:rPr>
          <w:rFonts w:ascii="Arial" w:cs="Arial" w:eastAsia="Arial" w:hAnsi="Arial"/>
          <w:sz w:val="16"/>
          <w:szCs w:val="16"/>
          <w:color w:val="auto"/>
        </w:rPr>
        <w:t>The impact of foreign exchange for the three months ended March 31, 2021 was a gain of $0.7 million, versus a</w:t>
      </w:r>
      <w:r>
        <w:rPr>
          <w:rFonts w:ascii="Arial" w:cs="Arial" w:eastAsia="Arial" w:hAnsi="Arial"/>
          <w:sz w:val="16"/>
          <w:szCs w:val="16"/>
          <w:i w:val="1"/>
          <w:iCs w:val="1"/>
          <w:color w:val="auto"/>
        </w:rPr>
        <w:t xml:space="preserve"> </w:t>
      </w:r>
      <w:r>
        <w:rPr>
          <w:rFonts w:ascii="Arial" w:cs="Arial" w:eastAsia="Arial" w:hAnsi="Arial"/>
          <w:sz w:val="16"/>
          <w:szCs w:val="16"/>
          <w:color w:val="auto"/>
        </w:rPr>
        <w:t>loss of $28.1 million for the comparable period in 2020. Because a significant portion of our balances are in Canadian dollars, the strengthening of the Canadian dollar relative to the United States dollar in the first quarter of 2021 drove the gain compared to the loss in the comparative 2020 period.</w:t>
      </w:r>
    </w:p>
    <w:p>
      <w:pPr>
        <w:spacing w:after="0" w:line="41"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Due to the increase in the market price of our stock since the offering closed, and despite the exercise of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portion of the warrants, the fair value of the warrant liability increased by $191.2 million for the three months ended March 31, 2021 from the comparable 2020 period.</w:t>
      </w:r>
    </w:p>
    <w:p>
      <w:pPr>
        <w:spacing w:after="0" w:line="76"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for the three months ended March 31, 2021 was $6.9 million compared to $9.1 million for the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2020. The decrease was primarily attributable to the conversion of a portion of our convertible debt into equity in November 2020.</w:t>
      </w:r>
    </w:p>
    <w:p>
      <w:pPr>
        <w:spacing w:after="0" w:line="16" w:lineRule="exact"/>
        <w:rPr>
          <w:sz w:val="20"/>
          <w:szCs w:val="20"/>
          <w:color w:val="auto"/>
        </w:rPr>
      </w:pPr>
    </w:p>
    <w:p>
      <w:pPr>
        <w:ind w:right="640" w:firstLine="509"/>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in an income position for the three months ended March 31, 2021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2020, primarily due to unrealized gains on investments exceeding losses in 2021, and because we recognized $4.0 million of issuance costs in March 2020 associated with our registered offering.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Loss and Adjusted EBITDA </w:t>
      </w:r>
      <w:r>
        <w:rPr>
          <w:rFonts w:ascii="Arial" w:cs="Arial" w:eastAsia="Arial" w:hAnsi="Arial"/>
          <w:sz w:val="15"/>
          <w:szCs w:val="15"/>
          <w:b w:val="1"/>
          <w:bCs w:val="1"/>
          <w:i w:val="1"/>
          <w:iCs w:val="1"/>
          <w:color w:val="auto"/>
        </w:rPr>
        <w:t>(1)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Change</w:t>
            </w:r>
          </w:p>
        </w:tc>
        <w:tc>
          <w:tcPr>
            <w:tcW w:w="114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(184,123)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(156,832)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(6,283)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(18,152)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11,869</w:t>
            </w:r>
          </w:p>
        </w:tc>
        <w:tc>
          <w:tcPr>
            <w:tcW w:w="2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w:t>
            </w:r>
          </w:p>
        </w:tc>
      </w:tr>
    </w:tbl>
    <w:p>
      <w:pPr>
        <w:spacing w:after="0" w:line="201" w:lineRule="exact"/>
        <w:rPr>
          <w:sz w:val="20"/>
          <w:szCs w:val="20"/>
          <w:color w:val="auto"/>
        </w:rPr>
      </w:pPr>
    </w:p>
    <w:p>
      <w:pPr>
        <w:ind w:left="380" w:right="120" w:hanging="372"/>
        <w:spacing w:after="0" w:line="277" w:lineRule="auto"/>
        <w:tabs>
          <w:tab w:leader="none" w:pos="3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calculated Adjusted EBITDA, and a reconciliation of net loss to Adjusted EBITDA, refer to “Non-GAAP Financial Measures”.</w:t>
      </w:r>
    </w:p>
    <w:p>
      <w:pPr>
        <w:spacing w:after="0" w:line="76"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Net loss increased for the three months ended March 31, 2021 from the comparable period in 2020 primarily due to the impact of the change in the fair value of our warrant liability, the charge associated with our litigation settlement, and reduced sales and margin in our Hemp segment.</w:t>
      </w:r>
    </w:p>
    <w:p>
      <w:pPr>
        <w:spacing w:after="0" w:line="5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Adjusted earnings before interest, tax and depreciation (“Adjusted EBITDA”) increased for the three months ended March 31, 2021 from the comparable period in 2020 primarily due to cost reduction measures undertaken during 2020, and our ability to leverage sales growth with a reduced cost structure.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To supplement our financial statements, which are prepared and presented in accordance with United States generally accepted accounting principles (“GAAP”), we use certain measures, as described below, to understand and evaluate our operating performance. These measures, which may be different than similarly titled measures used by other companies, are presented to help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ind w:right="400"/>
        <w:spacing w:after="0" w:line="277" w:lineRule="auto"/>
        <w:rPr>
          <w:sz w:val="20"/>
          <w:szCs w:val="20"/>
          <w:color w:val="auto"/>
        </w:rPr>
      </w:pPr>
      <w:r>
        <w:rPr>
          <w:rFonts w:ascii="Arial" w:cs="Arial" w:eastAsia="Arial" w:hAnsi="Arial"/>
          <w:sz w:val="18"/>
          <w:szCs w:val="18"/>
          <w:color w:val="auto"/>
        </w:rPr>
        <w:t>overall understanding of our financial performance and should not be considered a substitute for, or superior to, the financial information prepared and presented in accordance with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 reconciliation: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(340,955)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(184,123)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valuation adjustments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Severance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expenses (1)</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equity method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Litigation settlement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263,201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71,978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 recoveries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income tax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20" w:hanging="372"/>
        <w:spacing w:after="0" w:line="255"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revised its Adjusted EBITDA reconciliation for the three months ended March 31, 2020 to reflect a correction in depreciation and amortization expense amount applied to this non-GAAP financial measures. Non-cash depreciation and amortization expenses includes depreciation expense related to both manufacturing and non-manufacturing assets. In the three months ended March 31, 2020 we incorrectly reported $3.6 million which excluded the portion of the depreciation expense related to the Company’s manufacturing assets. The corrected amount in Adjusted EBITDA reconciliation for the three months ended March 31, 2020 is $4.6 million and is correct as reported above within the three months ended March 31, 2020 results.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Adjusted EBITDA should not be considered in isolation from, or as a substitute for, net loss. There are a number of limitations related to the use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compared to net loss, the closest comparable GAAP measure. Adjusted EBITDA excludes:</w:t>
      </w:r>
    </w:p>
    <w:p>
      <w:pPr>
        <w:spacing w:after="0" w:line="211"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inventory valuation adjustments;</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Severance costs;</w:t>
      </w:r>
    </w:p>
    <w:p>
      <w:pPr>
        <w:spacing w:after="0" w:line="225"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depreciation and amortization expenses; which although these are non-cash charges, the assets being depreciated and amortized may have to be replaced in the future;</w:t>
      </w:r>
    </w:p>
    <w:p>
      <w:pPr>
        <w:spacing w:after="0" w:line="170"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impairment charges, as the charges are not expected to be a recurring business activity;</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costs;</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loss from equity method investments;</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settlement;</w:t>
      </w:r>
    </w:p>
    <w:p>
      <w:pPr>
        <w:spacing w:after="0" w:line="225" w:lineRule="exact"/>
        <w:rPr>
          <w:rFonts w:ascii="Arial" w:cs="Arial" w:eastAsia="Arial" w:hAnsi="Arial"/>
          <w:sz w:val="18"/>
          <w:szCs w:val="18"/>
          <w:color w:val="auto"/>
        </w:rPr>
      </w:pPr>
    </w:p>
    <w:p>
      <w:pPr>
        <w:ind w:left="1000" w:right="480" w:hanging="493"/>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Non-cash change in fair value of warrant liability;</w:t>
      </w:r>
    </w:p>
    <w:p>
      <w:pPr>
        <w:spacing w:after="0" w:line="225"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on disposal of property and equipment and other expenses, net, to reflect ongoing operating activities;</w:t>
      </w:r>
    </w:p>
    <w:p>
      <w:pPr>
        <w:spacing w:after="0" w:line="225"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(income) expenses, net includes acquisition related expenses, which vary significantly by transactions and are excluded to evaluate ongoing operating results;</w:t>
      </w:r>
    </w:p>
    <w:p>
      <w:pPr>
        <w:spacing w:after="0" w:line="170"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and deferred income tax expenses and recoveries, which could be a significant recurring expense or recovery in our business in the future and reduce or increase cash available to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(excluding inventory valuation adjustments)</w:t>
      </w:r>
    </w:p>
    <w:p>
      <w:pPr>
        <w:spacing w:after="0" w:line="131"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Gross profit (excluding inventory valuation adjustments) is a non-GAAP measure calculated in the cannabis segment. It is calculated as revenue less cost of sales, adjusted to add back inventory valuation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percentage (excluding inventory valuation adjustments)</w:t>
      </w:r>
    </w:p>
    <w:p>
      <w:pPr>
        <w:spacing w:after="0" w:line="13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Gross margin percentage (excluding inventory valuation adjustments) is a non-GAAP measure calculated in the cannabis segment. It is calculated as the gross profit (excluding inventory valuation adjustments), as described above, divided by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As of March 31, 2021, we had cash and cash equivalents of $416.3 million which were held for working capital and general corporate purposes. This represents an overall increase of $226.6 million since December 31, 2020. Our primary need for liquidity is to fund working capital requirements, capital expenditures, debt service obligations and for general corporate purposes. Our ability to fund operations and make planned capital expenditures and debt service obligations depends on future operating performance and cash flows, which are subject to prevailing economic conditions and financial, business and other factors.</w:t>
      </w:r>
    </w:p>
    <w:p>
      <w:pPr>
        <w:spacing w:after="0" w:line="80"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During the three months ended March 31, 2021, we issued 6,254,980 shares of Class 2 common stock for gross proceeds of approximately $159.2 million under our at-the-market equity offering program. In addition, 12,791,000 warrants were exercised for 12,791,000 shares of Class 2 common stock resulting in gross proceeds to us of approximately $76.2 million.</w:t>
      </w:r>
    </w:p>
    <w:p>
      <w:pPr>
        <w:spacing w:after="0" w:line="76"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warrants issued as part of the registered offering contain anti-dilution price protection features which, so long as the warrants remain outstanding, allow us to only issue up to $20.0 million in aggregate gross proceeds under our at-the-market offering program at prices less than the $5.95 per share exercise price of the warrants, and in no event more than $6.0 million per quarter, at prices below the $5.95 per share exercise price of the warrants, without triggering the price protection features.</w:t>
      </w:r>
    </w:p>
    <w:p>
      <w:pPr>
        <w:spacing w:after="0" w:line="79"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warrants are to be settled in registered shares, and the registration statement is required to be active, unless such shares may be subject to an applicable exemption from registration requirements. The holders, at their sole discretion, may elect to a cashless exercise, and be issued un-registered shares in accordance with Section 3(a)(9) of the 1933 Act. In the event we do not maintain an effective registration statement, we may be required to pay a daily cash penalty equal to 1% of the number of shares of Class 2 common stock due to be issued multiplied by any trading price of the Class 2 common stock between the exercise date and the share delivery date, as selected by the holder. Alternatively, we may deliver registered Class 2 common stock purchased in the open market. We may also be required to pay cash if we do not have sufficient authorized shares to deliver to the holders upon exercise, which could have a material impact to our business.</w:t>
      </w:r>
    </w:p>
    <w:p>
      <w:pPr>
        <w:spacing w:after="0" w:line="6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Due to uncertainties we may face in raising additional equity financing in the future, which may be further impacted by the economic downturn and unprecedented conditions due to COVID-19, there remains uncertainty what impact this may have on managements assumptions used to develop these forecasts. Given our cash position and current operating plan, management believes there is not significant doubt about the entity’s ability to continue as a going concern for the next twelve months.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major components of our Condensed Consolidated Statements of Cash Flows for the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(13,008)</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(54,031)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(18,119)</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234,081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159,786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w w:val="97"/>
              </w:rPr>
              <w:t>Effect of foreign currency translation on cash and cash equivalents</w:t>
            </w:r>
          </w:p>
        </w:tc>
        <w:tc>
          <w:tcPr>
            <w:tcW w:w="2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(10,437)</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226,668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540" w:type="dxa"/>
            <w:vAlign w:val="bottom"/>
            <w:vMerge w:val="restart"/>
          </w:tcPr>
          <w:p>
            <w:pPr>
              <w:jc w:val="right"/>
              <w:ind w:right="1910"/>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change in net cash used by operating activities primarily related to changes in working capital and changes in non-cash expenses, all of which are highly variable.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During the three months ended March 31, 2021 we did not have significant investing activities compared to the same period in 2020 a time during which we purchased property and equipment related to our expansion projects in Canada and Portugal.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change in net cash provided by financing activities during the three months ended March 31, 2021 relates to proceeds from our ATM equity offerings and the exercise of outstanding warrants.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cannabinoid supplier (“supplier”) to Tilray, and Tilray had been engaged in binding arbitration, which commenced in March 2020 and related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dispute between the parties. On April 29, 2021, the parties mutually agreed to settle this matter. Pursuant to a settlement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release, Tilray (i) paid $20.0 million in cash and $5.0 million in Class 2 Common Stock to the supplier on April 29, 2021, and (ii) agreed to pay either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 million in Class 2 Common Stock or $20.0 million in cash, depending on certain circumstances, to the supplier within nine months of the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in each case subject to certain upward adjustments based on the trading price and resale registration status of the Class 2 Common Stock. The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agreed to, among other things, withdraw from the arbitration proceeding and to release the other party from any and all claims arising out of or relating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arbitration or the supply agreement. As of March 31, 2021, the Company recorded the litigation settlement expense in its statement of net loss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to reflect the outcome of this settlement. The litigation liability is payable in a combination of cash and shares of the Company’s class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initial payments made on April 29, 2021 are reflected in accounts payable and the remaining future payment is reflected in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The Company also removed $59.7 million of purchase commitments (refer to Note 16) from its commitments and contingencies as of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16"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On April 25, 2021, the Company notified its senior secure credit facility lender that it intends to (i) terminate the commitments under the Senior Facility, and (ii) repay all outstanding loans and other obligations under the Senior Facility. On May 4, 2021, the Company repaid in full all outstanding indebtedness under its Senior Facility agreement. The Senior Facility and related security interests were terminated in conjunction with the repayment in full of $52.1 million (C$64 million) of principal, as well as accrued and unpaid interest and fees of $0.5 million (C$0.6 million), plus a prior notice prepayment fee of $1.1 million (C$1.3 million).</w:t>
      </w:r>
    </w:p>
    <w:p>
      <w:pPr>
        <w:spacing w:after="0" w:line="8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disclosed previously, on April 30, 2021 the Arrangement with Aphria was completed (refer to Note 1 for additional information regarding the Arrangement) and we paid the financial advisor transaction fee of $9.2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During the three months ended March 31, 2021, we reached a settlement and release agreement related to one of our supply contracts which resulted in the reduction of the total value of future commitments by $59.7 million. We do not believe the termination of this contract will have any negative impact on our ability to competitively source products required to conduct our business.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(remaining</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nine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2024</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months)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 commitments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17,359</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7"/>
              </w:rPr>
              <w:t>17,359</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“Part I, Item 1. Note 1 – Summary of Significant Accounting Policies” to our financial statements appearing elsewhere in this Quarterly Report on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Interest rate risk is the risk that the value or yield of available-for-sale debt securities may decline if interest rates decline or that the value of financial liabilities will increase if interest rates increase. Fluctuations in interest rates may impact the level of income and expense recorded on these financial instruments. A 1% change in the interest rate in effect on March 31, 2021 would not have a material effect on the convertible note financial liabilities as they bear interest at a fixed rate of 5% and are not publicly traded. The Senior Facility bears interest on the outstanding principal balance at an annual rate equal to the Canadian prime rate plus 8.05%. A hypothetical 1% increase in the Canadian prime rate would result in an increase of $0.1 million recorded in interest expense for the three months ended March 31, 2021.</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As of March 31, 2021, we held long-term equity investments at fair value and equity investments under the measurement alternative. These investment in equities were acquired as part of our strategic transactions. Accordingly, the changes in fair values of investment in equities measured at fair value or under the measurement alternative are recognized through other expense (income), net in the statements of net loss and comprehensive loss. Because of the uncertainty surrounding the COVID-19 outbreak, there is increased risk of declines in fair values of our equity investments if conditions have not been significantly improved and global stock markets have not recovered from recent declines. Based on the fair value of investment in equities held as of March 31, 2021, a hypothetical decrease of 10% in the prices for these companies would reduce the fair values of the investments and result in unrealized loss recorded in other expense (income), net by $1.1 million. Similarly, based on the fair value of our warrant liability as of March 31, 2021, a hypothetical increase of 10% in the price for our common stock would increase the change in fair value of warrant liability by $12.3 million.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condensed consolidated financial statements are expressed in United States dollars. However, a significant portion of our business and assets and liabilities are denominated in a variety of currencies, the most significant of which are the Canadian dollar and the Euro. As a result, we are exposed to foreign currency transaction and translation gains and losses. The statements of net loss and comprehensive loss and statements of cash flows are translated to USD by applying the average foreign exchange rate in effect during the reporting period. Assets and liabilities are translated into US dollars using the exchange rate in effect at the balance sheet date. Appreciating foreign currencies relative to the United States dollar will positively impact operating income and net earnings, and increase the value of assets and liabilities, while depreciating foreign currencies relative to the United States dollar will negatively impact operating income and net earnings and reduce the value of assets and liabilities.</w:t>
      </w:r>
    </w:p>
    <w:p>
      <w:pPr>
        <w:spacing w:after="0" w:line="83"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A 10% change in the exchange rates for the Canadian dollar would affect the carrying value of net assets by approximately $47.2 million as of March 31, 2021, with a corresponding impact to accumulated other comprehensive loss. We are also exposed to risk related to changes in the value of the Euro due to our one construction commitment in Portugal.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Management, with the participation of our Chief Executive Officer and Chief Financial Officer (the Company’s principal executive officer and principal financial officer, respectively), evaluated the effectiveness of the Company’s disclosure controls and procedures as of March 31, 2021. The term “disclosure controls and procedures,” as defined in Rules 13a-15(e) and 15d-15(e) under the Exchange Act, (or “DCPs”),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DCPs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Based on the evaluation of the Company’s DCPs as of March 31, 2021, the Company’s Chief Executive Officer and Chief Financial Officer concluded that, as a result of the material weaknesses in the Company’s internal control described in our Annual Report on Form 10-K for the year ended December 31, 2020, as of such date, the Company’s DCPs were not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Material Weakness</w:t>
      </w:r>
    </w:p>
    <w:p>
      <w:pPr>
        <w:spacing w:after="0" w:line="11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As previously described in Item 9A of our Annual Report on Form 10-K for the year ended December 31, 2020, the Company began implementing a remediation plan to address the material weaknesses mentioned above. Management will continue to increase the adoption of software solutions to automate several manual processes, including but not limited to, the balance sheet account reconciliation control. Management also continues to standardize review procedures and formalize documentation of reviews to strengthen its control activities and provide training on documentation requirements surrounding the use of key spreadsheets and key reports. The material weaknesses will not be considered remediated until the applicable controls operate for a sufficient period of time and management has concluded, through testing, that these controls are operating effectively.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Other than with respect to the remediation efforts described above, there have been no changes in the Company’s internal control over financial reporting (as defined in Rule 13a-15(f) and 15(d)-5(f) under the Exchange Act) during the three months ended March 31, 2021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420 Investments Ltd. Litigation</w:t>
      </w:r>
    </w:p>
    <w:p>
      <w:pPr>
        <w:spacing w:after="0" w:line="117"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On February 21, 2020, 420 Investments Ltd., as Plaintiff (“420”), filed a lawsuit against Tilray, Inc. and High Park Shops Inc. (“High Park”), as Defendants, in Calgary, Alberta in the Court of Queen’s Bench of Alberta. In August 2019, Tilray and High Park entered into an Arrangement Agreement with 420 and others (the “Arrangement Agreement”). Pursuant to the Arrangement Agreement, High Park was to acquire the securities of 420. In February 2020, Tilray and High Park gave notice of termination of the Arrangement Agreement. 420 alleges that the termination was unlawful and without merit and further alleges that the Defendants had no legal basis to terminate. 420 alleges that the Defendants did not meet their contractual and good faith obligations under the Arrangement Agreement. 420 seeks an order of specific performance (compelling the closing of the Arrangement Agreement). Alternatively, in the absence of specific performance, 420 seeks damages in the stated amount of C$110 million, plus C$20 million in aggravated damages. The Tilray and High Park Statement of Defense and counterclaim were both filed on March 20, 2020. 420’s Statement of Defense to our counterclaim was filed on April 20, 2020. No trial date has been set.</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Tilray Inc. Reorganization Litigation (Delaware)</w:t>
      </w:r>
    </w:p>
    <w:p>
      <w:pPr>
        <w:spacing w:after="0" w:line="117" w:lineRule="exact"/>
        <w:rPr>
          <w:sz w:val="20"/>
          <w:szCs w:val="20"/>
          <w:color w:val="auto"/>
        </w:rPr>
      </w:pPr>
    </w:p>
    <w:p>
      <w:pPr>
        <w:ind w:right="180" w:firstLine="749"/>
        <w:spacing w:after="0" w:line="255" w:lineRule="auto"/>
        <w:rPr>
          <w:sz w:val="20"/>
          <w:szCs w:val="20"/>
          <w:color w:val="auto"/>
        </w:rPr>
      </w:pPr>
      <w:r>
        <w:rPr>
          <w:rFonts w:ascii="Arial" w:cs="Arial" w:eastAsia="Arial" w:hAnsi="Arial"/>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 The two complaints are nearly identical, were filed by the same group of counsel, and name Brendan Kennedy, Christian Groh, Michael Blue, Maryscott Greenwood, Michael Auerbach, and Privateer Evolution, LLC (as successor to Privateer Holdings, Inc.) as defendants and Tilray as a nominal defendant.</w:t>
      </w:r>
    </w:p>
    <w:p>
      <w:pPr>
        <w:spacing w:after="0" w:line="84"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On March 4, 2020, the Court of Chancery entered an order consolidating the two cases and designating the complaint in the Braun/Noorian action as the operative complaint. The operative complaint asserts claims for breach of fiduciary duty against Kennedy, Groh, Blue, and Privateer Evolution (the “Privateer Defendants”) for alleged breaches of fiduciary duty in their alleged capacities as Tilray’s controlling stockholders and against Kennedy, Greenwood, and Auerbach for alleged breaches of fiduciary duties in their capacities as directors and/or officers of Tilray in connection with the Downstream Merger. The operative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 On July 17, 2020, the stockholder plaintiffs filed an amended complaint asserting substantially similar claims. On August 14, 2020, Tilray and all defendants moved to dismiss the amended complaint. On October 14, 2020, in light of the Plaintiffs’ statement that certain actions may have mooted some of their claims related to the alleged unfair extension of control over Tilray, the Court entered an order adjourning the planned November 4, 2020 hearing and removing the pending deadlines for briefing on the motions to dismiss. The hearing was rescheduled to February 5, 2021. On February 5, 2021, the Court held a hearing on those Motions and reserved judgment. On December 11, 2020, Defendants filed a motion to dismiss Plaintiffs’ claims that the Downstream Merger improperly perpetuated or extended Kennedy, Blue, and Groh’s alleged control as moot in light of the automatic conversion of Tilray’s Class 1 common stock to Class 2 common stock. The parties have not yet agreed to a schedule on the briefing for that motion, but, at the February 5, 2021 hearing, the Plaintiffs agreed that their perpetuation of control claims are moot and stated that they intend to move for a fee award in connection with those claims. The defendants believe the claims in this case are without merit, and intend to defend this case vigorously, but there are no assurances as to its outcome.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Securities Litigation</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On May 4, 2020, a lawsuit was filed by plaintiff Ganesh Kasilingam in the United States District Court for the Southern District of New York, against Tilray,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the court entered an order appointing Saul Kassin as Lead Plaintiff and The Rosen Law Firm, P.A. as Lead Counsel. Lead Plaintiff filed an amended complaint on October 5, 2020. The Amended Complaint asserts the same Sections 10(b) and 20(a) claims against the same defendants on largely the same theory, and includes new allegations that the Company’s reported inventory, cost of sales, and gross margins in its financial reports during the class period were false and misleading because Tilray improperly recorded unsellable “trim” as inventory and understated the cost of sales for its products. The defendants filed a motion to dismiss the Amended Complaint in its entirety on December 4, 2020. Plaintiff’s opposition to the defendants’ Motion to Dismiss was filed on January 25, 2021, and the defendants’ reply was filed on February 24, 2021. The Motion to Dismiss is now fully briefed and pending before the court. The Company and the individual defendants believe the claims are without merit, and intend to defend vigorously against them, but there can be no assurances as to the outcome.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760"/>
        <w:spacing w:after="0"/>
        <w:rPr>
          <w:sz w:val="20"/>
          <w:szCs w:val="20"/>
          <w:color w:val="auto"/>
        </w:rPr>
      </w:pPr>
      <w:r>
        <w:rPr>
          <w:rFonts w:ascii="Arial" w:cs="Arial" w:eastAsia="Arial" w:hAnsi="Arial"/>
          <w:sz w:val="18"/>
          <w:szCs w:val="18"/>
          <w:b w:val="1"/>
          <w:bCs w:val="1"/>
          <w:i w:val="1"/>
          <w:iCs w:val="1"/>
          <w:color w:val="auto"/>
        </w:rPr>
        <w:t>Shareholder Derivative Lawsuits</w:t>
      </w:r>
    </w:p>
    <w:p>
      <w:pPr>
        <w:spacing w:after="0" w:line="117" w:lineRule="exact"/>
        <w:rPr>
          <w:sz w:val="20"/>
          <w:szCs w:val="20"/>
          <w:color w:val="auto"/>
        </w:rPr>
      </w:pPr>
    </w:p>
    <w:p>
      <w:pPr>
        <w:ind w:firstLine="749"/>
        <w:spacing w:after="0" w:line="218" w:lineRule="exact"/>
        <w:rPr>
          <w:sz w:val="20"/>
          <w:szCs w:val="20"/>
          <w:color w:val="auto"/>
        </w:rPr>
      </w:pPr>
      <w:r>
        <w:rPr>
          <w:rFonts w:ascii="Arial" w:cs="Arial" w:eastAsia="Arial" w:hAnsi="Arial"/>
          <w:sz w:val="17"/>
          <w:szCs w:val="17"/>
          <w:color w:val="auto"/>
        </w:rPr>
        <w:t>On April 10, 2020, a shareholder derivative lawsuit was filed in the United States District Court for the Eastern District of New York (EDNY) by Chad Gellner, Matthew Rufo, and Melvyn Klein, allegedly on behalf of Tilray, Inc., that piggy</w:t>
      </w:r>
      <w:r>
        <w:rPr>
          <w:rFonts w:ascii="MS PGothic" w:cs="MS PGothic" w:eastAsia="MS PGothic" w:hAnsi="MS PGothic"/>
          <w:sz w:val="17"/>
          <w:szCs w:val="17"/>
          <w:color w:val="auto"/>
        </w:rPr>
        <w:t>‐</w:t>
      </w:r>
      <w:r>
        <w:rPr>
          <w:rFonts w:ascii="Arial" w:cs="Arial" w:eastAsia="Arial" w:hAnsi="Arial"/>
          <w:sz w:val="17"/>
          <w:szCs w:val="17"/>
          <w:color w:val="auto"/>
        </w:rPr>
        <w:t>backs on the Kasilingam litigation referenced above. It named the Board of Directors and Mark Castaneda as defendants. The theory of the lawsuit was that the board failed to prevent the alleged securities law violations asserted in the Kasilingam litigation. On May 29, 2020, a second shareholder derivative lawsuit was filed in the United States District Court for the Southern District of New York (SDNY) by Bo Hu asserting essentially the same claims, allegedly on behalf of Tilray, as the prior shareholder derivative action. And on June 16, 2020, the plaintiffs in the Gellner derivative action voluntarily dismissed that lawsuit in the EDNY and re</w:t>
      </w:r>
      <w:r>
        <w:rPr>
          <w:rFonts w:ascii="MS PGothic" w:cs="MS PGothic" w:eastAsia="MS PGothic" w:hAnsi="MS PGothic"/>
          <w:sz w:val="17"/>
          <w:szCs w:val="17"/>
          <w:color w:val="auto"/>
        </w:rPr>
        <w:t>‐</w:t>
      </w:r>
      <w:r>
        <w:rPr>
          <w:rFonts w:ascii="Arial" w:cs="Arial" w:eastAsia="Arial" w:hAnsi="Arial"/>
          <w:sz w:val="17"/>
          <w:szCs w:val="17"/>
          <w:color w:val="auto"/>
        </w:rPr>
        <w:t>filed it in the SDNY. The plaintiffs in the two derivative actions in the SDNY have agreed with nominal defendant Tilray and the individual defendants to consolidate the actions, and have submitted the stipulation to the court for approval.</w:t>
      </w:r>
    </w:p>
    <w:p>
      <w:pPr>
        <w:spacing w:after="0" w:line="96" w:lineRule="exact"/>
        <w:rPr>
          <w:sz w:val="20"/>
          <w:szCs w:val="20"/>
          <w:color w:val="auto"/>
        </w:rPr>
      </w:pPr>
    </w:p>
    <w:p>
      <w:pPr>
        <w:ind w:right="80" w:firstLine="749"/>
        <w:spacing w:after="0" w:line="297" w:lineRule="auto"/>
        <w:rPr>
          <w:sz w:val="20"/>
          <w:szCs w:val="20"/>
          <w:color w:val="auto"/>
        </w:rPr>
      </w:pPr>
      <w:r>
        <w:rPr>
          <w:rFonts w:ascii="Arial" w:cs="Arial" w:eastAsia="Arial" w:hAnsi="Arial"/>
          <w:sz w:val="16"/>
          <w:szCs w:val="16"/>
          <w:color w:val="auto"/>
        </w:rPr>
        <w:t>On June 5, 2020 a third shareholder derivative lawsuit was filed in the United States District Court for the District of Delaware (DDE) by Lee Morgan, again alleging essentially the same claims, allegedly on behalf of Tilray, as the prior shareholder derivative actions. On November 3, 2020, the court in the Morgan action entered a stipulated stay pending developments in the securities class action pending in the SDNY. On December 21, 2020 a fourth shareholder derivative lawsuit was filed in the DDE by Donald Kisselbach, again alleging essentially the same claims, allegedly on behalf of Tilray, as the prior shareholder derivative actions. On March 1, 2021, the court so-ordered the parties’ stipulation, consolidating the DDE derivative actions under the caption In re Tilray, Inc. Consolidated Stockholder Litigation, and staying the consolidated action until the motion to dismiss the Kasilingam litigation is decided. The Company and the individual defendants believe the claims are without merit, and intend to defend vigorously against them.</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Wyckoff Arbitration</w:t>
      </w:r>
    </w:p>
    <w:p>
      <w:pPr>
        <w:spacing w:after="0" w:line="11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On February 16, 2020, Wyckoff Farms (“Wyckoff”), a cannabinoid supplier to Tilray, emailed a demand for assurance of performance of the March 20, 2019 Cannabinoid Supply Agreement (“Supply Agreement”). Wyckoff stated that it believes that Tilray has anticipatorily breached its obligations under the Supply Agreement, which contemplated a five (5) year term, with an express minimum crop obligation during the first crop year for 2019-2020. Wyckoff demanded assurance that Tilray take delivery of and purchase at least 13,000 KG of product for the 2019/2020 crop year at a price of $4,600 KG of product (total purchase price $59,800,000). Wyckoff also claimed that the minimum quantity purchase obligation continued for the remaining crop years, which Tilray disputes. Tilray responded that it is within its rights under the Supply Agreement, that the contract’s only minimum purchase obligation is for the 2019/2020 crop year, and also invoked the contractual force majeure provision in light of the impacts of FDA action related to hemp-derived CBD, as well as the COVID-19 pandemic. On March 5, 2020, Wyckoff submitted the dispute to binding arbitration before the American Arbitration Association (AAA) in Benton County Washington, to which Tilray responded with an Answer on March 26, 2020, disputing Wyckoff’s claims. On April 29, 2021, the parties mutually agreed to settle this matter. Pursuant to a settlement agreement and release, Tilray (i) paid $20.0 million in cash and $5.0 million in Class 2 Common Stock to Wyckoff on April 29, 2021, and (ii) agreed to pay either $15.0 million in Class 2 Common Stock or $20.0 million in cash, depending on certain circumstances, to Wyckoff within nine months of the settlement date, in each case subject to certain upward adjustments based on the trading price and resale registration status of the Class 2 Common Stock. The parties also agreed to, among other things, withdraw from the arbitration proceeding and to release the other party from any and all claims arising out of or relating to the arbitration or the supply agreement. The arbitration proceeding was dismissed on April 30, 2021.</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Langevin Canada Class Action</w:t>
      </w:r>
    </w:p>
    <w:p>
      <w:pPr>
        <w:spacing w:after="0" w:line="117"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On June 16, 2020, Lisa Langevin commenced a purported class action in the Alberta Court of Queen’s Bench, on her behalf and on behalf of a proposed class of all medicinal and recreational users in Canada of the defendants’ cannabis products who consumed the products before their expiry date. She alleges that the defendants, including Tilray, marketed medicinal and recreational cannabis products in circumstances where the defendants misrepresented the amount of Tetrahydrocannabinol (THC) or Cannabidiol (CBD) in their respective products. As a result of the defendants’ alleged mislabeling of the cannabis products it is claimed that the plaintiff and proposed class members did not receive and consume the product that they believed that they had purchased and that this caused them loss, risk of injury and actual injury. Ms. Langevin claims that on February 13, 2020 she purchased Canaca – TenUp manufactured and distributed by Tilray. She had it tested and allegedly found that it only contained 43% of the claimed amount of THC. The Statement of Claim seeks $500,000,000 in damages and restitution and $5,000,000 in punitive damages plus interest and costs collectively from the defendants. On July 20, 2020 Plaintiff filed an Amended Amended Statement of Claim, and on December 4, 2020 the Plaintiff delivered a Third Amended Statement of Claim. We plan to vigorously defend against this action.</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Shareholder Arrangement Lawsuits</w:t>
      </w:r>
    </w:p>
    <w:p>
      <w:pPr>
        <w:spacing w:after="0" w:line="11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On March 12, 2020, Tilray filed with the Securities and Exchange Commission and commenced the mailing of a definitive joint proxy statement/circular (the “Proxy Statement/Circular”) with respect to the special meeting of Tilray stockholders originally scheduled to be held on April 16, 2021 pursuant to the Arrangement.</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Between March 15, 2021 and April 6, 2021, seven lawsuits were filed by alleged stockholders of Tilray (collectively the “Complaints”):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left="920" w:right="120" w:hanging="548"/>
        <w:spacing w:after="0" w:line="25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Patricia Violini filed a claim on March 15, 2021 in the United States District Court for the Southern District of New York. The complaint names Tilray, Inc. and each Director as a defendant and alleges that the disclosures in the Proxy Statement/Circular were materially false and misleading under Section 14 of the Securities Exchange Act. The claimant seeks to enjoin the parties from proceeding with the Arrangement, rescinding and setting aside the Arrangement in the event of consummation or awarding rescissory damages, and directing the individual defendants to disseminate a proxy.</w:t>
      </w:r>
    </w:p>
    <w:p>
      <w:pPr>
        <w:spacing w:after="0" w:line="187" w:lineRule="exact"/>
        <w:rPr>
          <w:rFonts w:ascii="Arial" w:cs="Arial" w:eastAsia="Arial" w:hAnsi="Arial"/>
          <w:sz w:val="18"/>
          <w:szCs w:val="18"/>
          <w:color w:val="auto"/>
        </w:rPr>
      </w:pPr>
    </w:p>
    <w:p>
      <w:pPr>
        <w:ind w:left="920" w:right="80" w:hanging="548"/>
        <w:spacing w:after="0" w:line="27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Alicia Barron-Archer filed a claim on March 23, 2021 in the United States District Court for the Southern District of New York with the same defendants and similar claims and relief sought.</w:t>
      </w:r>
    </w:p>
    <w:p>
      <w:pPr>
        <w:spacing w:after="0" w:line="170" w:lineRule="exact"/>
        <w:rPr>
          <w:rFonts w:ascii="Arial" w:cs="Arial" w:eastAsia="Arial" w:hAnsi="Arial"/>
          <w:sz w:val="18"/>
          <w:szCs w:val="18"/>
          <w:color w:val="auto"/>
        </w:rPr>
      </w:pPr>
    </w:p>
    <w:p>
      <w:pPr>
        <w:ind w:left="920" w:right="640" w:hanging="548"/>
        <w:spacing w:after="0" w:line="27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Arthur Reveles filed a claim on March 24, 2021 in the United States District Court for the Eastern District of New York with the same defendants and similar claims and relief sought.</w:t>
      </w:r>
    </w:p>
    <w:p>
      <w:pPr>
        <w:spacing w:after="0" w:line="170" w:lineRule="exact"/>
        <w:rPr>
          <w:rFonts w:ascii="Arial" w:cs="Arial" w:eastAsia="Arial" w:hAnsi="Arial"/>
          <w:sz w:val="18"/>
          <w:szCs w:val="18"/>
          <w:color w:val="auto"/>
        </w:rPr>
      </w:pPr>
    </w:p>
    <w:p>
      <w:pPr>
        <w:ind w:left="920" w:hanging="54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Steven Lees filed a claim on March 31, 2021 with the same defendants and similar claims and relief sought.</w:t>
      </w:r>
    </w:p>
    <w:p>
      <w:pPr>
        <w:spacing w:after="0" w:line="225" w:lineRule="exact"/>
        <w:rPr>
          <w:rFonts w:ascii="Arial" w:cs="Arial" w:eastAsia="Arial" w:hAnsi="Arial"/>
          <w:sz w:val="18"/>
          <w:szCs w:val="18"/>
          <w:color w:val="auto"/>
        </w:rPr>
      </w:pPr>
    </w:p>
    <w:p>
      <w:pPr>
        <w:ind w:left="920" w:right="580" w:hanging="548"/>
        <w:spacing w:after="0" w:line="27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Stephanie Young filed a claim on April 2, 2021 in the United States District Court for the Southern District of New York with the same defendants and similar claims and relief sought.</w:t>
      </w:r>
    </w:p>
    <w:p>
      <w:pPr>
        <w:spacing w:after="0" w:line="170" w:lineRule="exact"/>
        <w:rPr>
          <w:rFonts w:ascii="Arial" w:cs="Arial" w:eastAsia="Arial" w:hAnsi="Arial"/>
          <w:sz w:val="18"/>
          <w:szCs w:val="18"/>
          <w:color w:val="auto"/>
        </w:rPr>
      </w:pPr>
    </w:p>
    <w:p>
      <w:pPr>
        <w:ind w:left="920" w:right="540" w:hanging="548"/>
        <w:spacing w:after="0" w:line="27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Charles Williams filed a claim on April 6, 2021 in the United States District Court for the Southern District of New York with the same defendants and similar claims and relief sought.</w:t>
      </w:r>
    </w:p>
    <w:p>
      <w:pPr>
        <w:spacing w:after="0" w:line="170" w:lineRule="exact"/>
        <w:rPr>
          <w:rFonts w:ascii="Arial" w:cs="Arial" w:eastAsia="Arial" w:hAnsi="Arial"/>
          <w:sz w:val="18"/>
          <w:szCs w:val="18"/>
          <w:color w:val="auto"/>
        </w:rPr>
      </w:pPr>
    </w:p>
    <w:p>
      <w:pPr>
        <w:ind w:left="920" w:right="780" w:hanging="548"/>
        <w:spacing w:after="0" w:line="27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Richard Lawrence filed a claim on April 6, 2021 in the United States District Court for the District of Delaware again with the same defendants and similar claims and relief sought.</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Tilray and the other named defendants in the Complaints believe that these lawsuits are without merit and that no supplemental disclosure is required to the Proxy Statement/Circular under any applicable law, rule or regulation. However, solely to eliminate the burden and expense of litigation and to avoid any possible disruption to the Arrangement that could result from further litigation, Tilray filed a Form 8-K dated April 8, 2021 providing supplemental information to be read in conjunction with the Proxy Statement/Circular. On April 21, 2021, Alicia Barron-Archer voluntarily dismissed her lawsuit. On April 22, 2021, Arthur Reveles voluntarily dismissed his lawsuit. On April 24, 2021, Patricia Violini voluntarily dismissed her lawsuit.</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Bill’s Nursery v. Tilray, Inc.</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On April 8, 2021, Bill’s Nursery, Inc. (“BNI”), a Florida nursery and medical marijuana treatment clinic operator, and its owner, Stephen Garrison, filed suit in Washington state court asserting claims against Tilray, Inc. (as successor to Privateer Evolution, LLC) for breach of contract, breach of the implied duty of good faith, breach of fiduciary duty, and fraud, arising out of Tilray’s decision not to include the content of Tilray’s proprietary standard operating procedures (“SOPs”) in the parties’ 2015 applications for a “Dispensing Organization” license in Florida. The Statement of Claim seeks an unspecified amount in damages, plus interest and costs. Tilray believes the claims to be without merit and will vigorously defend against this action.</w:t>
      </w:r>
    </w:p>
    <w:p>
      <w:pPr>
        <w:spacing w:after="0" w:line="53"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assess our liabilities and contingencies in connection with outstanding legal proceedings utilizing the latest information available. Where it is probable that we will incur a loss and the amount of the loss can be reasonably estimated, we record a liability in its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i w:val="1"/>
          <w:iCs w:val="1"/>
          <w:color w:val="auto"/>
        </w:rPr>
        <w:t>Careful consideration should be given to the following updated risk factors related to the Arrangement, in addition to those risk factors described in Part I, Item 1A (Risk Factors) in our Annual Report on Form 10-K for the year ended December 31, 2020 and the other information set forth in this Quarterly Report on Form 10-Q and in other documents that we file with the SEC or publicly in Canada, in evaluating our company and our business. Investing in our securities involves a high degree of risk. If any of these risks actually occur, our business, financial condition, results of operations and future growth prospects could be materially and adversely affected. Additional risks and uncertainties not currently known to us or that we currently consider to not be material may also materially and adversely affect our company and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the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integrating Tilray and Aphria’s operations and realizing the expected benefits of the Arrangement.</w:t>
      </w:r>
    </w:p>
    <w:p>
      <w:pPr>
        <w:spacing w:after="0" w:line="117"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success of the Arrangement will depend in part on our ability to realize the expected operational efficiencies and associated cost synergies and anticipated business opportunities and growth prospects from combining Tilray and Aphria in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ind w:right="560"/>
        <w:spacing w:after="0" w:line="277" w:lineRule="auto"/>
        <w:rPr>
          <w:sz w:val="20"/>
          <w:szCs w:val="20"/>
          <w:color w:val="auto"/>
        </w:rPr>
      </w:pPr>
      <w:r>
        <w:rPr>
          <w:rFonts w:ascii="Arial" w:cs="Arial" w:eastAsia="Arial" w:hAnsi="Arial"/>
          <w:sz w:val="18"/>
          <w:szCs w:val="18"/>
          <w:color w:val="auto"/>
        </w:rPr>
        <w:t>efficient and effective manner. We may not be able to fully realize the operational efficiencies and associated cost synergies or leverage the potential business opportunities and growth prospects to the extent anticipated or at all.</w:t>
      </w:r>
    </w:p>
    <w:p>
      <w:pPr>
        <w:spacing w:after="0" w:line="62"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The Arrangement was completed on April 30, 2021, and we are in the early stages of our integration efforts. The integration of operations and corporate and administrative infrastructures may require substantial resources and divert management attention. Challenges associated with the integration may include those related to retaining and motivating executives and other key employees, blending corporate cultures, eliminating duplicative operations, and making necessary modifications to internal control over financial reporting and other policies and procedures in accordance with applicable laws. Some of these factors are outside our control, and any of them could delay or increase the cost of our integration efforts.</w:t>
      </w:r>
    </w:p>
    <w:p>
      <w:pPr>
        <w:spacing w:after="0" w:line="53"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The integration process could take longer than anticipated and could result in the loss of key employees, the disruption of each company’s ongoing businesses, increased tax costs, inefficiencies, and inconsistencies in standards, controls, information technology systems, policies and procedures, any of which could adversely affect our ability to maintain relationships with employees, customers or other third parties, or our ability to achieve the anticipated benefits of the transaction, and could harm our financial performance. If we are unable to successfully integrate certain aspects of the operations of Tilray and Aphria or experience delays, we may incur unanticipated liabilities and be unable to fully realize the potential benefit of the revenue growth, synergies and other anticipated benefits resulting from the arrangement, and our business, results of operations and financial condition could be adversely affected.</w:t>
      </w:r>
    </w:p>
    <w:p>
      <w:pPr>
        <w:spacing w:after="0" w:line="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and may continue to incur, significant Arrangement-related costs and transition costs in connection with the Arrangement with Aphria.</w:t>
      </w:r>
    </w:p>
    <w:p>
      <w:pPr>
        <w:spacing w:after="0" w:line="62"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have incurred, and may continue to incur, significant Arrangement-related costs and transition costs in connection with the Arrangement with Aphria. We may incur additional costs to maintain employee morale and to retain key employees. Unanticipated costs may be incurred in the course of integration, and management cannot ensure that the elimination of duplicative costs or the realization of other efficiencies will offset the transaction and integration costs in the near term or at 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COVID-19</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212529"/>
        </w:rPr>
        <w:t>Risks related to COVID-19 have and will continue to impact our operations and could have a material adverse effect on our business, results of operations and financial condition.</w:t>
      </w:r>
    </w:p>
    <w:p>
      <w:pPr>
        <w:spacing w:after="0" w:line="62"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212529"/>
        </w:rPr>
        <w:t>On March 11, 2020, the World Health Organization declared the outbreak of the coronavirus, or COVID-19, a pandemic. The COVID-19 pandemic continues to result in extended government-ordered closures affecting significant portions of the global economy, including in the United States, Canada, Portugal, and Germany, where we conduct significant business. The public health crisis caused by COVID-19 and the measures taken and continuing to be taken by governments, businesses and the public have, and we expect will continue to have, certain negative impacts on our business operations, and could have a material adverse effect on our business, results of operations and financial condition.</w:t>
      </w:r>
    </w:p>
    <w:p>
      <w:pPr>
        <w:spacing w:after="0" w:line="68"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 xml:space="preserve">The full extent to which COVID-19 may impact our business, including our operations and the market for our securities and our financial condition, will depend on future developments, which are highly uncertain and cannot be predicted at this time. These include the duration, severity and scope of the pandemic, the development and availability of effective treatments and vaccines, </w:t>
      </w:r>
      <w:r>
        <w:rPr>
          <w:rFonts w:ascii="Arial" w:cs="Arial" w:eastAsia="Arial" w:hAnsi="Arial"/>
          <w:sz w:val="18"/>
          <w:szCs w:val="18"/>
          <w:color w:val="212529"/>
        </w:rPr>
        <w:t>and further action taken by the government and other third</w:t>
      </w:r>
      <w:r>
        <w:rPr>
          <w:rFonts w:ascii="Arial" w:cs="Arial" w:eastAsia="Arial" w:hAnsi="Arial"/>
          <w:sz w:val="18"/>
          <w:szCs w:val="18"/>
          <w:color w:val="auto"/>
        </w:rPr>
        <w:t xml:space="preserve"> </w:t>
      </w:r>
      <w:r>
        <w:rPr>
          <w:rFonts w:ascii="Arial" w:cs="Arial" w:eastAsia="Arial" w:hAnsi="Arial"/>
          <w:sz w:val="18"/>
          <w:szCs w:val="18"/>
          <w:color w:val="212529"/>
        </w:rPr>
        <w:t>parties in response to the pandemic</w:t>
      </w:r>
      <w:r>
        <w:rPr>
          <w:rFonts w:ascii="Arial" w:cs="Arial" w:eastAsia="Arial" w:hAnsi="Arial"/>
          <w:sz w:val="18"/>
          <w:szCs w:val="18"/>
          <w:color w:val="000000"/>
        </w:rPr>
        <w:t>. In particular, COVID-19 and government efforts to curtail COVID-19 could impede our production facilities, increase</w:t>
      </w:r>
      <w:r>
        <w:rPr>
          <w:rFonts w:ascii="Arial" w:cs="Arial" w:eastAsia="Arial" w:hAnsi="Arial"/>
          <w:sz w:val="18"/>
          <w:szCs w:val="18"/>
          <w:color w:val="212529"/>
        </w:rPr>
        <w:t xml:space="preserve"> </w:t>
      </w:r>
      <w:r>
        <w:rPr>
          <w:rFonts w:ascii="Arial" w:cs="Arial" w:eastAsia="Arial" w:hAnsi="Arial"/>
          <w:sz w:val="18"/>
          <w:szCs w:val="18"/>
          <w:color w:val="000000"/>
        </w:rPr>
        <w:t>operating expenses, result in loss of sales, affect our supply chains, impact performance of contractual obligations and require additional expenditures to be incurred.</w:t>
      </w:r>
    </w:p>
    <w:p>
      <w:pPr>
        <w:spacing w:after="0" w:line="84" w:lineRule="exact"/>
        <w:rPr>
          <w:sz w:val="20"/>
          <w:szCs w:val="20"/>
          <w:color w:val="auto"/>
        </w:rPr>
      </w:pPr>
    </w:p>
    <w:p>
      <w:pPr>
        <w:ind w:right="180" w:firstLine="749"/>
        <w:spacing w:after="0" w:line="272" w:lineRule="auto"/>
        <w:rPr>
          <w:sz w:val="20"/>
          <w:szCs w:val="20"/>
          <w:color w:val="auto"/>
        </w:rPr>
      </w:pPr>
      <w:r>
        <w:rPr>
          <w:rFonts w:ascii="Arial" w:cs="Arial" w:eastAsia="Arial" w:hAnsi="Arial"/>
          <w:sz w:val="17"/>
          <w:szCs w:val="17"/>
          <w:color w:val="auto"/>
        </w:rPr>
        <w:t>In connection with COVID-19 and to comply with mandates and guidance from governmental authorities, we have and continue to update our operational procedures and safety protocols at our facilities. If such measures are not effective or governmental authorities implement further restrictions, we may be required to take more extreme action, which could include a short or long-term closure of our facilities or reduction in workforce. These measures may impair our production levels or cause us to close or severely limit production at one or more facilities. Further, our operations could be adversely impacted if suppliers, contractors, customers and/or transportation carriers are restricted or prevented from conducting business activities. For example, cannabis retail stores in certain Canadian markets may close voluntarily or be forced by local governments to close or modify their operations, reducing our ability to distribute adult-use cannabis.</w:t>
      </w:r>
    </w:p>
    <w:p>
      <w:pPr>
        <w:spacing w:after="0" w:line="69" w:lineRule="exact"/>
        <w:rPr>
          <w:sz w:val="20"/>
          <w:szCs w:val="20"/>
          <w:color w:val="auto"/>
        </w:rPr>
      </w:pPr>
    </w:p>
    <w:p>
      <w:pPr>
        <w:ind w:right="220" w:firstLine="749"/>
        <w:spacing w:after="0" w:line="257" w:lineRule="auto"/>
        <w:rPr>
          <w:sz w:val="20"/>
          <w:szCs w:val="20"/>
          <w:color w:val="auto"/>
        </w:rPr>
      </w:pPr>
      <w:r>
        <w:rPr>
          <w:rFonts w:ascii="Arial" w:cs="Arial" w:eastAsia="Arial" w:hAnsi="Arial"/>
          <w:sz w:val="18"/>
          <w:szCs w:val="18"/>
          <w:color w:val="auto"/>
        </w:rPr>
        <w:t>Consumer demand for cannabis products may also be impacted by COVID-19 as a result of reductions in consumers’ disposable income associated with layoffs, and work or pay limitations due to mandatory social distancing and lockdown measures implemented by government authorities. Demand for medical cannabis may be further impacted due to a decrease in patients visiting doctor’s offices and clinics. As demand for our products decreases, we may be required to record additional asset impairments, including an impairment of the carrying value of our goodwill, along with other accounting charges.</w:t>
      </w:r>
    </w:p>
    <w:p>
      <w:pPr>
        <w:spacing w:after="0" w:line="80"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color w:val="auto"/>
        </w:rPr>
        <w:t>COVID-19 might also impact recruitment for current and future clinical trials involving our products which could lead to delays in study completion and/or recruiting fewer participants than planned or anticipated.</w:t>
      </w:r>
    </w:p>
    <w:p>
      <w:pPr>
        <w:spacing w:after="0" w:line="6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The following is a summary of certain COVID-19 related operational impacts and associated risks at our production and processing facilities: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ind w:left="740" w:right="60" w:hanging="368"/>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date, the province of Ontario, where we grow and manufacture adult-use cannabis and other cannabis products, has deemed our supply chain operations to be an essential service; however, there can be no assurance that such designation will remain in effect. If our growing and manufacturing operations at Enniskillen and London, Ontario are deemed non-essential, and are required to close for a significant period of time, our revenues and our results of operations would be significantly reduced.</w:t>
      </w:r>
    </w:p>
    <w:p>
      <w:pPr>
        <w:spacing w:after="0" w:line="186" w:lineRule="exact"/>
        <w:rPr>
          <w:rFonts w:ascii="Arial" w:cs="Arial" w:eastAsia="Arial" w:hAnsi="Arial"/>
          <w:sz w:val="18"/>
          <w:szCs w:val="18"/>
          <w:color w:val="auto"/>
        </w:rPr>
      </w:pPr>
    </w:p>
    <w:p>
      <w:pPr>
        <w:ind w:left="740" w:right="40" w:hanging="368"/>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Similarly, the province of British Columbia, where we grow and manufacture cannabis products for medicinal purposes, has explicitly deemed the manufacture and sale of adult-use and medicinal cannabis by Licensed Producers (as defined under the Cannabis Act) to be an essential service. Any change to such designation could further disrupt our medicinal cannabis production and sales and restrict our ability to participate in clinical trials.</w:t>
      </w:r>
    </w:p>
    <w:p>
      <w:pPr>
        <w:spacing w:after="0" w:line="186" w:lineRule="exact"/>
        <w:rPr>
          <w:rFonts w:ascii="Arial" w:cs="Arial" w:eastAsia="Arial" w:hAnsi="Arial"/>
          <w:sz w:val="18"/>
          <w:szCs w:val="18"/>
          <w:color w:val="auto"/>
        </w:rPr>
      </w:pPr>
    </w:p>
    <w:p>
      <w:pPr>
        <w:ind w:left="740" w:right="160" w:hanging="368"/>
        <w:spacing w:after="0" w:line="273"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212529"/>
        </w:rPr>
        <w:t xml:space="preserve">Manitoba Harvest has production facilities in Winnipeg and Ste. Agathe, which produce hemp-related food products and accordingly have been deemed essential. While our facilities at both Winnipeg and Ste. Agathe remain open and producing according to schedule, and the U.S./Canadian border closure has </w:t>
      </w:r>
      <w:r>
        <w:rPr>
          <w:rFonts w:ascii="Arial" w:cs="Arial" w:eastAsia="Arial" w:hAnsi="Arial"/>
          <w:sz w:val="17"/>
          <w:szCs w:val="17"/>
          <w:color w:val="000000"/>
        </w:rPr>
        <w:t>exempted</w:t>
      </w:r>
      <w:r>
        <w:rPr>
          <w:rFonts w:ascii="Arial" w:cs="Arial" w:eastAsia="Arial" w:hAnsi="Arial"/>
          <w:sz w:val="17"/>
          <w:szCs w:val="17"/>
          <w:color w:val="212529"/>
        </w:rPr>
        <w:t xml:space="preserve"> food transport as an essential cross-border service, we cannot predict the effect of future governmental actions related to COVID-19 on this critical supply chain. If our manufacturing operations at Winnipeg and Ste. Agathe are deemed non-essential, and are required to close for a significant period of time, or the U.S.-Canadian border is closed to food transport, our general ability to transport and receive raw materials, inputs and final products would be significantly impacted.</w:t>
      </w:r>
    </w:p>
    <w:p>
      <w:pPr>
        <w:spacing w:after="0" w:line="177" w:lineRule="exact"/>
        <w:rPr>
          <w:rFonts w:ascii="Arial" w:cs="Arial" w:eastAsia="Arial" w:hAnsi="Arial"/>
          <w:sz w:val="17"/>
          <w:szCs w:val="17"/>
          <w:color w:val="auto"/>
        </w:rPr>
      </w:pPr>
    </w:p>
    <w:p>
      <w:pPr>
        <w:ind w:left="740" w:right="100" w:hanging="368"/>
        <w:spacing w:after="0" w:line="275"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212529"/>
        </w:rPr>
        <w:t xml:space="preserve">While our facility in Portugal has not been subject to a </w:t>
      </w:r>
      <w:r>
        <w:rPr>
          <w:rFonts w:ascii="Arial" w:cs="Arial" w:eastAsia="Arial" w:hAnsi="Arial"/>
          <w:sz w:val="17"/>
          <w:szCs w:val="17"/>
          <w:color w:val="212529"/>
          <w:highlight w:val="white"/>
        </w:rPr>
        <w:t>mandatory closure by Portuguese authorities</w:t>
      </w:r>
      <w:r>
        <w:rPr>
          <w:rFonts w:ascii="Arial" w:cs="Arial" w:eastAsia="Arial" w:hAnsi="Arial"/>
          <w:sz w:val="17"/>
          <w:szCs w:val="17"/>
          <w:color w:val="212529"/>
        </w:rPr>
        <w:t xml:space="preserve">, there can be no assurance that such operational status will remain in effect or that the government will not </w:t>
      </w:r>
      <w:r>
        <w:rPr>
          <w:rFonts w:ascii="Arial" w:cs="Arial" w:eastAsia="Arial" w:hAnsi="Arial"/>
          <w:sz w:val="17"/>
          <w:szCs w:val="17"/>
          <w:color w:val="000000"/>
        </w:rPr>
        <w:t>implement</w:t>
      </w:r>
      <w:r>
        <w:rPr>
          <w:rFonts w:ascii="Arial" w:cs="Arial" w:eastAsia="Arial" w:hAnsi="Arial"/>
          <w:sz w:val="17"/>
          <w:szCs w:val="17"/>
          <w:color w:val="212529"/>
        </w:rPr>
        <w:t xml:space="preserve"> additional measures to reduce the spread of COVID-19. If the government mandated closure of our Portugal facility, or otherwise ordered further restrictions to business activities or employees’ movement, it could affect our ability to </w:t>
      </w:r>
      <w:r>
        <w:rPr>
          <w:rFonts w:ascii="Arial" w:cs="Arial" w:eastAsia="Arial" w:hAnsi="Arial"/>
          <w:sz w:val="17"/>
          <w:szCs w:val="17"/>
          <w:color w:val="000000"/>
        </w:rPr>
        <w:t>export medicinal cannabis across the European Union, applicable member states, or elsewhere in the region, which</w:t>
      </w:r>
      <w:r>
        <w:rPr>
          <w:rFonts w:ascii="Arial" w:cs="Arial" w:eastAsia="Arial" w:hAnsi="Arial"/>
          <w:sz w:val="17"/>
          <w:szCs w:val="17"/>
          <w:color w:val="212529"/>
        </w:rPr>
        <w:t xml:space="preserve"> </w:t>
      </w:r>
      <w:r>
        <w:rPr>
          <w:rFonts w:ascii="Arial" w:cs="Arial" w:eastAsia="Arial" w:hAnsi="Arial"/>
          <w:sz w:val="17"/>
          <w:szCs w:val="17"/>
          <w:color w:val="000000"/>
        </w:rPr>
        <w:t>could have a material effect on our business, financial condition and results of operations.</w:t>
      </w:r>
    </w:p>
    <w:p>
      <w:pPr>
        <w:spacing w:after="0" w:line="176" w:lineRule="exact"/>
        <w:rPr>
          <w:rFonts w:ascii="Arial" w:cs="Arial" w:eastAsia="Arial" w:hAnsi="Arial"/>
          <w:sz w:val="17"/>
          <w:szCs w:val="17"/>
          <w:color w:val="auto"/>
        </w:rPr>
      </w:pPr>
    </w:p>
    <w:p>
      <w:pPr>
        <w:ind w:left="740" w:hanging="368"/>
        <w:spacing w:after="0" w:line="296" w:lineRule="auto"/>
        <w:tabs>
          <w:tab w:leader="none" w:pos="740" w:val="left"/>
        </w:tabs>
        <w:numPr>
          <w:ilvl w:val="0"/>
          <w:numId w:val="35"/>
        </w:numPr>
        <w:rPr>
          <w:rFonts w:ascii="Arial" w:cs="Arial" w:eastAsia="Arial" w:hAnsi="Arial"/>
          <w:sz w:val="16"/>
          <w:szCs w:val="16"/>
          <w:color w:val="212529"/>
        </w:rPr>
      </w:pPr>
      <w:r>
        <w:rPr>
          <w:rFonts w:ascii="Arial" w:cs="Arial" w:eastAsia="Arial" w:hAnsi="Arial"/>
          <w:sz w:val="16"/>
          <w:szCs w:val="16"/>
          <w:color w:val="auto"/>
        </w:rPr>
        <w:t>We are completing construction of an additional greenhouse of 3.4 hectares in Cantanhede, Portugal, now scheduled for final completion by the second quarter of 2021. Due to COVID-19, we have and may continue to experience construction delays. If we are unable to complete construction in a timely manner due to COVID-19, we may not achieve all our expected harvests and production, which may negatively impact our international sales. While we are actively working with our contractors to maintain appropriate COVID-19 protections at our construction site in an effort to complete construction in a timely manner, we may experience further delays as a result of the pandemic.</w:t>
      </w:r>
    </w:p>
    <w:p>
      <w:pPr>
        <w:spacing w:after="0" w:line="161" w:lineRule="exact"/>
        <w:rPr>
          <w:rFonts w:ascii="Arial" w:cs="Arial" w:eastAsia="Arial" w:hAnsi="Arial"/>
          <w:sz w:val="16"/>
          <w:szCs w:val="16"/>
          <w:color w:val="212529"/>
        </w:rPr>
      </w:pPr>
    </w:p>
    <w:p>
      <w:pPr>
        <w:ind w:left="740" w:right="80" w:hanging="368"/>
        <w:spacing w:after="0" w:line="257" w:lineRule="auto"/>
        <w:tabs>
          <w:tab w:leader="none" w:pos="740" w:val="left"/>
        </w:tabs>
        <w:numPr>
          <w:ilvl w:val="0"/>
          <w:numId w:val="35"/>
        </w:numPr>
        <w:rPr>
          <w:rFonts w:ascii="Arial" w:cs="Arial" w:eastAsia="Arial" w:hAnsi="Arial"/>
          <w:sz w:val="18"/>
          <w:szCs w:val="18"/>
          <w:color w:val="212529"/>
        </w:rPr>
      </w:pPr>
      <w:r>
        <w:rPr>
          <w:rFonts w:ascii="Arial" w:cs="Arial" w:eastAsia="Arial" w:hAnsi="Arial"/>
          <w:sz w:val="18"/>
          <w:szCs w:val="18"/>
          <w:color w:val="auto"/>
        </w:rPr>
        <w:t>In Germany, we have experienced minimal disruption in the supply of medicinal products to patients via pharmacies and physicians. However, COVID-19 may impact ongoing supply and patient demand. We have observed a strong decrease in patients visiting doctors’ offices since the pandemic was declared, which could lead to reduced patient demand and revenues. Additionally, if medicinal cannabis is deemed non-essential by the German government, or we are unable to import our medicinal products into Germany from Canada and Portugal, it could have a material impact on our business, financial condition and results of operations.</w:t>
      </w:r>
    </w:p>
    <w:p>
      <w:pPr>
        <w:spacing w:after="0" w:line="8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212529"/>
        </w:rPr>
        <w:t xml:space="preserve">Given the ongoing and dynamic nature and significance of COVID-19 and its impact globally, we are not able to enumerate all potential risks to our business. </w:t>
      </w:r>
      <w:r>
        <w:rPr>
          <w:rFonts w:ascii="Arial" w:cs="Arial" w:eastAsia="Arial" w:hAnsi="Arial"/>
          <w:sz w:val="18"/>
          <w:szCs w:val="18"/>
          <w:color w:val="000000"/>
        </w:rPr>
        <w:t>Any</w:t>
      </w:r>
      <w:r>
        <w:rPr>
          <w:rFonts w:ascii="Arial" w:cs="Arial" w:eastAsia="Arial" w:hAnsi="Arial"/>
          <w:sz w:val="18"/>
          <w:szCs w:val="18"/>
          <w:color w:val="212529"/>
        </w:rPr>
        <w:t xml:space="preserve"> of the negative impacts of COVID-19, including those described above, alone or in combination with others, may have a material adverse effect on our business, results of operations or financial condition. Further, any of these negative impacts, alone or in combination with others, could exacerbate many of the other risk factors outlined in Part I, “</w:t>
      </w:r>
      <w:r>
        <w:rPr>
          <w:rFonts w:ascii="Arial" w:cs="Arial" w:eastAsia="Arial" w:hAnsi="Arial"/>
          <w:sz w:val="18"/>
          <w:szCs w:val="18"/>
          <w:i w:val="1"/>
          <w:iCs w:val="1"/>
          <w:color w:val="212529"/>
        </w:rPr>
        <w:t>Item 1A. Risk Factors</w:t>
      </w:r>
      <w:r>
        <w:rPr>
          <w:rFonts w:ascii="Arial" w:cs="Arial" w:eastAsia="Arial" w:hAnsi="Arial"/>
          <w:sz w:val="18"/>
          <w:szCs w:val="18"/>
          <w:color w:val="212529"/>
        </w:rPr>
        <w:t>” in our Annual Report on Form 10-K for the year ended December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24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Incorporate by Reference</w:t>
            </w:r>
          </w:p>
        </w:tc>
        <w:tc>
          <w:tcPr>
            <w:tcW w:w="74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w w:val="90"/>
              </w:rPr>
              <w:t>File</w:t>
            </w: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gridSpan w:val="10"/>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780" w:type="dxa"/>
            <w:vAlign w:val="bottom"/>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File</w:t>
            </w: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80" w:type="dxa"/>
            <w:vAlign w:val="bottom"/>
            <w:gridSpan w:val="10"/>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40" w:type="dxa"/>
            <w:vAlign w:val="bottom"/>
          </w:tcPr>
          <w:p>
            <w:pPr>
              <w:jc w:val="center"/>
              <w:ind w:left="75"/>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82"/>
        </w:trPr>
        <w:tc>
          <w:tcPr>
            <w:tcW w:w="66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6520" w:type="dxa"/>
            <w:vAlign w:val="bottom"/>
            <w:gridSpan w:val="18"/>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Arrangement Agreement between the Registrant and Aphria Inc., dated December 15,</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72">
              <w:r>
                <w:rPr>
                  <w:rFonts w:ascii="Arial" w:cs="Arial" w:eastAsia="Arial" w:hAnsi="Arial"/>
                  <w:sz w:val="18"/>
                  <w:szCs w:val="18"/>
                  <w:color w:val="0000EE"/>
                  <w:w w:val="84"/>
                </w:rPr>
                <w:t>2020</w:t>
              </w:r>
            </w:hyperlink>
          </w:p>
        </w:tc>
        <w:tc>
          <w:tcPr>
            <w:tcW w:w="8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6520" w:type="dxa"/>
            <w:vAlign w:val="bottom"/>
            <w:gridSpan w:val="18"/>
          </w:tcPr>
          <w:p>
            <w:pPr>
              <w:spacing w:after="0"/>
              <w:rPr>
                <w:rFonts w:ascii="Arial" w:cs="Arial" w:eastAsia="Arial" w:hAnsi="Arial"/>
                <w:sz w:val="18"/>
                <w:szCs w:val="18"/>
                <w:color w:val="0000EE"/>
                <w:w w:val="94"/>
              </w:rPr>
            </w:pPr>
            <w:hyperlink r:id="rId73">
              <w:r>
                <w:rPr>
                  <w:rFonts w:ascii="Arial" w:cs="Arial" w:eastAsia="Arial" w:hAnsi="Arial"/>
                  <w:sz w:val="18"/>
                  <w:szCs w:val="18"/>
                  <w:color w:val="0000EE"/>
                  <w:w w:val="94"/>
                </w:rPr>
                <w:t>Amendment No. 1 to Arrangement Agreement between the Registrant and Aphria Inc.,</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02/22/2020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dated February 19, 2021</w:t>
              </w:r>
            </w:hyperlink>
          </w:p>
        </w:tc>
        <w:tc>
          <w:tcPr>
            <w:tcW w:w="4500" w:type="dxa"/>
            <w:vAlign w:val="bottom"/>
            <w:tcBorders>
              <w:top w:val="single" w:sz="8" w:color="0000EE"/>
            </w:tcBorders>
            <w:gridSpan w:val="12"/>
          </w:tcPr>
          <w:p>
            <w:pPr>
              <w:spacing w:after="0"/>
              <w:rPr>
                <w:sz w:val="17"/>
                <w:szCs w:val="17"/>
                <w:color w:val="auto"/>
              </w:rPr>
            </w:pPr>
          </w:p>
        </w:tc>
        <w:tc>
          <w:tcPr>
            <w:tcW w:w="2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6520" w:type="dxa"/>
            <w:vAlign w:val="bottom"/>
            <w:gridSpan w:val="18"/>
          </w:tcPr>
          <w:p>
            <w:pPr>
              <w:spacing w:after="0"/>
              <w:rPr>
                <w:rFonts w:ascii="Arial" w:cs="Arial" w:eastAsia="Arial" w:hAnsi="Arial"/>
                <w:sz w:val="18"/>
                <w:szCs w:val="18"/>
                <w:color w:val="0000EE"/>
              </w:rPr>
            </w:pPr>
            <w:hyperlink r:id="rId74">
              <w:r>
                <w:rPr>
                  <w:rFonts w:ascii="Arial" w:cs="Arial" w:eastAsia="Arial" w:hAnsi="Arial"/>
                  <w:sz w:val="18"/>
                  <w:szCs w:val="18"/>
                  <w:color w:val="0000EE"/>
                </w:rPr>
                <w:t>Amended and Restated Certificate of Incorporation, as currently in effect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12/17/2019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16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6520" w:type="dxa"/>
            <w:vAlign w:val="bottom"/>
            <w:gridSpan w:val="18"/>
          </w:tcPr>
          <w:p>
            <w:pPr>
              <w:spacing w:after="0"/>
              <w:rPr>
                <w:rFonts w:ascii="Arial" w:cs="Arial" w:eastAsia="Arial" w:hAnsi="Arial"/>
                <w:sz w:val="18"/>
                <w:szCs w:val="18"/>
                <w:color w:val="0000EE"/>
              </w:rPr>
            </w:pPr>
            <w:hyperlink r:id="rId75">
              <w:r>
                <w:rPr>
                  <w:rFonts w:ascii="Arial" w:cs="Arial" w:eastAsia="Arial" w:hAnsi="Arial"/>
                  <w:sz w:val="18"/>
                  <w:szCs w:val="18"/>
                  <w:color w:val="0000EE"/>
                </w:rPr>
                <w:t>Amended and Restated Bylaws currently in effect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6200" w:type="dxa"/>
            <w:vAlign w:val="bottom"/>
            <w:tcBorders>
              <w:bottom w:val="single" w:sz="8" w:color="0000EE"/>
            </w:tcBorders>
            <w:gridSpan w:val="14"/>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Indenture, dated October 10, 2018, between the Registrant and GLAS Trust Company</w:t>
              </w:r>
            </w:hyperlink>
          </w:p>
        </w:tc>
        <w:tc>
          <w:tcPr>
            <w:tcW w:w="3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76">
              <w:r>
                <w:rPr>
                  <w:rFonts w:ascii="Arial" w:cs="Arial" w:eastAsia="Arial" w:hAnsi="Arial"/>
                  <w:sz w:val="18"/>
                  <w:szCs w:val="18"/>
                  <w:color w:val="0000EE"/>
                  <w:w w:val="96"/>
                </w:rPr>
                <w:t>LLC</w:t>
              </w:r>
            </w:hyperlink>
          </w:p>
        </w:tc>
        <w:tc>
          <w:tcPr>
            <w:tcW w:w="618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6520" w:type="dxa"/>
            <w:vAlign w:val="bottom"/>
            <w:gridSpan w:val="18"/>
          </w:tcPr>
          <w:p>
            <w:pPr>
              <w:spacing w:after="0"/>
              <w:rPr>
                <w:rFonts w:ascii="Arial" w:cs="Arial" w:eastAsia="Arial" w:hAnsi="Arial"/>
                <w:sz w:val="18"/>
                <w:szCs w:val="18"/>
                <w:color w:val="0000EE"/>
              </w:rPr>
            </w:pPr>
            <w:hyperlink r:id="rId76">
              <w:r>
                <w:rPr>
                  <w:rFonts w:ascii="Arial" w:cs="Arial" w:eastAsia="Arial" w:hAnsi="Arial"/>
                  <w:sz w:val="18"/>
                  <w:szCs w:val="18"/>
                  <w:color w:val="0000EE"/>
                </w:rPr>
                <w:t>Form of 5.00% Convertible Senior Note due 2023 (included in Exhibit 4.1)</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16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4.3</w:t>
            </w:r>
          </w:p>
        </w:tc>
        <w:tc>
          <w:tcPr>
            <w:tcW w:w="6520" w:type="dxa"/>
            <w:vAlign w:val="bottom"/>
            <w:gridSpan w:val="18"/>
          </w:tcPr>
          <w:p>
            <w:pPr>
              <w:spacing w:after="0"/>
              <w:rPr>
                <w:rFonts w:ascii="Arial" w:cs="Arial" w:eastAsia="Arial" w:hAnsi="Arial"/>
                <w:sz w:val="18"/>
                <w:szCs w:val="18"/>
                <w:color w:val="0000EE"/>
              </w:rPr>
            </w:pPr>
            <w:hyperlink r:id="rId77">
              <w:r>
                <w:rPr>
                  <w:rFonts w:ascii="Arial" w:cs="Arial" w:eastAsia="Arial" w:hAnsi="Arial"/>
                  <w:sz w:val="18"/>
                  <w:szCs w:val="18"/>
                  <w:color w:val="0000EE"/>
                </w:rPr>
                <w:t>Form of Pre-Funded Warrant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4.4</w:t>
            </w:r>
          </w:p>
        </w:tc>
        <w:tc>
          <w:tcPr>
            <w:tcW w:w="6520" w:type="dxa"/>
            <w:vAlign w:val="bottom"/>
            <w:gridSpan w:val="18"/>
          </w:tcPr>
          <w:p>
            <w:pPr>
              <w:spacing w:after="0"/>
              <w:rPr>
                <w:rFonts w:ascii="Arial" w:cs="Arial" w:eastAsia="Arial" w:hAnsi="Arial"/>
                <w:sz w:val="18"/>
                <w:szCs w:val="18"/>
                <w:color w:val="0000EE"/>
              </w:rPr>
            </w:pPr>
            <w:hyperlink r:id="rId78">
              <w:r>
                <w:rPr>
                  <w:rFonts w:ascii="Arial" w:cs="Arial" w:eastAsia="Arial" w:hAnsi="Arial"/>
                  <w:sz w:val="18"/>
                  <w:szCs w:val="18"/>
                  <w:color w:val="0000EE"/>
                </w:rPr>
                <w:t>Form of Warrant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10.1</w:t>
            </w:r>
          </w:p>
        </w:tc>
        <w:tc>
          <w:tcPr>
            <w:tcW w:w="6200" w:type="dxa"/>
            <w:vAlign w:val="bottom"/>
            <w:tcBorders>
              <w:bottom w:val="single" w:sz="8" w:color="0000EE"/>
            </w:tcBorders>
            <w:gridSpan w:val="14"/>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Separation Agreement and Complete Release by and between Tilray, Inc. and Andrew</w:t>
              </w:r>
            </w:hyperlink>
          </w:p>
        </w:tc>
        <w:tc>
          <w:tcPr>
            <w:tcW w:w="3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02/12/2021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520" w:type="dxa"/>
            <w:vAlign w:val="bottom"/>
            <w:gridSpan w:val="18"/>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Pucher, dated February 8, 2021</w:t>
              </w:r>
            </w:hyperlink>
          </w:p>
        </w:tc>
        <w:tc>
          <w:tcPr>
            <w:tcW w:w="7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38594</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31.1</w:t>
            </w:r>
          </w:p>
        </w:tc>
        <w:tc>
          <w:tcPr>
            <w:tcW w:w="6520" w:type="dxa"/>
            <w:vAlign w:val="bottom"/>
            <w:gridSpan w:val="18"/>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of Periodic Report by Principal Executive Officer under Section 302 of the</w:t>
              </w:r>
            </w:hyperlink>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ind w:left="7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Sarbanes-Oxley Act of 2002</w:t>
              </w:r>
            </w:hyperlink>
          </w:p>
        </w:tc>
        <w:tc>
          <w:tcPr>
            <w:tcW w:w="34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31.2</w:t>
            </w:r>
          </w:p>
        </w:tc>
        <w:tc>
          <w:tcPr>
            <w:tcW w:w="6520" w:type="dxa"/>
            <w:vAlign w:val="bottom"/>
            <w:gridSpan w:val="18"/>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Certification of Periodic Report by Principal Financial Officer under Section 302 of the</w:t>
              </w:r>
            </w:hyperlink>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ind w:left="7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Sarbanes-Oxley Act of 2002</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jc w:val="right"/>
              <w:ind w:right="72"/>
              <w:spacing w:after="0"/>
              <w:rPr>
                <w:sz w:val="20"/>
                <w:szCs w:val="20"/>
                <w:color w:val="auto"/>
              </w:rPr>
            </w:pPr>
            <w:r>
              <w:rPr>
                <w:rFonts w:ascii="Arial" w:cs="Arial" w:eastAsia="Arial" w:hAnsi="Arial"/>
                <w:sz w:val="18"/>
                <w:szCs w:val="18"/>
                <w:color w:val="auto"/>
                <w:w w:val="97"/>
              </w:rPr>
              <w:t>32.1**</w:t>
            </w:r>
          </w:p>
        </w:tc>
        <w:tc>
          <w:tcPr>
            <w:tcW w:w="652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of Chief Executive Officer and Chief Financial Officer Pursuant to 18</w:t>
              </w:r>
            </w:hyperlink>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ind w:left="7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80" w:type="dxa"/>
            <w:vAlign w:val="bottom"/>
            <w:gridSpan w:val="1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520" w:type="dxa"/>
            <w:vAlign w:val="bottom"/>
            <w:gridSpan w:val="18"/>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U.S.C. Section 1350 as Adopted Pursuant to Section 906 of the Sarbanes-Oxley Act of</w:t>
              </w:r>
            </w:hyperlink>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5">
              <w:r>
                <w:rPr>
                  <w:rFonts w:ascii="Arial" w:cs="Arial" w:eastAsia="Arial" w:hAnsi="Arial"/>
                  <w:sz w:val="18"/>
                  <w:szCs w:val="18"/>
                  <w:color w:val="0000EE"/>
                  <w:w w:val="84"/>
                </w:rPr>
                <w:t>2002</w:t>
              </w:r>
            </w:hyperlink>
          </w:p>
        </w:tc>
        <w:tc>
          <w:tcPr>
            <w:tcW w:w="8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6520" w:type="dxa"/>
            <w:vAlign w:val="bottom"/>
            <w:gridSpan w:val="18"/>
          </w:tcPr>
          <w:p>
            <w:pPr>
              <w:spacing w:after="0"/>
              <w:rPr>
                <w:sz w:val="20"/>
                <w:szCs w:val="20"/>
                <w:color w:val="auto"/>
              </w:rPr>
            </w:pPr>
            <w:r>
              <w:rPr>
                <w:rFonts w:ascii="Arial" w:cs="Arial" w:eastAsia="Arial" w:hAnsi="Arial"/>
                <w:sz w:val="18"/>
                <w:szCs w:val="18"/>
                <w:color w:val="auto"/>
                <w:w w:val="94"/>
              </w:rPr>
              <w:t>The following financial statements from the Company's Quarterly Report on Form 10-Q</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ind w:left="7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20" w:type="dxa"/>
            <w:vAlign w:val="bottom"/>
            <w:gridSpan w:val="18"/>
          </w:tcPr>
          <w:p>
            <w:pPr>
              <w:spacing w:after="0"/>
              <w:rPr>
                <w:sz w:val="20"/>
                <w:szCs w:val="20"/>
                <w:color w:val="auto"/>
              </w:rPr>
            </w:pPr>
            <w:r>
              <w:rPr>
                <w:rFonts w:ascii="Arial" w:cs="Arial" w:eastAsia="Arial" w:hAnsi="Arial"/>
                <w:sz w:val="18"/>
                <w:szCs w:val="18"/>
                <w:color w:val="auto"/>
              </w:rPr>
              <w:t>for the quarter ended March 31, 2021, formatted in Inline XBRL: (i) Consolidated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20" w:type="dxa"/>
            <w:vAlign w:val="bottom"/>
            <w:gridSpan w:val="18"/>
          </w:tcPr>
          <w:p>
            <w:pPr>
              <w:spacing w:after="0"/>
              <w:rPr>
                <w:sz w:val="20"/>
                <w:szCs w:val="20"/>
                <w:color w:val="auto"/>
              </w:rPr>
            </w:pPr>
            <w:r>
              <w:rPr>
                <w:rFonts w:ascii="Arial" w:cs="Arial" w:eastAsia="Arial" w:hAnsi="Arial"/>
                <w:sz w:val="18"/>
                <w:szCs w:val="18"/>
                <w:color w:val="auto"/>
                <w:w w:val="92"/>
              </w:rPr>
              <w:t>Balance Sheets, (ii) Consolidated Statements of Net Loss and Comprehensive Loss , (iii)</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20" w:type="dxa"/>
            <w:vAlign w:val="bottom"/>
            <w:gridSpan w:val="18"/>
          </w:tcPr>
          <w:p>
            <w:pPr>
              <w:spacing w:after="0"/>
              <w:rPr>
                <w:sz w:val="20"/>
                <w:szCs w:val="20"/>
                <w:color w:val="auto"/>
              </w:rPr>
            </w:pPr>
            <w:r>
              <w:rPr>
                <w:rFonts w:ascii="Arial" w:cs="Arial" w:eastAsia="Arial" w:hAnsi="Arial"/>
                <w:sz w:val="18"/>
                <w:szCs w:val="18"/>
                <w:color w:val="auto"/>
                <w:w w:val="93"/>
              </w:rPr>
              <w:t>Consolidated Statements of Stockholders' Equity (Deficit), (iv) Consolidated Statements</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20" w:type="dxa"/>
            <w:vAlign w:val="bottom"/>
            <w:gridSpan w:val="18"/>
          </w:tcPr>
          <w:p>
            <w:pPr>
              <w:spacing w:after="0"/>
              <w:rPr>
                <w:sz w:val="20"/>
                <w:szCs w:val="20"/>
                <w:color w:val="auto"/>
              </w:rPr>
            </w:pPr>
            <w:r>
              <w:rPr>
                <w:rFonts w:ascii="Arial" w:cs="Arial" w:eastAsia="Arial" w:hAnsi="Arial"/>
                <w:sz w:val="18"/>
                <w:szCs w:val="18"/>
                <w:color w:val="auto"/>
                <w:w w:val="92"/>
              </w:rPr>
              <w:t>of Cash Flows, and (v) Notes to Consolidated Financial Statements, tagged as blocks of</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520" w:type="dxa"/>
            <w:vAlign w:val="bottom"/>
            <w:gridSpan w:val="18"/>
          </w:tcPr>
          <w:p>
            <w:pPr>
              <w:spacing w:after="0"/>
              <w:rPr>
                <w:sz w:val="20"/>
                <w:szCs w:val="20"/>
                <w:color w:val="auto"/>
              </w:rPr>
            </w:pPr>
            <w:r>
              <w:rPr>
                <w:rFonts w:ascii="Arial" w:cs="Arial" w:eastAsia="Arial" w:hAnsi="Arial"/>
                <w:sz w:val="18"/>
                <w:szCs w:val="18"/>
                <w:color w:val="auto"/>
              </w:rPr>
              <w:t>text and including detailed tags.</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6520" w:type="dxa"/>
            <w:vAlign w:val="bottom"/>
            <w:gridSpan w:val="18"/>
          </w:tcPr>
          <w:p>
            <w:pPr>
              <w:spacing w:after="0"/>
              <w:rPr>
                <w:sz w:val="20"/>
                <w:szCs w:val="20"/>
                <w:color w:val="auto"/>
              </w:rPr>
            </w:pPr>
            <w:r>
              <w:rPr>
                <w:rFonts w:ascii="Arial" w:cs="Arial" w:eastAsia="Arial" w:hAnsi="Arial"/>
                <w:sz w:val="18"/>
                <w:szCs w:val="18"/>
                <w:color w:val="auto"/>
                <w:w w:val="97"/>
              </w:rPr>
              <w:t>Cover Page Interactive Data File (formatted as Inline XBRL and contained in Exhibit</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ind w:left="7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8"/>
              </w:rPr>
              <w:t>101)</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right="200" w:hanging="372"/>
        <w:spacing w:after="0" w:line="258"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Schedules and certain other information have been omitted pursuant to Item 601(b)(2) of Regulations S-K. The registrant will furnish copies of any such schedules to the Securities and Exchange Commission upon request.</w:t>
      </w:r>
    </w:p>
    <w:p>
      <w:pPr>
        <w:spacing w:after="0" w:line="1" w:lineRule="exact"/>
        <w:rPr>
          <w:sz w:val="20"/>
          <w:szCs w:val="20"/>
          <w:color w:val="auto"/>
        </w:rPr>
      </w:pPr>
    </w:p>
    <w:p>
      <w:pPr>
        <w:jc w:val="both"/>
        <w:ind w:left="380" w:right="220" w:hanging="372"/>
        <w:spacing w:after="0" w:line="255"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Tilray, Inc.</w:t>
      </w:r>
    </w:p>
    <w:p>
      <w:pPr>
        <w:spacing w:after="0" w:line="225" w:lineRule="exact"/>
        <w:rPr>
          <w:sz w:val="20"/>
          <w:szCs w:val="20"/>
          <w:color w:val="auto"/>
        </w:rPr>
      </w:pPr>
    </w:p>
    <w:p>
      <w:pPr>
        <w:spacing w:after="0"/>
        <w:tabs>
          <w:tab w:leader="none" w:pos="6640" w:val="left"/>
          <w:tab w:leader="none" w:pos="85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Irwin D. Simon</w:t>
      </w:r>
    </w:p>
    <w:p>
      <w:pPr>
        <w:spacing w:after="0" w:line="32"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-127635</wp:posOffset>
            </wp:positionV>
            <wp:extent cx="26142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6640" w:val="left"/>
          <w:tab w:leader="none" w:pos="85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 A. Merton</w:t>
      </w:r>
    </w:p>
    <w:p>
      <w:pPr>
        <w:spacing w:after="0" w:line="32"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-127635</wp:posOffset>
            </wp:positionV>
            <wp:extent cx="26142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00"/>
          </w:cols>
          <w:pgMar w:left="320" w:top="121" w:right="7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Irwin D. Simon, certify that:</w:t>
      </w:r>
    </w:p>
    <w:p>
      <w:pPr>
        <w:spacing w:after="0" w:line="225"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60" w:hanging="612"/>
        <w:spacing w:after="0" w:line="277"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943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Irwin D. Simon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Carl A. Merton, certify that:</w:t>
      </w:r>
    </w:p>
    <w:p>
      <w:pPr>
        <w:spacing w:after="0" w:line="225"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60" w:hanging="612"/>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943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Carl A. Merton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Irwin D. Simon, President and Chief Executive Officer of Tilray, Inc. (the “Company”), and Carl A. Merton, Chief Financial Officer of the Company, each hereby certifies that, to the best of his knowledge:</w:t>
      </w:r>
    </w:p>
    <w:p>
      <w:pPr>
        <w:spacing w:after="0" w:line="165" w:lineRule="exact"/>
        <w:rPr>
          <w:sz w:val="20"/>
          <w:szCs w:val="20"/>
          <w:color w:val="auto"/>
        </w:rPr>
      </w:pPr>
    </w:p>
    <w:p>
      <w:pPr>
        <w:ind w:left="1220" w:right="340" w:hanging="605"/>
        <w:spacing w:after="0" w:line="342" w:lineRule="auto"/>
        <w:tabs>
          <w:tab w:leader="none" w:pos="1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23" w:lineRule="exact"/>
        <w:rPr>
          <w:rFonts w:ascii="Arial" w:cs="Arial" w:eastAsia="Arial" w:hAnsi="Arial"/>
          <w:sz w:val="16"/>
          <w:szCs w:val="16"/>
          <w:color w:val="auto"/>
        </w:rPr>
      </w:pPr>
    </w:p>
    <w:p>
      <w:pPr>
        <w:ind w:left="1220" w:right="160" w:hanging="605"/>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May,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00" w:type="dxa"/>
            <w:vAlign w:val="bottom"/>
            <w:gridSpan w:val="2"/>
          </w:tcPr>
          <w:p>
            <w:pPr>
              <w:spacing w:after="0"/>
              <w:rPr>
                <w:sz w:val="20"/>
                <w:szCs w:val="20"/>
                <w:color w:val="auto"/>
              </w:rPr>
            </w:pPr>
            <w:r>
              <w:rPr>
                <w:rFonts w:ascii="Arial" w:cs="Arial" w:eastAsia="Arial" w:hAnsi="Arial"/>
                <w:sz w:val="18"/>
                <w:szCs w:val="18"/>
                <w:color w:val="auto"/>
              </w:rPr>
              <w:t>/s/ Irwin D. Simon</w:t>
            </w:r>
          </w:p>
        </w:tc>
        <w:tc>
          <w:tcPr>
            <w:tcW w:w="5040" w:type="dxa"/>
            <w:vAlign w:val="bottom"/>
          </w:tcPr>
          <w:p>
            <w:pPr>
              <w:spacing w:after="0"/>
              <w:rPr>
                <w:sz w:val="20"/>
                <w:szCs w:val="20"/>
                <w:color w:val="auto"/>
              </w:rPr>
            </w:pPr>
            <w:r>
              <w:rPr>
                <w:rFonts w:ascii="Arial" w:cs="Arial" w:eastAsia="Arial" w:hAnsi="Arial"/>
                <w:sz w:val="18"/>
                <w:szCs w:val="18"/>
                <w:color w:val="auto"/>
              </w:rPr>
              <w:t>/s/ Carl A. Merton</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Irwin D. Simon</w:t>
            </w:r>
          </w:p>
        </w:tc>
        <w:tc>
          <w:tcPr>
            <w:tcW w:w="11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Carl A. Merton</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8"/>
    </w:lvl>
  </w:abstractNum>
  <w:abstractNum w:abstractNumId="9">
    <w:nsid w:val="79838CB2"/>
    <w:multiLevelType w:val="hybridMultilevel"/>
    <w:lvl w:ilvl="0">
      <w:lvlJc w:val="left"/>
      <w:lvlText w:val="%1."/>
      <w:numFmt w:val="decimal"/>
      <w:start w:val="9"/>
    </w:lvl>
  </w:abstractNum>
  <w:abstractNum w:abstractNumId="10">
    <w:nsid w:val="4353D0CD"/>
    <w:multiLevelType w:val="hybridMultilevel"/>
    <w:lvl w:ilvl="0">
      <w:lvlJc w:val="left"/>
      <w:lvlText w:val="%1."/>
      <w:numFmt w:val="decimal"/>
      <w:start w:val="10"/>
    </w:lvl>
  </w:abstractNum>
  <w:abstractNum w:abstractNumId="11">
    <w:nsid w:val="B03E0C6"/>
    <w:multiLevelType w:val="hybridMultilevel"/>
    <w:lvl w:ilvl="0">
      <w:lvlJc w:val="left"/>
      <w:lvlText w:val="%1."/>
      <w:numFmt w:val="decimal"/>
      <w:start w:val="11"/>
    </w:lvl>
  </w:abstractNum>
  <w:abstractNum w:abstractNumId="12">
    <w:nsid w:val="189A769B"/>
    <w:multiLevelType w:val="hybridMultilevel"/>
    <w:lvl w:ilvl="0">
      <w:lvlJc w:val="left"/>
      <w:lvlText w:val="%1."/>
      <w:numFmt w:val="decimal"/>
      <w:start w:val="12"/>
    </w:lvl>
  </w:abstractNum>
  <w:abstractNum w:abstractNumId="13">
    <w:nsid w:val="54E49EB4"/>
    <w:multiLevelType w:val="hybridMultilevel"/>
    <w:lvl w:ilvl="0">
      <w:lvlJc w:val="left"/>
      <w:lvlText w:val="%1."/>
      <w:numFmt w:val="decimal"/>
      <w:start w:val="13"/>
    </w:lvl>
  </w:abstractNum>
  <w:abstractNum w:abstractNumId="14">
    <w:nsid w:val="71F32454"/>
    <w:multiLevelType w:val="hybridMultilevel"/>
    <w:lvl w:ilvl="0">
      <w:lvlJc w:val="left"/>
      <w:lvlText w:val="%1."/>
      <w:numFmt w:val="decimal"/>
      <w:start w:val="14"/>
    </w:lvl>
  </w:abstractNum>
  <w:abstractNum w:abstractNumId="15">
    <w:nsid w:val="2CA88611"/>
    <w:multiLevelType w:val="hybridMultilevel"/>
    <w:lvl w:ilvl="0">
      <w:lvlJc w:val="left"/>
      <w:lvlText w:val="%1."/>
      <w:numFmt w:val="decimal"/>
      <w:start w:val="15"/>
    </w:lvl>
  </w:abstractNum>
  <w:abstractNum w:abstractNumId="16">
    <w:nsid w:val="836C40E"/>
    <w:multiLevelType w:val="hybridMultilevel"/>
    <w:lvl w:ilvl="0">
      <w:lvlJc w:val="left"/>
      <w:lvlText w:val="%1."/>
      <w:numFmt w:val="decimal"/>
      <w:start w:val="16"/>
    </w:lvl>
  </w:abstractNum>
  <w:abstractNum w:abstractNumId="17">
    <w:nsid w:val="2901D82"/>
    <w:multiLevelType w:val="hybridMultilevel"/>
    <w:lvl w:ilvl="0">
      <w:lvlJc w:val="left"/>
      <w:lvlText w:val="%1."/>
      <w:numFmt w:val="decimal"/>
      <w:start w:val="17"/>
    </w:lvl>
  </w:abstractNum>
  <w:abstractNum w:abstractNumId="18">
    <w:nsid w:val="3A95F874"/>
    <w:multiLevelType w:val="hybridMultilevel"/>
    <w:lvl w:ilvl="0">
      <w:lvlJc w:val="left"/>
      <w:lvlText w:val="%1."/>
      <w:numFmt w:val="decimal"/>
      <w:start w:val="18"/>
    </w:lvl>
  </w:abstractNum>
  <w:abstractNum w:abstractNumId="19">
    <w:nsid w:val="8138641"/>
    <w:multiLevelType w:val="hybridMultilevel"/>
    <w:lvl w:ilvl="0">
      <w:lvlJc w:val="left"/>
      <w:lvlText w:val="%1."/>
      <w:numFmt w:val="decimal"/>
      <w:start w:val="20"/>
    </w:lvl>
  </w:abstractNum>
  <w:abstractNum w:abstractNumId="20">
    <w:nsid w:val="1E7FF521"/>
    <w:multiLevelType w:val="hybridMultilevel"/>
    <w:lvl w:ilvl="0">
      <w:lvlJc w:val="left"/>
      <w:lvlText w:val="%1."/>
      <w:numFmt w:val="decimal"/>
      <w:start w:val="21"/>
    </w:lvl>
  </w:abstractNum>
  <w:abstractNum w:abstractNumId="21">
    <w:nsid w:val="7C3DBD3D"/>
    <w:multiLevelType w:val="hybridMultilevel"/>
    <w:lvl w:ilvl="0">
      <w:lvlJc w:val="left"/>
      <w:lvlText w:val="%1."/>
      <w:numFmt w:val="decimal"/>
      <w:start w:val="22"/>
    </w:lvl>
  </w:abstractNum>
  <w:abstractNum w:abstractNumId="22">
    <w:nsid w:val="737B8DDC"/>
    <w:multiLevelType w:val="hybridMultilevel"/>
    <w:lvl w:ilvl="0">
      <w:lvlJc w:val="left"/>
      <w:lvlText w:val="%1."/>
      <w:numFmt w:val="decimal"/>
      <w:start w:val="23"/>
    </w:lvl>
  </w:abstractNum>
  <w:abstractNum w:abstractNumId="23">
    <w:nsid w:val="6CEAF087"/>
    <w:multiLevelType w:val="hybridMultilevel"/>
    <w:lvl w:ilvl="0">
      <w:lvlJc w:val="left"/>
      <w:lvlText w:val="%1."/>
      <w:numFmt w:val="decimal"/>
      <w:start w:val="24"/>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Roman"/>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72" Type="http://schemas.openxmlformats.org/officeDocument/2006/relationships/hyperlink" Target="http://www.sec.gov/Archives/edgar/data/1731348/000119312520323291/d93911dex21.htm" TargetMode="External"/><Relationship Id="rId73" Type="http://schemas.openxmlformats.org/officeDocument/2006/relationships/hyperlink" Target="http://www.sec.gov/Archives/edgar/data/1731348/000119312521049397/d64377dex21.htm" TargetMode="External"/><Relationship Id="rId74" Type="http://schemas.openxmlformats.org/officeDocument/2006/relationships/hyperlink" Target="http://www.sec.gov/Archives/edgar/data/1731348/000119312518197670/d545137dex31.htm" TargetMode="External"/><Relationship Id="rId75" Type="http://schemas.openxmlformats.org/officeDocument/2006/relationships/hyperlink" Target="http://www.sec.gov/Archives/edgar/data/1731348/000119312518214179/d545137dex34.htm" TargetMode="External"/><Relationship Id="rId76" Type="http://schemas.openxmlformats.org/officeDocument/2006/relationships/hyperlink" Target="http://www.sec.gov/Archives/edgar/data/1731348/000119312518296924/d637868dex41.htm" TargetMode="External"/><Relationship Id="rId77" Type="http://schemas.openxmlformats.org/officeDocument/2006/relationships/hyperlink" Target="http://www.sec.gov/Archives/edgar/data/1731348/000119312520075221/d836331dex41.htm" TargetMode="External"/><Relationship Id="rId78" Type="http://schemas.openxmlformats.org/officeDocument/2006/relationships/hyperlink" Target="http://www.sec.gov/Archives/edgar/data/1731348/000119312520075221/d836331dex42.htm" TargetMode="External"/><Relationship Id="rId79" Type="http://schemas.openxmlformats.org/officeDocument/2006/relationships/hyperlink" Target="https://www.sec.gov/ix?doc=/Archives/edgar/data/1731348/000119312521041801/d13506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2021-05-10T05:41:18Z</dcterms:created>
  <dcterms:modified xsi:type="dcterms:W3CDTF">2021-05-10T05:41:18Z</dcterms:modified>
</cp:coreProperties>
</file>