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700" w:right="1760" w:hanging="3692"/>
        <w:spacing w:after="0" w:line="391"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2023</w:t>
      </w:r>
    </w:p>
    <w:p>
      <w:pPr>
        <w:spacing w:after="0" w:line="280" w:lineRule="exact"/>
        <w:rPr>
          <w:sz w:val="24"/>
          <w:szCs w:val="24"/>
          <w:color w:val="auto"/>
        </w:rPr>
      </w:pPr>
    </w:p>
    <w:p>
      <w:pPr>
        <w:ind w:left="4360" w:right="1740" w:hanging="4352"/>
        <w:spacing w:after="0" w:line="375" w:lineRule="auto"/>
        <w:tabs>
          <w:tab w:leader="none" w:pos="3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TILRAY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57"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9"/>
        </w:trPr>
        <w:tc>
          <w:tcPr>
            <w:tcW w:w="432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40" w:type="dxa"/>
            <w:vAlign w:val="bottom"/>
          </w:tcPr>
          <w:p>
            <w:pPr>
              <w:jc w:val="center"/>
              <w:ind w:left="18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5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4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40" w:type="dxa"/>
            <w:vAlign w:val="bottom"/>
          </w:tcPr>
          <w:p>
            <w:pPr>
              <w:spacing w:after="0"/>
              <w:rPr>
                <w:sz w:val="18"/>
                <w:szCs w:val="18"/>
                <w:color w:val="auto"/>
              </w:rPr>
            </w:pPr>
          </w:p>
        </w:tc>
      </w:tr>
      <w:tr>
        <w:trPr>
          <w:trHeight w:val="214"/>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rPr>
              <w:t>Leamington, ON</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4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88265</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395"/>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2"/>
        </w:trPr>
        <w:tc>
          <w:tcPr>
            <w:tcW w:w="450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TLRY</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00" w:lineRule="exact"/>
        <w:rPr>
          <w:sz w:val="24"/>
          <w:szCs w:val="24"/>
          <w:color w:val="auto"/>
        </w:rPr>
      </w:pPr>
    </w:p>
    <w:p>
      <w:pPr>
        <w:jc w:val="both"/>
        <w:ind w:firstLine="45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2" w:lineRule="exact"/>
        <w:rPr>
          <w:sz w:val="24"/>
          <w:szCs w:val="24"/>
          <w:color w:val="auto"/>
        </w:rPr>
      </w:pPr>
    </w:p>
    <w:p>
      <w:pPr>
        <w:jc w:val="both"/>
        <w:ind w:firstLine="45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 w:name="page2"/>
    <w:bookmarkEnd w:id="1"/>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0" w:lineRule="exact"/>
        <w:rPr>
          <w:sz w:val="20"/>
          <w:szCs w:val="20"/>
          <w:color w:val="auto"/>
        </w:rPr>
      </w:pPr>
    </w:p>
    <w:p>
      <w:pPr>
        <w:spacing w:after="0" w:line="233" w:lineRule="exact"/>
        <w:rPr>
          <w:sz w:val="20"/>
          <w:szCs w:val="20"/>
          <w:color w:val="auto"/>
        </w:rPr>
      </w:pPr>
    </w:p>
    <w:p>
      <w:pPr>
        <w:ind w:right="20" w:firstLine="45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0"/>
          <w:szCs w:val="20"/>
          <w:color w:val="auto"/>
        </w:rPr>
      </w:pPr>
    </w:p>
    <w:p>
      <w:pPr>
        <w:ind w:left="460"/>
        <w:spacing w:after="0" w:line="184" w:lineRule="exact"/>
        <w:tabs>
          <w:tab w:leader="none" w:pos="8000" w:val="left"/>
          <w:tab w:leader="none" w:pos="86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6" w:lineRule="exact"/>
        <w:rPr>
          <w:sz w:val="20"/>
          <w:szCs w:val="20"/>
          <w:color w:val="auto"/>
        </w:rPr>
      </w:pPr>
    </w:p>
    <w:p>
      <w:pPr>
        <w:ind w:firstLine="45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April 3, 2023, the registrant had 618,007,938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8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40" w:type="dxa"/>
            <w:vAlign w:val="bottom"/>
            <w:gridSpan w:val="3"/>
            <w:vMerge w:val="restart"/>
          </w:tcPr>
          <w:p>
            <w:pPr>
              <w:spacing w:after="0"/>
              <w:rPr>
                <w:sz w:val="24"/>
                <w:szCs w:val="24"/>
                <w:color w:val="auto"/>
              </w:rPr>
            </w:pPr>
          </w:p>
        </w:tc>
        <w:tc>
          <w:tcPr>
            <w:tcW w:w="22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720" w:type="dxa"/>
            <w:vAlign w:val="bottom"/>
            <w:gridSpan w:val="10"/>
            <w:vMerge w:val="restart"/>
          </w:tcPr>
          <w:p>
            <w:pPr>
              <w:spacing w:after="0"/>
              <w:rPr>
                <w:sz w:val="24"/>
                <w:szCs w:val="24"/>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640" w:type="dxa"/>
            <w:vAlign w:val="bottom"/>
            <w:gridSpan w:val="2"/>
            <w:vMerge w:val="continue"/>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7720" w:type="dxa"/>
            <w:vAlign w:val="bottom"/>
            <w:gridSpan w:val="10"/>
            <w:vMerge w:val="continue"/>
          </w:tcPr>
          <w:p>
            <w:pPr>
              <w:spacing w:after="0"/>
              <w:rPr>
                <w:sz w:val="14"/>
                <w:szCs w:val="14"/>
                <w:color w:val="auto"/>
              </w:rPr>
            </w:pPr>
          </w:p>
        </w:tc>
        <w:tc>
          <w:tcPr>
            <w:tcW w:w="38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Financial Position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Loss and Comprehensive Loss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(Unaudited)</w:t>
            </w:r>
          </w:p>
        </w:tc>
        <w:tc>
          <w:tcPr>
            <w:tcW w:w="4840" w:type="dxa"/>
            <w:vAlign w:val="bottom"/>
            <w:gridSpan w:val="3"/>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w:t>
            </w:r>
          </w:p>
        </w:tc>
        <w:tc>
          <w:tcPr>
            <w:tcW w:w="5540" w:type="dxa"/>
            <w:vAlign w:val="bottom"/>
            <w:gridSpan w:val="4"/>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Interim Consolidated Financial Statements (Unaudited)</w:t>
            </w: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44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020" w:type="dxa"/>
            <w:vAlign w:val="bottom"/>
            <w:tcBorders>
              <w:top w:val="single" w:sz="8" w:color="0000EE"/>
            </w:tcBorders>
            <w:gridSpan w:val="3"/>
          </w:tcPr>
          <w:p>
            <w:pPr>
              <w:spacing w:after="0"/>
              <w:rPr>
                <w:sz w:val="17"/>
                <w:szCs w:val="17"/>
                <w:color w:val="auto"/>
              </w:rPr>
            </w:pPr>
          </w:p>
        </w:tc>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820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180" w:type="dxa"/>
            <w:vAlign w:val="bottom"/>
            <w:tcBorders>
              <w:top w:val="single" w:sz="8" w:color="0000EE"/>
            </w:tcBorders>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2"/>
          </w:tcPr>
          <w:p>
            <w:pPr>
              <w:spacing w:after="0"/>
              <w:rPr>
                <w:sz w:val="17"/>
                <w:szCs w:val="17"/>
                <w:color w:val="auto"/>
              </w:rPr>
            </w:pPr>
          </w:p>
        </w:tc>
        <w:tc>
          <w:tcPr>
            <w:tcW w:w="810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6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6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3"/>
          </w:tcPr>
          <w:p>
            <w:pPr>
              <w:spacing w:after="0"/>
              <w:rPr>
                <w:sz w:val="17"/>
                <w:szCs w:val="17"/>
                <w:color w:val="auto"/>
              </w:rPr>
            </w:pPr>
          </w:p>
        </w:tc>
        <w:tc>
          <w:tcPr>
            <w:tcW w:w="7660" w:type="dxa"/>
            <w:vAlign w:val="bottom"/>
            <w:gridSpan w:val="9"/>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60" w:type="dxa"/>
            <w:vAlign w:val="bottom"/>
            <w:gridSpan w:val="4"/>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66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60" w:type="dxa"/>
            <w:vAlign w:val="bottom"/>
            <w:gridSpan w:val="4"/>
          </w:tcPr>
          <w:p>
            <w:pPr>
              <w:spacing w:after="0"/>
              <w:rPr>
                <w:sz w:val="17"/>
                <w:szCs w:val="17"/>
                <w:color w:val="auto"/>
              </w:rPr>
            </w:pPr>
          </w:p>
        </w:tc>
        <w:tc>
          <w:tcPr>
            <w:tcW w:w="99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for the quarter ended February 28, 2023 (the “Form 10-Q”)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The words “anticipate,” “believe,” “continue,” “could,” “estimate,” “expect,” “intend,” “may,” “might,” “plan,” “project,” “will,” “would”, “seek,” or “should,” or the negative or plural of these words or similar expressions or variations are intended to identify 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current or future macroeconomic trends; future corporate acquisitions and strategic transactions; and our synergies, cash savings and efficiencies anticipated from the integration of our completed acquisitions and strategic transactions.</w:t>
      </w:r>
    </w:p>
    <w:p>
      <w:pPr>
        <w:spacing w:after="0" w:line="19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but are not limited to, those identified in this Form 10-Q and other risks and matters described in our most recent Annual Report on Form 10-K for the fiscal year ended May 31, 2022 as well as our other filings made from time to time with the U.S. Securities and Exchange Commission and in our Canadian securities filings.</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TILRAY BRANDS,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Financial Position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of United States dollars, 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164,997</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415,909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95,279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245,529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803,503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1,277,875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2,641,305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 equity investees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4,375,900</w:t>
            </w:r>
          </w:p>
        </w:tc>
        <w:tc>
          <w:tcPr>
            <w:tcW w:w="1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5,449,694</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18,125</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18,123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14,255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280,342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117,879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401,949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196,638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1,008,328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17)</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980,000,000 shares authorized; 617,857,031 and 532,674,887 shares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10,000,000 shares authorized; 120,000 and nil shares issued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5,382,367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(2,276,794)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(962,851)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Tilray Brands,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3,403,662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4,398,805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42,561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3,406,771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4,441,366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4,375,900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5,449,694</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and per share data,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6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09"/>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145,589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475,047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157,288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351,497</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38,999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121,401</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6,452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23,518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84,345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7,354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(30,747)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1,115,376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(recovery) costs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(income) costs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5,382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35,653</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1,195,037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1,359,502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266,528</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(1,206,736)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(1,279,705)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(142,978)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71,037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186,329</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(1,206,563)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(1,338,494)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(benefit) expense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(10,811)</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(2,739)</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(1,195,752)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(1,323,181)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23,668</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(1,170,998)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(1,313,943)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(24,754)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6,390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(78,499)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(114,641)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convertible notes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95,345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(56,250)</w:t>
            </w: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101,735</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(20,798)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(170,891)</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(1,326,503)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(147,223)</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(1,092,491)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(1,336,127)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(150,318)</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9,624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615,534,670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485,668,750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597,829,714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470,303,170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615,534,670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488,546,790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597,829,714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478,050,130</w:t>
            </w: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share data,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3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446,440,641</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4,792,406</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152,668</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(486,050)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4,465,313</w:t>
            </w:r>
          </w:p>
        </w:tc>
      </w:tr>
      <w:tr>
        <w:trPr>
          <w:trHeight w:val="169"/>
        </w:trPr>
        <w:tc>
          <w:tcPr>
            <w:tcW w:w="3320" w:type="dxa"/>
            <w:vAlign w:val="bottom"/>
            <w:tcBorders>
              <w:top w:val="single" w:sz="8" w:color="CCEEFF"/>
            </w:tcBorders>
          </w:tcPr>
          <w:p>
            <w:pPr>
              <w:spacing w:after="0" w:line="169" w:lineRule="exact"/>
              <w:rPr>
                <w:sz w:val="20"/>
                <w:szCs w:val="20"/>
                <w:color w:val="auto"/>
              </w:rPr>
            </w:pPr>
            <w:r>
              <w:rPr>
                <w:rFonts w:ascii="Times New Roman" w:cs="Times New Roman" w:eastAsia="Times New Roman" w:hAnsi="Times New Roman"/>
                <w:sz w:val="16"/>
                <w:szCs w:val="16"/>
                <w:color w:val="auto"/>
              </w:rPr>
              <w:t>Third party contribution to Superhero</w:t>
            </w: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LP</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52,995</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52,995</w:t>
            </w:r>
          </w:p>
        </w:tc>
      </w:tr>
      <w:tr>
        <w:trPr>
          <w:trHeight w:val="20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3,665,337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(5,944)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(5,944)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9,417</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(101,421)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(41,649)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7,045</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(136,025)</w:t>
            </w:r>
          </w:p>
        </w:tc>
      </w:tr>
      <w:tr>
        <w:trPr>
          <w:trHeight w:val="20"/>
        </w:trPr>
        <w:tc>
          <w:tcPr>
            <w:tcW w:w="3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450,523,467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4,795,879</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51,247</w:t>
            </w:r>
          </w:p>
        </w:tc>
        <w:tc>
          <w:tcPr>
            <w:tcW w:w="14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(527,699)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66,283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4,385,756</w:t>
            </w:r>
          </w:p>
        </w:tc>
      </w:tr>
      <w:tr>
        <w:trPr>
          <w:trHeight w:val="20"/>
        </w:trPr>
        <w:tc>
          <w:tcPr>
            <w:tcW w:w="3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Superhero Acquisition LP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9,817,061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117,804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117,804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 Diamond Holdings note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2,677,596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(28,560)</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(2,742)</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legal settlement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2,170</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12,876</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(41,652)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(42,875)</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November 30, 2021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463,802,393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4,954,547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(527,900)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36,701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4,472,989</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Breckenridge 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12,540,479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114,066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114,068</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legal settlement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2,743,485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778</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purchase of capital and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12,146</w:t>
            </w: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9,355</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43,190</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(2,928)</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31,677</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February 28,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480,737,533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5,110,892</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(484,710)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33,773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4,661,013</w:t>
            </w:r>
          </w:p>
        </w:tc>
      </w:tr>
      <w:tr>
        <w:trPr>
          <w:trHeight w:val="183"/>
        </w:trPr>
        <w:tc>
          <w:tcPr>
            <w:tcW w:w="3320" w:type="dxa"/>
            <w:vAlign w:val="bottom"/>
            <w:tcBorders>
              <w:top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May 31,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532,674,887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5,382,367</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(20,764)</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(962,851)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42,561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4,441,366</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equity financing</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32,481,149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129,593</w:t>
            </w:r>
          </w:p>
        </w:tc>
      </w:tr>
      <w:tr>
        <w:trPr>
          <w:trHeight w:val="18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purchase HEXO convertible</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receivable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33,314,412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107,272</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HTI Convertible Note - conversion feature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9,055</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5,064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Shares effectively repurchased for employee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(1,189)</w:t>
            </w:r>
          </w:p>
        </w:tc>
      </w:tr>
      <w:tr>
        <w:trPr>
          <w:trHeight w:val="205"/>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9,193</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to non-controlling interests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(8,561)</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(8,561)</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(58,968)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(73,482)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3,839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(128,611)</w:t>
            </w:r>
          </w:p>
        </w:tc>
      </w:tr>
      <w:tr>
        <w:trPr>
          <w:trHeight w:val="20"/>
        </w:trPr>
        <w:tc>
          <w:tcPr>
            <w:tcW w:w="33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600,954,939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5,641,348</w:t>
            </w:r>
          </w:p>
        </w:tc>
        <w:tc>
          <w:tcPr>
            <w:tcW w:w="14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(79,732)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(1,036,333)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37,839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4,563,182</w:t>
            </w:r>
          </w:p>
        </w:tc>
      </w:tr>
      <w:tr>
        <w:trPr>
          <w:trHeight w:val="20"/>
        </w:trPr>
        <w:tc>
          <w:tcPr>
            <w:tcW w:w="3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to purchase Montauk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6,422</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options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237,611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10,943</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issuance - Double Diamond Holdings note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10,276,305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(32,280)</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6,474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(41,723)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(69,463)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7,311</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(103,875)</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November 30,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613,181,559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5,697,466</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(121,455)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(1,105,796)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4,483,146</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RSUs exercised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9,630</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Share issuance - Double Diamond Holdings note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4,188,280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(8,235)</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7,678</w:t>
            </w:r>
          </w:p>
        </w:tc>
      </w:tr>
      <w:tr>
        <w:trPr>
          <w:trHeight w:val="203"/>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share issuance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334</w:t>
            </w:r>
          </w:p>
        </w:tc>
      </w:tr>
      <w:tr>
        <w:trPr>
          <w:trHeight w:val="203"/>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 for the period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(1,170,998)</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(1,526)</w:t>
            </w:r>
          </w:p>
        </w:tc>
        <w:tc>
          <w:tcPr>
            <w:tcW w:w="1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(1,094,017)</w:t>
            </w: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February 28,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617,977,031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5,723,342</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(42,948)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(2,276,794)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3,406,771</w:t>
            </w: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common stock is 120,000 of Series A preferred stock with par value of $0 as described in Note 13 (Stockholders’ equity). The accompanying notes are an integral part of these condensed interim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73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ended February 28,</w:t>
            </w:r>
          </w:p>
        </w:tc>
      </w:tr>
      <w:tr>
        <w:trPr>
          <w:trHeight w:val="209"/>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(1,323,181)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23,668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(17,296)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sale of capital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write down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long-term investments &amp; equity investments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(gain) on derivative instruments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(210,653)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(16,512)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(57,947)</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(156,738)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(28,470)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11,526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paid for business acquisition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(277,527)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(16,618)</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effectively repurchased for employee withholding tax</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 and convertible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bank indebtedness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(33,612)</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(209,252)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164,997</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279,214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interim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interim consolidated financial statements (the “financial statements”) reflect the accounts of the Company for the quarterly period ended February 28, 2023. The financial statements were prepared in accordance with generally accepted accounting principles in the United States of America (“U.S. GAAP”) for interim financial information and pursuant to the rules and regulations of the United States Securities and Exchange Commission (“SEC”) for interim financial information. Accordingly, they do not include all of the information and notes required by U.S. GAAP and should be read in conjunction with the audited consolidated financial statements (the “Annual Financial Statements”) included in the Company’s Annual Report on Form 10-K for the fiscal year ended May 31, 2022 (the “Annual Report”). These unaudited condensed interim consolidated financial statements reflect all adjustments, which, in the opinion of management, are necessary for a fair presentation of the results for the interim periods presented. Interim results are not necessarily indicative of results for a full year.</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These condensed interim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amounts in the unaudited condensed interim consolidated financial statements, notes and tables have been rounded to the nearest thousand, except par values and per share amounts, unless otherwise indicated.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subsidiaries are included in the condensed interim consolidated financial statements from the date that control commences until the date that control ceases. A complete list of our subsidiaries that existed prior to our most recent year end is included in the Annual Report.</w:t>
      </w:r>
    </w:p>
    <w:p>
      <w:pPr>
        <w:spacing w:after="0" w:line="180" w:lineRule="exact"/>
        <w:rPr>
          <w:sz w:val="20"/>
          <w:szCs w:val="20"/>
          <w:color w:val="auto"/>
        </w:rPr>
      </w:pPr>
    </w:p>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On February 10, 2023, the Company divested its ownership interest in ASG Pharma Ltd., a wholly-owned subsidiary incorporated in Malta, and, therefore, it is no longer consolidated in the Company's results. The Company recognized a gain of $312 in other non-operating (losses) gains, net as a result of the disposal.</w:t>
      </w:r>
    </w:p>
    <w:p>
      <w:pPr>
        <w:spacing w:after="0" w:line="3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classify term deposits and other investments that have maturities of greater than three months but less than one year as marketable securities. The fair value of marketable securities is based on quoted market prices for publicly traded securities. Marketable securities are carried at fair value with changes in fair value recorded in the statement of net loss and comprehensive loss, within the line, “Non-operating income (expense)”.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227"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of entities over which the Company does not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is less than carrying values. Changes in value are recorded in the statement of net loss and comprehensive loss, within the line, “Non-operating income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plus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at the reporting date, which establishes a new cost basis.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Convertible notes receivable include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by the weighted average number of common shares outstanding during the period. Diluted earnings (loss) per share is computed by dividing reported net income (loss)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payable and similar instruments.</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three and nine months ended February 28, 2023, the dilutive potential common share equivalents outstanding consist of the following: 16,431,876 common shares from RSUs, 4,660,046 common shares from share options, 6,209,000 common shares from warrants and 36,388,651 common shares from convertible debentures payable.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left="160" w:firstLine="486"/>
        <w:spacing w:after="0" w:line="266" w:lineRule="auto"/>
        <w:rPr>
          <w:sz w:val="20"/>
          <w:szCs w:val="20"/>
          <w:color w:val="auto"/>
        </w:rPr>
      </w:pPr>
      <w:r>
        <w:rPr>
          <w:rFonts w:ascii="Times New Roman" w:cs="Times New Roman" w:eastAsia="Times New Roman" w:hAnsi="Times New Roman"/>
          <w:sz w:val="18"/>
          <w:szCs w:val="18"/>
          <w:color w:val="auto"/>
        </w:rPr>
        <w:t>On July 12, 2022, the Company and HEXO entered into various commercial transaction agreements, as described in Note 23 (Segment reporting), which includes an advisory services arrangement. Revenue is recognized as the advisory services are provided to HEXO. Payments received for the services in advance of performance are recognized as a contract liability.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through performance obligation, is transferred/provided to the customer in an amount that reflects the consideration we expect to be entitled to in exchange for the performance obligations.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determining the transaction price for the sale of goods or service, the Company considers the effects of variable consideration and the existence of significant financing components, if any.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Some contracts for the sale of goods or services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(Subtopic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(“ASU 2021-08”), which is intended to improve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inconsistency. ASU 2021-08 is effective for the Company beginning June 1, 2023. This update will be applied prospectively on or after the effective date of the amendments. The Company is currently evaluating the effect of adopting this ASU.</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 (Subtopic 815-40): Accounting for Convertible Instruments and Contracts in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(“ASU 2020-06”),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and simplifies existing guidance in an effort to reduce the complexity of accounting for convertible instruments and to provide financial statement users with more meaningful information. The Company adopted ASU 2020-06 beginning June 1, 2022 and the adoption did not have material retrospective impacts on our condensed interim consolidated financial statements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Modifications and Extinguishments (Subtopic 470-50),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Compensation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718), and Derivatives and Hedging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Contracts in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(Subtopic 815-40) </w:t>
      </w:r>
      <w:r>
        <w:rPr>
          <w:rFonts w:ascii="Times New Roman" w:cs="Times New Roman" w:eastAsia="Times New Roman" w:hAnsi="Times New Roman"/>
          <w:sz w:val="18"/>
          <w:szCs w:val="18"/>
          <w:color w:val="auto"/>
        </w:rPr>
        <w:t>(“ASU 2021-04”), which amends existing guidance for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share (EPS) in accordance with Topic 260. The Company adopted the ASU beginning June 1, 2022 and the adoption of ASU 2021-04 did not have an impact on our condensed interim consolidated financial statements.</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Assistance, </w:t>
      </w:r>
      <w:r>
        <w:rPr>
          <w:rFonts w:ascii="Times New Roman" w:cs="Times New Roman" w:eastAsia="Times New Roman" w:hAnsi="Times New Roman"/>
          <w:sz w:val="18"/>
          <w:szCs w:val="18"/>
          <w:color w:val="auto"/>
        </w:rPr>
        <w:t>which is intended to increase the transparency of government assistance including the disclosure of (1) the types of assistance, (2) an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 assistance, and (3) the effect of the assistance on an entity’s financial statements. The Company adopted the ASU beginning June 1, 2022 and the adoption of ASU 2021-04 did not have an impact on the disclosure in our condensed interim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Inventory</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116,739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trim</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245,529</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2023, the Company recorded charges of $55,000 for an inventory valuation adjustment as a component of cannabis cost of good sold, compared to $nil and $12,000 for the three and nine months ended February 28, 2022. This charge was driven by the decision of management to repurpose a portion of our existing supply of dried cannabis inventory.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Capital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assets consisted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31,882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453,412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254,486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598,812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754,740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(173,549)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(167,241)</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425,263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587,499</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non-cash impairments of $81,500 on its production facility in Canada and $22,500 on its equipment for the three and nine months ended February 28, 2023, which the Company has temporarily made idle in order to reduce cultivation costs and right-size the Company's production to align with current and projected demand. The impairment was calculated based on the excess of carrying value over fair value which was determined using a market approach. A reasonably possible change in any of the inputs within the determination of fair value would not result in a material change to the impairment recorded.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Intangible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Intangible assets consisted of the following items: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377,897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12,512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634,997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1,580,531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1,642,843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(170,362)</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(154,124)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(210,844)</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994,325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1,277,875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recorded non-cash impairments of $110,000 of its customer relationships &amp; distribution channel, $55,000 of its licenses, permits &amp; applications and $40,000 of its intellectual property, trademarks, knowhow &amp; brands for the three and nine months ended February 28, 2023, as a result of the decline in market share in its Canadian cannabis with certain product lines and customers. As of February 28, 2023, included in licenses, permits &amp; applications is $182,009 of indefinite-lived intangible assets. As of May 31, 2022, there was $248,411 of indefinite-lived intangible assets included in Licenses, permits &amp; applications.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calculating the impairment amount, using an income approach, the Company used a discount rate of 13.50%, increased from 11.21% used in the May 31, 2022 annual assessment, a terminal growth rate of 2%-5% consistent with the rate used in the May 31, 2022 annual assessment, and an average revenue growth rate of 0%-40% over 5 years to correlate with the cash flows anticipated with the individual intangible assets that were assessed, while these assets have not been assessed individually in the past the associated cash flows were included in the May 31, 2022 goodwill annual assessment which used an average growth rate of 46%. A reasonably possible change in any of the inputs within the determination of fair value would not result in a material change to the impairment recorded.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February 28, 2023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 three months)</w:t>
            </w:r>
          </w:p>
        </w:tc>
        <w:tc>
          <w:tcPr>
            <w:tcW w:w="5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75,720</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72,616</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72,616</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72,616</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499,305</w:t>
            </w:r>
          </w:p>
        </w:tc>
        <w:tc>
          <w:tcPr>
            <w:tcW w:w="100" w:type="dxa"/>
            <w:vAlign w:val="bottom"/>
          </w:tcPr>
          <w:p>
            <w:pPr>
              <w:spacing w:after="0"/>
              <w:rPr>
                <w:sz w:val="18"/>
                <w:szCs w:val="18"/>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812,316</w:t>
            </w:r>
          </w:p>
        </w:tc>
      </w:tr>
      <w:tr>
        <w:trPr>
          <w:trHeight w:val="413"/>
        </w:trPr>
        <w:tc>
          <w:tcPr>
            <w:tcW w:w="3920" w:type="dxa"/>
            <w:vAlign w:val="bottom"/>
            <w:tcBorders>
              <w:top w:val="single" w:sz="8" w:color="CCEEFF"/>
            </w:tcBorders>
          </w:tcPr>
          <w:p>
            <w:pPr>
              <w:spacing w:after="0"/>
              <w:rPr>
                <w:sz w:val="24"/>
                <w:szCs w:val="24"/>
                <w:color w:val="auto"/>
              </w:rPr>
            </w:pPr>
          </w:p>
        </w:tc>
        <w:tc>
          <w:tcPr>
            <w:tcW w:w="5760" w:type="dxa"/>
            <w:vAlign w:val="bottom"/>
            <w:tcBorders>
              <w:top w:val="single" w:sz="8" w:color="CCEEFF"/>
            </w:tcBorders>
          </w:tcPr>
          <w:p>
            <w:pPr>
              <w:jc w:val="right"/>
              <w:ind w:right="393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 by reporting units: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123,325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102,999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(223,931)</w:t>
            </w: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2,005,701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Based upon a combination of factors including a sustained decline in the Company’s market capitalization below the Company’s carrying value, coupled with challenging macro-economic conditions, most particularly the rising interest rate environment and slower than anticipated progress in global cannabis legalization, the Company concluded that it is more likely than not, that the fair value of our reporting units was less than their carrying amounts as at February 28, 2023. Accordingly, the Company valued the fair value of each reporting segment by using the income approach, which estimates the fair value of each reporting unit based on the future discounted cash flows. Upon updating the Company’s forecasted cash flows there were no impairments identified from changes in management’s forecasts, however, due to the increased borrowing rates and the decline of the company’s market capitalization, the Company was led to adjust the Company specific risk premium which resulted in the non-cash impairment charges of $603,500 of cannabis goodwill and $15,000 of wellness goodwill for the three and nine months ended February 28, 2023. The non-cash charge has no impact on the Company’s compliance with debt covenants, its cash flows or available liquidity.</w:t>
      </w:r>
    </w:p>
    <w:p>
      <w:pPr>
        <w:spacing w:after="0" w:line="18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the Company's cannabis goodwill assessment the Company used a discount rate of 13.50%, increased from 11.21% used in the May 31, 2022 annual assessment, a terminal growth rate of 5% consistent with the rate used in the May 31, 2022 annual assessment, and an average revenue growth rate of 40% over 5 years as a result of anticipated federal legalization in various countries, decreased from 46% used in the May 31, 2022 annual assessment. A 1% increase in the discount rate would result in an additional $300,000 in impairment, a 1% decrease in the terminal growth rate would result in an additional $250,000 in impairment and a 5% decrease in the average growth rate would result in an additional $200,000 in impairment.</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the Company's wellness goodwill assessment the Company used a discount rate of 11.80%, increased from 10% used in the May 31, 2022 annual assessment, a terminal growth rate of 3% consistent with the rate used in the May 31, 2022 annual assessment, and an average revenue growth rate of 10% over 5 years, consistent with the rate used in the May 31, 2022 annual assessment. A 1% increase in the discount rate would result in an additional $14,000 in impairment, a 1% decrease in the terminal growth rate would result in an additional $10,000 in impairment and a 5% decrease in the average growth rate would result in an additional $5,000 in impairment.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Double Diamond Distillery LLC (d/b/a Breckenridge Distillery)</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On December 7, 2021, the Company through its wholly-owned subsidiary Four Twenty Corporation, acquired all the membership interests of Double Diamond Distillery LLC (d/b/a Breckenridge Distillery), a Colorado limited liability company and a leading distilled spirits brand located in Breckenridge, Colorado (the “Breckenridge Acquisition”). In consideration for the Breckenridge Acquisition, the Company paid an aggregate amount equal to $114,068 through the issuance of 12,540,479 shares of Tilray’s Class 2 common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the liabilities assumed at the effective acquisition date.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69,950</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114,068</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goodwill of $2,797 is primarily related to factors such as synergies and market opportunities and is reported under the Company’s Beverage alcohol segment. Revenue for the Company would have been higher by approximately $6,000 and $12,000 for the three and nine months ended February 28, 2022, if the acquisition had taken place on June 1, 2021. Net loss and comprehensive net loss would have increased by approximately $1,500 and $3,000 for the three and nine months ended February 28, 2022, if the acquisition had taken place on June 1, 2021, primarily as a result of amortization of the intangible assets acquired. This unaudited pro forma financial information does not reflect the realization of any expected ongoing synergies relating to the integration of Breckenridge.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Montauk Brewing Company, Inc.</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November 7, 2022, Tilray acquired Montauk Brewing Company, Inc. ("Montauk"), a leading craft brewer in Metro New York located in Montauk, New York (the “Montauk Acquisition”). In consideration for the Montauk Acquisition, the Company paid an initial purchase price of $35,110, which consisted of cash consideration of $28,688 and stock consideration of $6,422 through the issuance of 1,708,521 shares of Tilray's Class 2 common stock. In addition, the stockholders of Montauk shall be eligible to receive additional contingent cash consideration of up to $18,000 in the event that Montauk achieves certain volume and/or EBITDA targets on or before December 31, 2025. The Company determined that the closing date fair value of this contingent consideration was $10,245.</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of the net assets acquired may be subject to adjustments pending completion of final valuations and post-closing adjustments. The table below summarizes preliminary estimated fair value of the assets acquired and the liabilities assumed at the effective acquisition date. During the three months ended February 28, 2023, the Company recorded measurement period adjustments to its initial allocation of purchase price as a result of ongoing valuation procedures on assets and liabilities assumed, included: (i) an increase in other liabilities of $3,750, related to identified unfavorable contracts with third party production companies; (ii) a decrease in deferred tax liability of $1,031; and (iii) an increase to goodwill of $2,719 due to the incremental period adjustments. The impact of measurement period adjustments to the results of operations was immaterial.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(5 years)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20,326</w:t>
            </w:r>
          </w:p>
        </w:tc>
        <w:tc>
          <w:tcPr>
            <w:tcW w:w="100" w:type="dxa"/>
            <w:vAlign w:val="bottom"/>
          </w:tcPr>
          <w:p>
            <w:pPr>
              <w:spacing w:after="0"/>
              <w:rPr>
                <w:sz w:val="18"/>
                <w:szCs w:val="18"/>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shd w:val="clear" w:color="auto" w:fill="CCEEFF"/>
          </w:tcPr>
          <w:p>
            <w:pPr>
              <w:spacing w:after="0"/>
              <w:rPr>
                <w:sz w:val="19"/>
                <w:szCs w:val="19"/>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8"/>
                <w:szCs w:val="18"/>
                <w:color w:val="auto"/>
              </w:rPr>
            </w:pP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45,355</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for the Company would have been higher by approximately $3,100 and $12,000 for the three and nine months ended February 28, 2023, if the acquisition had taken place on June 1, 2022. Net loss and comprehensive net loss would have increased by approximately $600 and $1,100 for the three and nine months ended February 28, 2023, if the acquisition had taken place on June 1, 2022, primarily as a result of amortization of the intangible assets acquired. This unaudited pro forma financial information does not reflect the realization of any expected ongoing synergies relating to the integration of Montauk.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Convertible notes receivable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HEXO Convertible Note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93,675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tcPr>
          <w:p>
            <w:pPr>
              <w:spacing w:after="0"/>
              <w:rPr>
                <w:sz w:val="18"/>
                <w:szCs w:val="18"/>
                <w:color w:val="auto"/>
              </w:rPr>
            </w:pPr>
          </w:p>
        </w:tc>
      </w:tr>
      <w:tr>
        <w:trPr>
          <w:trHeight w:val="20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HEXO Corp. ("HEXO")</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On July 12, 2022, the Company closed a strategic alliance with HEXO, pursuant to which the Company acquired the HEXO Convertible Note from HT Investments MA LLC (“HTI”). At the time of closing, the HEXO Convertible Note had a principal balance of $173,700, which is to be repaid and or redeemed at 110% of the outstanding principal balance. The purchase price paid to HTI for the HEXO Convertible Note was $157,272. The purchase price paid to HTI was satisfied by Tilray's issuance of (i) a newly-issued $50,000 convertible promissory note ("HTI Convertible Note"), see Note 11 (Convertible debentures payable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(ii) the remaining balance was paid through the issuance of 33,314,412 shares of Tilray's Class 2 common stock, par value $0.0001 (collectively, the “HTI Share Consideration”). The HEXO Convertible Note bears interest at a rate of 5.0% per annum, calculated daily, which is payable to Tilray on a semi-annual basis. Interest payments made under the HEXO Convertible Note will be paid in cash until July 12, 2023 and, thereafter, such interest shall accrue but be added to the principal amount. The HEXO Convertible Note has a maturity date of May 1, 2026. Subject to certain limitations and adjustments, the HEXO Convertible Note is convertible into HEXO Common Shares at Tilray's option at any time prior to the second scheduled trading day prior to the maturity date, at a conversion price of CAD$5.60 per HEXO Common share as determined the day before exercise, including all capitalized interest. HEXO has the ability to force the conversion if the daily VWAP per common share is equal to or exceeds $42.00 per share for twenty consecutive trading days. The conversion price was updated on December 19, 2022, from CAD$0.40 to CAD$5.60 to reflect HEXO's 14:1 reverse stock split. Under the HEXO Convertible Note, the Company holds a first-priority security interest on substantially all of HEXO’s assets. In the event of a default on the HEXO Convertible Note, the Company would be entitled to exercise its rights as a secured creditor, and the Note would become redeemable at 115% of the outstanding principal balance.</w:t>
      </w:r>
    </w:p>
    <w:p>
      <w:pPr>
        <w:spacing w:after="0" w:line="19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third-party transaction costs associated with the acquisition of these notes were reimbursed by HEXO. During the three and nine months ended February 28, 2023, in connection with the HEXO Convertible Note, the Company recognized interest income of $2,171 and $5,549 respectively, and an other-than-temporary change in fair value which led to a non-cash impairment to the carrying value of the HEXO Convertible Note, which resulted in a loss of $63,597 for the three and nine months ended February 28, 2023. Due to changes in HEXO operations, which culminated in HEXO's assessment of a going concern issue regarding HEXO's ability to meet their minimum liquidity covenant, resulting in the Company increasing the forfeiture rate to 30% on the HEXO Convertible Note.</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HTI Share Consideration included a purchase price derivative, where the consideration paid is adjusted based on the sum of the VWAP of the Company's common stock for the 44 trading days after the issuance of the shares. The purchase price derivative is settled through the issuance of additional shares of the Company if the share price declined, or a cash payment back to the Company if the share price increased over the applicable period. On issuance this was valued at $nil. The subsequent change in fair value resulted in a gain of $18,256 due to the share price increasing, which was recorded in Transaction (income) costs, and was collected in cash by the Company during the period ended February 28, 2023.</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HEXO Convertible Note was determined using the Black-Scholes model using the following assumptions: the risk-free rate of 3.50%; expected life of the convertible note; volatility of 90% based on comparable companies; forfeiture rate of 30%; dividend yield of nil and the exercise price of the respective conversion feature.</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Concurrent with the aforementioned purchase of the HEXO Convertible Note, the Company and HEXO also entered into various commercial transaction agreements as described in Note 23 (Segment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MedMen Enterprises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MedMen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(the "MedMen Convertible Note"), together with certain associated warrants to acquire Class B subordinate voting shares of MedMen, in the principal amount of $165,799. The MedMen Convertible Note bears interest at the Secured overnight financing rate ("SOFR") plus 6%, with a SOFR floor of 2.5% and, any accrued interest is added to the outstanding principal amount, and is to be paid at maturity of the MedMen Convertible Note. SH Acquisition was also granted “top-up” rights enabling it (and its limited partners) to maintain its percentage ownership (on an “as-converted” basis) in the event that MedMen issues equity securities upon conversion of convertible securities that may be issued by MedMen. The Company’s ability to convert the MedMen Convertible Note and exercise the Warrants is dependent upon U.S. federal legalization of cannabis (a “Triggering Event”) or Tilray’s waiver of such requirement as well as any additional regulatory approvals. The MedMen Convertible Note has a maturity date of August 17, 2028.</w:t>
      </w:r>
    </w:p>
    <w:p>
      <w:pPr>
        <w:spacing w:after="0" w:line="18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February 28, 2023, in connection with the Medmen Convertible Note, the Company recognized an other-than-temporary change in fair value, which resulted in a non-cash impairment expense of $117,778 which includes the reversal of the fair value adjustments which were previously recorded in accumulated other comprehensive loss. As a result, of the deterioration of capital market conditions from increased interest rates and recent delays in US Federal cannabis legalization, the Company increased the forfeiture rate to 30% on the Medmen Convertible Note and recorded the aforementioned loss on the Medmen Convertible Notes through impairments.</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recognized interest income, which is included as part of the convertible debentures in the amount of $3,474 and $10,480 for the three and nine months ended February 28, 2023. The Company also recognized unrealized gain (loss) on convertible notes receivable in other comprehensive income of $82,100 and $70,779 for the three and nine months ended February 28, 2023, $(39,296) and $(56,250) for the three months ended February 28, 2022.</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MedMen Convertible Note was determined using the Black-Scholes model using the following assumptions: the risk-free rate of 3.50%; expected life of the convertible note; volatility of 70% based on comparable companies; forfeiture rate of nil; dividend yield of nil; probability of legalization between 0% and 60%; and, the exercise price of the respective conversion feature.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Long term investments</w:t>
            </w: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 term investments consisted of the following:</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8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3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3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18"/>
                <w:szCs w:val="18"/>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10,050</w:t>
            </w:r>
          </w:p>
        </w:tc>
      </w:tr>
      <w:tr>
        <w:trPr>
          <w:trHeight w:val="413"/>
        </w:trPr>
        <w:tc>
          <w:tcPr>
            <w:tcW w:w="482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Accounts payable and accrued liabilities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67,065</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57,497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Bank indebtedness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February 28, 2023, the Company has not drawn on the line of credit. The operating line of credit is secured by a security interest on that certain real property at 265 Talbot St. West, Leamington, Ontario.</w:t>
      </w:r>
    </w:p>
    <w:p>
      <w:pPr>
        <w:spacing w:after="0" w:line="176" w:lineRule="exact"/>
        <w:rPr>
          <w:sz w:val="20"/>
          <w:szCs w:val="20"/>
          <w:color w:val="auto"/>
        </w:rPr>
      </w:pPr>
    </w:p>
    <w:p>
      <w:pPr>
        <w:jc w:val="both"/>
        <w:ind w:firstLine="458"/>
        <w:spacing w:after="0" w:line="261" w:lineRule="auto"/>
        <w:tabs>
          <w:tab w:leader="none" w:pos="7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three operating lines of credit for €8,000, €3,500, and €500 each, which bear interest at Euro Over Night Index Average plus 1.79% and Euro Interbank Offered Rate ("EURIBOR") plus 3.682% respectively. As of February 28, 2023, a total of €7,663 ($8,125) was drawn down from the available credit of €12,000. The operating lines of credit are secured by a security interest in the inventory of CC Pharma GmbH.</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Four Twenty Corporation (“420”), a subsidiary of the Company, has a revolving credit facility of $30,000 which bears interest at EURIBOR plus an applicable margin. As of February 28, 2023, the Company has drawn $10,000 on the revolving line of credit. The revolving credit facility is secured by all of 420's assets and includes a corporate guarantee by a subsidiary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10. Long-term debt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47,630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53,720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C$194 including interest, due in July 2033</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12,750</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1.50%, compounded monthly, 5-year term with a 15-year</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C$190 including interest, due in April 2032</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13,447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1.79%,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€250 plus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1.79%,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€100 plus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2.68%,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€250 plus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EURBIOR plus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including interest, due in April 2025</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€98</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including interest, due in June 2025</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with a 10-year amortization,</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monthly installments of $57 plus interest, due in October 2030</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21,041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21,561</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$100,000 - EURIBOR rate plus an applicable margin, 3-year term, repayable in quarterly</w:t>
            </w:r>
          </w:p>
        </w:tc>
        <w:tc>
          <w:tcPr>
            <w:tcW w:w="16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installments of $2,500, due in December 2023</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168,539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187,152</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(67,823)</w:t>
            </w: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117,879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November 28, 2022, the Company entered into an Amended and Restated Credit Agreement (the “Amended and Restated Credit Agreement”) amending and restating the existing credit facility in the aggregate principal amount of C$66,000. The Amended and Restated Credit Agreement extended the term of the existing credit facility to November 28, 2025. The principal amount of loans outstanding at the time of the amendment was C$66,000.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February 28, 2023, the Company was in compliance with all of its covenants under its long-term debt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Convertible debentures payable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 payable: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HTI Convertible Note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45,762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5.25% Convertible Notes ("APHA 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223,087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216,753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Convertible Notes ("TLRY 23")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407,169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401,949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223,087</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401,949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i w:val="1"/>
                <w:iCs w:val="1"/>
                <w:color w:val="auto"/>
              </w:rPr>
              <w:t>HTI Convertible Note</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Contractual debenture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July 12, 2022, the Company issued a $50,000 convertible promissory note to HTI ("HTI Convertible Note"), bearing a 4% interest rate payable on a quarterly basis and having a maturity date of September 1, 2023. The fair value of the conversion feature was determined to be $9,055. Refer to Note 6 (Convertible notes receivable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details on this transaction. HTI may convert the HTI Convertible Note, in whole or in part, at any time prior to the second trading day immediately preceding the maturity date, into shares of Common Stock at a conversion price equal to $4.03, which is calculated as 125% of the closing sale price as of the closing date ( July 12, 2022). In no event will HTI be allowed to effect a conversion of the HTI Convertible Note if such conversion, along with all other shares of Common Stock beneficially owned by HTI and its affiliates, would exceed 9.99% of the outstanding Common Stock (the "Beneficial Ownership Limitation"). If HTI does not elect or is unable to elect to convert under the Beneficial Ownership Limitation the Company will be responsible for repaying the HTI Convertible Note in cash.</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APHA 24</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(90,760)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(42,487)</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216,753</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Holders of the APHA 24 may convert all or any portion of their Notes, in multiples of $1 principal amount, at their option at any time between December 1, 2023 to the maturity date of June 1, 2024. The initial conversion which the Company may settle in cash, or common shares of Tilray, or a combination thereof, at Tilray's election, is equivalent to an initial conversion price of approximately $11.20 per common share, subject to adjustments in certain events. In addition, holders of the APHA 24 may convert all or any portion of their Notes, in multiples of $1 principal amount, at their option at any time preceding December 1, 2023, if:</w:t>
      </w:r>
    </w:p>
    <w:p>
      <w:pPr>
        <w:spacing w:after="0" w:line="183" w:lineRule="exact"/>
        <w:rPr>
          <w:sz w:val="20"/>
          <w:szCs w:val="20"/>
          <w:color w:val="auto"/>
        </w:rPr>
      </w:pPr>
    </w:p>
    <w:p>
      <w:pPr>
        <w:ind w:left="820" w:hanging="326"/>
        <w:spacing w:after="0" w:line="261"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sales price of the common shares for at least 20 trading days during a period of 30 consecutive trading days immediately preceding fiscal quarter is greater than or equal to 130% of the conversion price on each applicable trading day;</w:t>
      </w:r>
    </w:p>
    <w:p>
      <w:pPr>
        <w:jc w:val="both"/>
        <w:ind w:left="820" w:hanging="326"/>
        <w:spacing w:after="0" w:line="250" w:lineRule="auto"/>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five-business day period after any five consecutive trading day period (the “measurement period”) in which the trading price per $1 principal amount of the APHA 24 for each trading day of the measurement period is less than 98% of the product of the last reported sale price of the Company’s common shares and the conversion rate on each such trading day;</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calls any or all of the APHA 24 for redemption or;</w:t>
      </w:r>
    </w:p>
    <w:p>
      <w:pPr>
        <w:spacing w:after="0" w:line="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occurrence of a specified corporate event.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1" w:name="page22"/>
    <w:bookmarkEnd w:id="21"/>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may redeem for cash all or part of the Notes,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of $259,240 plus accrued and unpaid interest to, but excluding, the redemption date.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i w:val="1"/>
                <w:iCs w:val="1"/>
                <w:color w:val="auto"/>
              </w:rPr>
              <w:t>TLRY 23</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Contractual debenture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277,856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277,856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paid</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(138,026)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(4,634)</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138,320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185,196</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nine months ended February 28, 2023, the Company repurchased outstanding TLRY 23 notes in the principal amount of $50,000, in exchange for a purchase price of $48,975. As a result of this transaction, the unamortized discount was reduced by $918 and a gain of $191 was recorded in non-operating income (expense), net.</w:t>
      </w:r>
    </w:p>
    <w:p>
      <w:pPr>
        <w:spacing w:after="0" w:line="176"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TLRY 23 bears interest at a rate of 5.00% per annum, payable semi-annually in arrears on April 1 and October 1 of each year. Additional interest may accrue on the TLRY 23 in specified circumstances. The TLRY 23 will mature on October 1, 2023, unless earlier repurchased, redeemed or converted. There are no principal payments required over the five-year term of the TLRY 23, except in the case of redemption or events of default.</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TLRY 23 is an unsecured obligation and ranks senior in right of payment to all of the Company's indebtedness that is expressly subordinated in right of payment to the TLRY 23; equal in right of payment with any of the Company's unsecured indebtedness that is not so subordinated; effectively junior in right of payment to any of the Company's secured indebtedness to the extent the value of the assets securing such indebtedness; and structurally junior to all indebtedness and other liabilities (including trade payables but excluding intercompany obligations) of the Company's current or future subsidiaries.</w:t>
      </w:r>
    </w:p>
    <w:p>
      <w:pPr>
        <w:spacing w:after="0" w:line="18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835,275 shares of common stock, based on the $139,830 aggregate principal amount of convertible notes outstanding as of February 28, 2023. Throughout the term of the TLRY 23, the conversion rate may be adjusted upon the occurrence of certain events.</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April 1, 2023, the TLRY 23 will be convertible only under the specified circumstances. On or after April 1, 2023 until the close of business on the business day immediately preceding the maturity date, September 30, 2023, holders may convert all or any portion of their TLRY 23, in multiples of $1 principal amount, at the option of the holder regardless of the aforementioned circumstances.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February 28, 2023, the Company was in compliance with all the covenants set forth under the TLRY 23. The effective interest rate on the debt is 6.9%, the Company recognized interest expense of $1,748 and $6,077 and amortized discount interest of $630 and $2,169 for the three and nine months ended February 28,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12. Warrant liability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28, 2023 and May 31, 2022, there were 6,209,000 warrants outstanding, with an original exercise price of $5.95 per warrant, expiring March 17, 2025. Each warrant is exercisable for one common share of the Company.</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nine months ended February 28, 2023, the Company issued shares which triggered the anti-dilution price protection feature lowering the exercise price to $3.15.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liability at February 28, 2023 at $1.19 per warrant using the Black Scholes pricing model (Level 3) with the following assumptions: Risk-free interest rate of 3.94%, expected volatility of 70%, expected term of 2.55 years, strike price of $3.15 and fair value of common stock of $2.83.</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Expected volatility is based on both historical and implied volatility of the Company’s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227"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On February 21, 2023, in connection with the issuance of the Consideration Shares, Tilray filed a certificate of designation (the "Certificate of Designation") with the Secretary of State of the State of Delaware, effective as of the time of filing, designating the rights, preferences, privileges and restrictions of the shares of the Series A Preferred Stock.</w:t>
      </w:r>
    </w:p>
    <w:p>
      <w:pPr>
        <w:spacing w:after="0" w:line="174" w:lineRule="exact"/>
        <w:rPr>
          <w:sz w:val="20"/>
          <w:szCs w:val="20"/>
          <w:color w:val="auto"/>
        </w:rPr>
      </w:pPr>
    </w:p>
    <w:p>
      <w:pPr>
        <w:ind w:right="3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No Transferability. </w:t>
      </w:r>
      <w:r>
        <w:rPr>
          <w:rFonts w:ascii="Times New Roman" w:cs="Times New Roman" w:eastAsia="Times New Roman" w:hAnsi="Times New Roman"/>
          <w:sz w:val="18"/>
          <w:szCs w:val="18"/>
          <w:color w:val="auto"/>
        </w:rPr>
        <w:t>Shares of Series A Preferred Stock will be uncertificated and represented in book-entry form. No shares of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may be transferred by the holder thereof.</w:t>
      </w:r>
    </w:p>
    <w:p>
      <w:pPr>
        <w:spacing w:after="0" w:line="15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Certificate of Designation provides that each share of Preferred Stock will have 1,000 votes and will vote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Class 2 common stock as a single class exclusively with respect to any proposal to adopt amendments to the Company’s amended and restated certificate of incorporation (as amended) (collectively, the “Charter Amendments”) by (a) eliminating provisions relating to the Company’s Class 1 common stock, par value $0.0001 per share (the “Class 1 Common Stock”), in connection with the previous automatic conversion of all issued and outstanding shares of Class 1 Common Stock into shares of Class 2 Common Stock, (b) reclassifying the authorized shares of Class 1 Common Stock as Class 2 Common Stock, and (c) adding a provision to automatically reclassify each issued and outstanding share of Class 2 Common Stock as one share of common stock, par value $0.0001, of the Company (“Common Stock”), the cumulative result being the Company having only two classes of stock authorized for issuance — common stock and preferred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Series A Preferred Stock will be voted, without action by the holder, on any such proposal in the same proportion as shares of Class 2 Common Stock are voted. The Series A Preferred Stock otherwise has no voting rights except as otherwise required by the General Corporation Law of the State of Delaware.</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Holders of Series A Preferred Stock are entitled to receive dividends on shares of Series A Preferred Stock equal (on an as-if-converted-to-Class-2-Common-Stock basis, disregarding for such purpose any conversion limitations hereunder) to and in the same form as dividends actually paid on shares of the Class 2 Common Stock when, as and if such dividends are paid on shares of the Class 2 Common Stock. No other dividends shall be paid on shares of Series A Preferred Stock.</w:t>
      </w:r>
    </w:p>
    <w:p>
      <w:pPr>
        <w:spacing w:after="0" w:line="18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 Liquidation. </w:t>
      </w:r>
      <w:r>
        <w:rPr>
          <w:rFonts w:ascii="Times New Roman" w:cs="Times New Roman" w:eastAsia="Times New Roman" w:hAnsi="Times New Roman"/>
          <w:sz w:val="18"/>
          <w:szCs w:val="18"/>
          <w:color w:val="auto"/>
        </w:rPr>
        <w:t>The Series A Preferred Stock ranks</w:t>
      </w:r>
      <w:r>
        <w:rPr>
          <w:rFonts w:ascii="Times New Roman" w:cs="Times New Roman" w:eastAsia="Times New Roman" w:hAnsi="Times New Roman"/>
          <w:sz w:val="18"/>
          <w:szCs w:val="18"/>
          <w:i w:val="1"/>
          <w:iCs w:val="1"/>
          <w:color w:val="auto"/>
        </w:rPr>
        <w:t xml:space="preserve"> pari passu </w:t>
      </w:r>
      <w:r>
        <w:rPr>
          <w:rFonts w:ascii="Times New Roman" w:cs="Times New Roman" w:eastAsia="Times New Roman" w:hAnsi="Times New Roman"/>
          <w:sz w:val="18"/>
          <w:szCs w:val="18"/>
          <w:color w:val="auto"/>
        </w:rPr>
        <w:t>with the Class 2 Common Stock as to any distribution of assets upon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the Company, whether voluntarily or involuntarily.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Automatic Conversion. </w:t>
      </w:r>
      <w:r>
        <w:rPr>
          <w:rFonts w:ascii="Times New Roman" w:cs="Times New Roman" w:eastAsia="Times New Roman" w:hAnsi="Times New Roman"/>
          <w:sz w:val="18"/>
          <w:szCs w:val="18"/>
          <w:color w:val="auto"/>
        </w:rPr>
        <w:t>Upon the closing of the polls at any meeting of the Company’s stockholders held for the purpose of voting on the 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(taking into account any adjournment or postponement thereof), each issued and outstanding share of Series A Preferred Stock will, without any further action on the part of the holder thereof or the Company, automatically be converted (the “Automatic Conversion”) into a number of fully paid and nonassessable shares of Common Stock as determined by dividing the Stated Value (as defined by the Certificate of Designation) by the Conversion Price then in effect. The conversion price per share upon an Automatic Conversion for the Series A Preferred Stock shall be the Stated Value of such share, subject to adjustment in the event that the Conversion Price then in effect is equal to or less than the Minimum Price, as defined in Nasdaq Listing Rule 5635(d)(1)(A) (the “Conversion Price”) see Note 24 (Subsequent events).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February 28, 2023, the Company had 990,000,000 shares authorized to be issued, of which 243,333,333 are Class 1 shares, with nil shares issued and outstanding, 736,666,667 are Class 2 shares, with 613,181,559 shares issued and outstanding and 10,000,000 are Series A Preferred Stock with 120,000 shares issued and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February 28, 2023, the Company issued the following Class 2 shares:</w:t>
      </w:r>
    </w:p>
    <w:p>
      <w:pPr>
        <w:spacing w:after="0" w:line="225" w:lineRule="exact"/>
        <w:rPr>
          <w:sz w:val="20"/>
          <w:szCs w:val="20"/>
          <w:color w:val="auto"/>
        </w:rPr>
      </w:pPr>
    </w:p>
    <w:p>
      <w:pPr>
        <w:ind w:left="980" w:hanging="48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32,481,149 shares under its At-the-Market (“ATM”) program for gross proceeds of $132,238. The Company paid $2,645 in commissions and other fees associated with these issuances for net proceeds of $129,593.</w:t>
      </w: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33,314,412 shares to purchase the HEXO convertible notes receivable.</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15,994,406 shares to settle amounts owed to the non-controlling shareholders of Aphria Diamond in the amount of $59,731.</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1,683,656 shares for the exercise of various stock-based compensation awards.</w:t>
      </w:r>
    </w:p>
    <w:p>
      <w:pPr>
        <w:spacing w:after="0" w:line="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1,708,521 shares issued to acquire Montauk Brewing Company Inc.</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February 28, 2023, the Company issued the following Series A preferred stock shares:</w:t>
      </w:r>
    </w:p>
    <w:p>
      <w:pPr>
        <w:spacing w:after="0" w:line="225"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shares to settle amounts owed to the non-controlling shareholders of Aphria Diamond in the amount of $334</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stock-based compensation plans as disclosed in our Annual Financial Statements. For the three and nine months ended February 28, 2023, the total stock-based compensation was $ 9,630 and $ 29,766, whereas for the three and nine months ended February 28, 2022, total stock based compensation was $9,355 and $27,025 respectively.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February 28, 2023, the Company granted nil and 6,004,995 time-based RSUs and nil and 2,634,744 performance based RSUs ( February 28, 2022 - nil and 69,508 time-based RSUs and nil and 1,414,666 performance based RSUs). The Company's total stock-based compensation expense recognized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3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r>
      <w:tr>
        <w:trPr>
          <w:trHeight w:val="210"/>
        </w:trPr>
        <w:tc>
          <w:tcPr>
            <w:tcW w:w="32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4,968</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22,057</w:t>
            </w:r>
          </w:p>
        </w:tc>
      </w:tr>
      <w:tr>
        <w:trPr>
          <w:trHeight w:val="20"/>
        </w:trPr>
        <w:tc>
          <w:tcPr>
            <w:tcW w:w="3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27,025</w:t>
            </w:r>
          </w:p>
        </w:tc>
      </w:tr>
      <w:tr>
        <w:trPr>
          <w:trHeight w:val="413"/>
        </w:trPr>
        <w:tc>
          <w:tcPr>
            <w:tcW w:w="3260" w:type="dxa"/>
            <w:vAlign w:val="bottom"/>
            <w:tcBorders>
              <w:top w:val="single" w:sz="8" w:color="CCEEFF"/>
            </w:tcBorders>
          </w:tcPr>
          <w:p>
            <w:pPr>
              <w:spacing w:after="0"/>
              <w:rPr>
                <w:sz w:val="24"/>
                <w:szCs w:val="24"/>
                <w:color w:val="auto"/>
              </w:rPr>
            </w:pPr>
          </w:p>
        </w:tc>
        <w:tc>
          <w:tcPr>
            <w:tcW w:w="280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income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 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(75,177)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(56,443)</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(58,968)</w:t>
            </w:r>
          </w:p>
        </w:tc>
      </w:tr>
      <w:tr>
        <w:trPr>
          <w:trHeight w:val="20"/>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August 31, 2022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(77,702)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(79,732)</w:t>
            </w:r>
          </w:p>
        </w:tc>
      </w:tr>
      <w:tr>
        <w:trPr>
          <w:trHeight w:val="20"/>
        </w:trPr>
        <w:tc>
          <w:tcPr>
            <w:tcW w:w="6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(24,080)</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(41,723)</w:t>
            </w:r>
          </w:p>
        </w:tc>
      </w:tr>
      <w:tr>
        <w:trPr>
          <w:trHeight w:val="20"/>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November 30, 2022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(95,345)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(121,455)</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14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Other comprehensive (loss) reversal</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(16,838)</w:t>
            </w:r>
          </w:p>
        </w:tc>
        <w:tc>
          <w:tcPr>
            <w:tcW w:w="200" w:type="dxa"/>
            <w:vAlign w:val="bottom"/>
          </w:tcPr>
          <w:p>
            <w:pPr>
              <w:spacing w:after="0"/>
              <w:rPr>
                <w:sz w:val="17"/>
                <w:szCs w:val="17"/>
                <w:color w:val="auto"/>
              </w:rPr>
            </w:pP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95,345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78,507</w:t>
            </w:r>
          </w:p>
        </w:tc>
      </w:tr>
      <w:tr>
        <w:trPr>
          <w:trHeight w:val="20"/>
        </w:trPr>
        <w:tc>
          <w:tcPr>
            <w:tcW w:w="6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28, 2023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(42,948)</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Non-controlling interests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Company’s subsidiaries, SH Acquisition (68%), CC Pharma Nordic ApS (75%), Aphria Diamond (51%), and ColCanna S.A.S. (90%) before intercompany eliminations.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in which there is a non-controlling interest as of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94,103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94,423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139,749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217,455</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(14,220)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(176,071)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(182,931)</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44,313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114,727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balance sheet information of the entities there is a non-controlling interest as of May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20,546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111,200</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357,882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(63,196)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(63,891)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(36,600)</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80,483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87,341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278,615</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nine months ended February 28,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98,960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99,086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107,297</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54,285</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91,026</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253,267</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(107,297)</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44,675</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(91,026)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(154,181)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70,778</w:t>
            </w: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70,431</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43,968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(83,750)</w:t>
            </w:r>
          </w:p>
        </w:tc>
      </w:tr>
      <w:tr>
        <w:trPr>
          <w:trHeight w:val="20"/>
        </w:trPr>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21,544</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8,968</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8,968</w:t>
            </w: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9,624</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Summary of income statement information of the entities in which there is a non-controlling interest for the nine months ended February 28,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CC Pharma</w:t>
            </w: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3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88,470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88,824</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(7,568)</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47,841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40,512</w:t>
            </w: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7,568</w:t>
            </w:r>
          </w:p>
        </w:tc>
        <w:tc>
          <w:tcPr>
            <w:tcW w:w="8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40,629</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48,312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(55,601)</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(2,509)</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(60,283)</w:t>
            </w: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(48,033)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(11,971)</w:t>
            </w:r>
          </w:p>
        </w:tc>
      </w:tr>
      <w:tr>
        <w:trPr>
          <w:trHeight w:val="20"/>
        </w:trPr>
        <w:tc>
          <w:tcPr>
            <w:tcW w:w="34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3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w:t>
            </w:r>
          </w:p>
        </w:tc>
      </w:tr>
      <w:tr>
        <w:trPr>
          <w:trHeight w:val="20"/>
        </w:trPr>
        <w:tc>
          <w:tcPr>
            <w:tcW w:w="3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determination of the Company’s overall effective tax rate requires significant judgment, the use of estimates, and the interpretation and application of complex tax laws. The effective tax rate reflects the income earned and taxed in various United States federal, state, and foreign jurisdictions. Tax law changes, increases and decreases in temporary and permanent differences between book and tax items, valuation allowances against the deferred tax assets, stock-based compensation, amortization of intangibles, and the Company’s change in income in each jurisdiction all affect the overall effective tax rate. It is the Company’s practice to recognize interest and penalties related to uncertain tax positions in income tax expense.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reported income tax recovery of $(10,811) and $(15,313) for the three and nine months ended February 28, 2023, and income tax recovery of $(1,830) and $(2,739) for the three and nine months ended February 28, 2022. The income tax expense in the current period varies from the US statutory income tax rate and prior period primarily due to the geographical mix of earnings and losses with no tax benefit resulting from valuation allowances in certain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10 (Long-term debt), convertible notes, refer to Note 11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168,539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77,892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40,435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4,743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34,312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449,070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259,240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649,920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275,912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41,275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34,650</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9040" w:type="dxa"/>
            <w:vAlign w:val="bottom"/>
            <w:gridSpan w:val="14"/>
          </w:tcPr>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 associated with lease liabilities as of February 28, 2023: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3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8"/>
                <w:szCs w:val="18"/>
                <w:color w:val="auto"/>
              </w:rPr>
            </w:pPr>
          </w:p>
        </w:tc>
      </w:tr>
      <w:tr>
        <w:trPr>
          <w:trHeight w:val="216"/>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19,182</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(8,056)</w:t>
            </w:r>
          </w:p>
        </w:tc>
      </w:tr>
      <w:tr>
        <w:trPr>
          <w:trHeight w:val="209"/>
        </w:trPr>
        <w:tc>
          <w:tcPr>
            <w:tcW w:w="34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00" w:type="dxa"/>
            <w:vAlign w:val="bottom"/>
            <w:tcBorders>
              <w:top w:val="single" w:sz="8" w:color="CCEEFF"/>
            </w:tcBorders>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ind w:left="160"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legal proceedings since our fiscal quarter ended November 30, 2022, except with respect to certain aspects of the legal proceedings disclosed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Action Suits and Stockholder Derivative Suits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Approved Settlement of Tilray Brands, Inc. Reorganization Litigation (Delaware, New York)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Special Litigation Committee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27, 2020, Tilray stockholders Deborah Braun and Nader Noorian filed a class action and derivative complaint in the Delaware Court of Chancery styled Braun v. Kennedy, C.A. No. 2020-0137-KSJM. On March 2, 2020, Tilray stockholders Catherine Bouvier, James Hawkins, and Stephanie Hawkins filed a class action and derivative complaint in the Delaware Court of Chancery styled Bouvier v. Kennedy, C.A. No. 2020-0154-KSJM.</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4, 2020, the Delaware Court of Chancery entered an order consolidating the two cases and designating the complaint in the Braun/Noorian action as the operative complaint. The operative complaint asserts claims for breach of fiduciary duty against Brendan Kennedy, Christian Groh, Michael Blue, and Privateer Evolution, LLC (the “Privateer Defendants”) for alleged breaches of fiduciary duty in their alleged capacities as Tilray’s controlling stockholders and against Kennedy, Maryscott Greenwood, and Michael Auerbach for alleged breaches of fiduciary duties in their capacities as directors and/or officers of Tilray in connection with the prior merger of Privateer Holdings, Inc. with and into a wholly owned subsidiary (the “Downstream Merger”). 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 of tax savings without providing a corresponding benefit to Tilray and its minority stockholders and that the Downstream Merger unfairly transferred and extended Kennedy, Blue, and Groh’s control over Tilray.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7" w:name="page28"/>
    <w:bookmarkEnd w:id="27"/>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August 2021, the Company’s Board of Directors established a Special Litigation Committee (the “SLC”) of independent directors to re-assert director control and investigate the derivative claims in this litigation matter. The SLC has appointed the law firm Wilson Sonsini to assist the SLC with an ongoing investigation of the underlying claim and determine whether continued prosecution of such claims was in the best interests of the Company.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27, 2022, the SLC informed the Court that it had completed its investigation; determined not to seek dismissal of the Action; and confirmed its determination that the Company had suffered significant damages and that the SLC would pursue claims to recover appropriate amounts for the Company's benefit. Thereafter, the SLC, all of the Defendants, and certain non-parties participated in two mediation sessions before former Chancellor of the Delaware Court of Chancery Andre G. Bouchard.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15, 2022, the SLC reached an agreement in principle with the Defendants and certain of the non-parties, and their respective insurers, to resolve the claims asserted in the Action in exchange for an aggregate amount of $26,900 to be paid to Tilray plus mutual releases. The SLC subsequently reached a further agreement with an additional non-party and plaintiffs to settle the entire Action. On December 20, 2022, the parties submitted to the Delaware Court of Chancery a Stipulation and Agreement of Compromise, Settlement, and Release ("SLC Settlement") which provided for, among other things, an aggregate cash amount of $39,900 to be paid to Tilray in exchange for mutual releases. Tilray stockholders will not receive any direct payment from the SLC Settlement. The SLC Settlement was formally approved by the Delaware Court following a hearing on February 27, 2023, and Tilray received the settlement proceeds following such approval.</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Authentic Brands Group Related Class Action (New York, United States)</w:t>
      </w:r>
    </w:p>
    <w:p>
      <w:pPr>
        <w:spacing w:after="0" w:line="229" w:lineRule="exact"/>
        <w:rPr>
          <w:sz w:val="20"/>
          <w:szCs w:val="20"/>
          <w:color w:val="auto"/>
        </w:rPr>
      </w:pPr>
    </w:p>
    <w:p>
      <w:pPr>
        <w:jc w:val="both"/>
        <w:ind w:left="160" w:firstLine="486"/>
        <w:spacing w:after="0" w:line="253"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w:t>
      </w:r>
    </w:p>
    <w:p>
      <w:pPr>
        <w:spacing w:after="0" w:line="194" w:lineRule="exact"/>
        <w:rPr>
          <w:sz w:val="20"/>
          <w:szCs w:val="20"/>
          <w:color w:val="auto"/>
        </w:rPr>
      </w:pPr>
    </w:p>
    <w:p>
      <w:pPr>
        <w:jc w:val="both"/>
        <w:ind w:left="160" w:firstLine="486"/>
        <w:spacing w:after="0" w:line="256"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complaint in the Kasilingam litigation. On December 3, 2021, the lead plaintiff filed a second amended complaint alleging similar claims against Tilray and Brendan Kennedy. The defendants moved to dismiss the amended complaint on February 2, 2022. On September 28, 2022, the Court granted in part and denied in part the defendants’ motion to dismiss the second amended complaint. On October 12, 2022, the Company filed a motion for reconsideration and/or interlocutory appeal of this Court decision. The Company still believes the claims are without merit and intends to defend vigorously against them, but there can be no assurances as to the outcome.</w:t>
      </w:r>
    </w:p>
    <w:p>
      <w:pPr>
        <w:spacing w:after="0" w:line="1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Aphria Inc. Securities Litigation (New York, United States)</w:t>
      </w:r>
    </w:p>
    <w:p>
      <w:pPr>
        <w:spacing w:after="0" w:line="229" w:lineRule="exact"/>
        <w:rPr>
          <w:sz w:val="20"/>
          <w:szCs w:val="20"/>
          <w:color w:val="auto"/>
        </w:rPr>
      </w:pPr>
    </w:p>
    <w:p>
      <w:pPr>
        <w:jc w:val="both"/>
        <w:ind w:left="160" w:firstLine="486"/>
        <w:spacing w:after="0" w:line="255" w:lineRule="auto"/>
        <w:rPr>
          <w:sz w:val="20"/>
          <w:szCs w:val="20"/>
          <w:color w:val="auto"/>
        </w:rPr>
      </w:pPr>
      <w:r>
        <w:rPr>
          <w:rFonts w:ascii="Times New Roman" w:cs="Times New Roman" w:eastAsia="Times New Roman" w:hAnsi="Times New Roman"/>
          <w:sz w:val="18"/>
          <w:szCs w:val="18"/>
          <w:color w:val="auto"/>
        </w:rPr>
        <w:t>On December 5, 2018, a putative securities class action was commenced in SDNY against a number of defendants including Aphria and certain current and former officers and directors. The action claims that the defendants misrepresented the value of three cannabis-producing properties Aphria acquired in Jamaica, Colombia, and Argentina (the “LATAM Assets”). On December 3, 2018, two notorious short-sellers issued a report about the acquisitions, claiming the LATAM Assets were non-functional or non-existent, which allegedly caused Aphria’s stock price to fall. On April 15, 2019, Aphria took impairment charges on the LATAM Assets, which also allegedly caused Aphria’s stock price to decline. The putative class action claims that Aphria artificially inflated the price of its publicly-traded stock by making false statements about the LATAM Assets, and when the purported truth was revealed by a short-seller report and write-down, the stock price declined, harming investors.</w:t>
      </w:r>
    </w:p>
    <w:p>
      <w:pPr>
        <w:spacing w:after="0" w:line="189" w:lineRule="exact"/>
        <w:rPr>
          <w:sz w:val="20"/>
          <w:szCs w:val="20"/>
          <w:color w:val="auto"/>
        </w:rPr>
      </w:pPr>
    </w:p>
    <w:p>
      <w:pPr>
        <w:jc w:val="both"/>
        <w:ind w:left="160" w:firstLine="486"/>
        <w:spacing w:after="0" w:line="261" w:lineRule="auto"/>
        <w:rPr>
          <w:sz w:val="20"/>
          <w:szCs w:val="20"/>
          <w:color w:val="auto"/>
        </w:rPr>
      </w:pPr>
      <w:r>
        <w:rPr>
          <w:rFonts w:ascii="Times New Roman" w:cs="Times New Roman" w:eastAsia="Times New Roman" w:hAnsi="Times New Roman"/>
          <w:sz w:val="18"/>
          <w:szCs w:val="18"/>
          <w:color w:val="auto"/>
        </w:rPr>
        <w:t>On September 30, 2020, the Court denied the motion to dismiss the complaint as to Aphria, Vic Neufeld, and Carl Merton, and granted the motion as to Cole Cacciavillani, John Cervini, Andrew DeFrancesco, and SOL Global Investments. On October 1, 2020, Plaintiffs moved for reconsideration of the order dismissing DeFrancesco and SOL or, in the alternative, to amend their complaint. On October 14, 2020, Aphria, Neufeld, and Merton moved for reconsideration of the order denying their motion to dismiss.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8" w:name="page29"/>
    <w:bookmarkEnd w:id="28"/>
    <w:p>
      <w:pPr>
        <w:jc w:val="both"/>
        <w:ind w:left="160" w:firstLine="486"/>
        <w:spacing w:after="0" w:line="261" w:lineRule="auto"/>
        <w:rPr>
          <w:sz w:val="20"/>
          <w:szCs w:val="20"/>
          <w:color w:val="auto"/>
        </w:rPr>
      </w:pPr>
      <w:r>
        <w:rPr>
          <w:rFonts w:ascii="Times New Roman" w:cs="Times New Roman" w:eastAsia="Times New Roman" w:hAnsi="Times New Roman"/>
          <w:sz w:val="18"/>
          <w:szCs w:val="18"/>
          <w:color w:val="auto"/>
        </w:rPr>
        <w:t>On September 29, 2021, the U.S. District Court issued an Order that (i) permitted the plaintiffs to amend their lawsuit to revive the claims against Andy DeFrancecso; and (ii) declined to revisit his decision that claims could proceed against Aphria/Tilray, Vic Neufeld, and Carl Merton. Plaintiffs declined to amend their complaint, however, and so the action is proceeding solely against Aphria/Tilray, Neufeld, and Merton. On December 5, 2022, the parties engaged in a mediation session with an independent mediator. However, no settlement agreement was reached.</w:t>
      </w:r>
    </w:p>
    <w:p>
      <w:pPr>
        <w:spacing w:after="0" w:line="180" w:lineRule="exact"/>
        <w:rPr>
          <w:sz w:val="20"/>
          <w:szCs w:val="20"/>
          <w:color w:val="auto"/>
        </w:rPr>
      </w:pPr>
    </w:p>
    <w:p>
      <w:pPr>
        <w:jc w:val="both"/>
        <w:ind w:left="160" w:firstLine="486"/>
        <w:spacing w:after="0" w:line="282" w:lineRule="auto"/>
        <w:rPr>
          <w:sz w:val="20"/>
          <w:szCs w:val="20"/>
          <w:color w:val="auto"/>
        </w:rPr>
      </w:pPr>
      <w:r>
        <w:rPr>
          <w:rFonts w:ascii="Times New Roman" w:cs="Times New Roman" w:eastAsia="Times New Roman" w:hAnsi="Times New Roman"/>
          <w:sz w:val="18"/>
          <w:szCs w:val="18"/>
          <w:color w:val="auto"/>
        </w:rPr>
        <w:t>It is too early to determine any potential damages from this proceeding. The Company and the individual defendants believe the claims are without merit, and intend to vigorously defend against the claims, but there can be no assurances as to the outcome.</w:t>
      </w:r>
    </w:p>
    <w:p>
      <w:pPr>
        <w:spacing w:after="0" w:line="1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LATAM and Nuuvera Class Actions and Individual Actions (Canada)</w:t>
      </w:r>
    </w:p>
    <w:p>
      <w:pPr>
        <w:spacing w:after="0" w:line="229" w:lineRule="exact"/>
        <w:rPr>
          <w:sz w:val="20"/>
          <w:szCs w:val="20"/>
          <w:color w:val="auto"/>
        </w:rPr>
      </w:pPr>
    </w:p>
    <w:p>
      <w:pPr>
        <w:jc w:val="both"/>
        <w:ind w:left="160" w:firstLine="486"/>
        <w:spacing w:after="0" w:line="257" w:lineRule="auto"/>
        <w:rPr>
          <w:sz w:val="20"/>
          <w:szCs w:val="20"/>
          <w:color w:val="auto"/>
        </w:rPr>
      </w:pPr>
      <w:r>
        <w:rPr>
          <w:rFonts w:ascii="Times New Roman" w:cs="Times New Roman" w:eastAsia="Times New Roman" w:hAnsi="Times New Roman"/>
          <w:sz w:val="18"/>
          <w:szCs w:val="18"/>
          <w:color w:val="auto"/>
        </w:rPr>
        <w:t>On January 29, 2018, Aphria announced the acquisition of Nuuvera Inc. On July 17, 2018, Aphria announced a planned expansion into Latin America and the Caribbean with the acquisition of LATAM Holdings Inc. The following class actions and four individual proceedings have been commenced in Canada against Aphria and several current or former officers relating to the Nuuvera and LATAM transactions:</w:t>
      </w:r>
    </w:p>
    <w:p>
      <w:pPr>
        <w:spacing w:after="0" w:line="1" w:lineRule="exact"/>
        <w:rPr>
          <w:sz w:val="20"/>
          <w:szCs w:val="20"/>
          <w:color w:val="auto"/>
        </w:rPr>
      </w:pPr>
    </w:p>
    <w:p>
      <w:pPr>
        <w:jc w:val="both"/>
        <w:ind w:left="160" w:firstLine="478"/>
        <w:spacing w:after="0" w:line="250" w:lineRule="auto"/>
        <w:tabs>
          <w:tab w:leader="none" w:pos="8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class action (the "Vecchio Action") commenced in the Ontario Superior Court in February 2019, and amended thereafter, alleging statutory and common law misrepresentations and oppression relating to the Nuuvera and LATAM transactions. The Vecchio Action names Aphria, Merton, Neufeld, Cacciavillani and 5 underwriters as defendants;</w:t>
      </w:r>
    </w:p>
    <w:p>
      <w:pPr>
        <w:spacing w:after="0" w:line="1" w:lineRule="exact"/>
        <w:rPr>
          <w:rFonts w:ascii="Times New Roman" w:cs="Times New Roman" w:eastAsia="Times New Roman" w:hAnsi="Times New Roman"/>
          <w:sz w:val="18"/>
          <w:szCs w:val="18"/>
          <w:color w:val="auto"/>
        </w:rPr>
      </w:pPr>
    </w:p>
    <w:p>
      <w:pPr>
        <w:jc w:val="both"/>
        <w:ind w:left="160" w:firstLine="478"/>
        <w:spacing w:after="0" w:line="255" w:lineRule="auto"/>
        <w:tabs>
          <w:tab w:leader="none" w:pos="9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individual actions (the "Individual Actions") commenced by Wan, Bergerson, Landry, and Profinsys in the Ontario Superior Court alleging statutory and common law misrepresentations relating to the LATAM and Nuuvera transactions. The Individual Actions name Aphria, Merton, Neufeld, and Cacciavillani as defendants.</w:t>
      </w:r>
    </w:p>
    <w:p>
      <w:pPr>
        <w:spacing w:after="0" w:line="186" w:lineRule="exact"/>
        <w:rPr>
          <w:sz w:val="20"/>
          <w:szCs w:val="20"/>
          <w:color w:val="auto"/>
        </w:rPr>
      </w:pPr>
    </w:p>
    <w:p>
      <w:pPr>
        <w:jc w:val="both"/>
        <w:ind w:left="160" w:firstLine="486"/>
        <w:spacing w:after="0" w:line="255" w:lineRule="auto"/>
        <w:rPr>
          <w:sz w:val="20"/>
          <w:szCs w:val="20"/>
          <w:color w:val="auto"/>
        </w:rPr>
      </w:pPr>
      <w:r>
        <w:rPr>
          <w:rFonts w:ascii="Times New Roman" w:cs="Times New Roman" w:eastAsia="Times New Roman" w:hAnsi="Times New Roman"/>
          <w:sz w:val="18"/>
          <w:szCs w:val="18"/>
          <w:color w:val="auto"/>
        </w:rPr>
        <w:t>In the Vecchio Action a motion for certification and leave was heard. For Reasons for Decision released August 6, 2021, and with the consent of Aphria and the individually named Defendants, the Court granted leave to proceed with the secondary market statutory cause of action, and certified the Action on behalf of a defined class of purchasers. Also, on consent, the Court dismissed the claims of oppression and common law misrepresentation against Aphria and the individual defendants, as well as all claims against Carl Merton. The Court granted certification of the primary market statutory cause of action against all remaining Defendants but made it conditional on a successful motion by the Plaintiff to have the Court appoint a second Plaintiff for that aspect of the Claim. The defendant underwriters are appealing one term of that final aspect of the Court's decision. We continue to believe that these claims are without merit and plan to vigorously defend against this action.</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Docklight Litigation</w:t>
      </w:r>
    </w:p>
    <w:p>
      <w:pPr>
        <w:spacing w:after="0" w:line="229" w:lineRule="exact"/>
        <w:rPr>
          <w:sz w:val="20"/>
          <w:szCs w:val="20"/>
          <w:color w:val="auto"/>
        </w:rPr>
      </w:pPr>
    </w:p>
    <w:p>
      <w:pPr>
        <w:jc w:val="both"/>
        <w:ind w:left="160" w:firstLine="486"/>
        <w:spacing w:after="0" w:line="254" w:lineRule="auto"/>
        <w:rPr>
          <w:sz w:val="20"/>
          <w:szCs w:val="20"/>
          <w:color w:val="auto"/>
        </w:rPr>
      </w:pPr>
      <w:r>
        <w:rPr>
          <w:rFonts w:ascii="Times New Roman" w:cs="Times New Roman" w:eastAsia="Times New Roman" w:hAnsi="Times New Roman"/>
          <w:sz w:val="18"/>
          <w:szCs w:val="18"/>
          <w:color w:val="auto"/>
        </w:rPr>
        <w:t>On November 5, 2021 Docklight Brands, Inc. (“Docklight”) filed a complaint against the Company and its wholly-owned subsidiary, High Park Holdings, Ltd. (“High Park”) in Superior Court of the State of Washington, King County. Docklight claimed breach of contract against High Park arising from a 2018 license agreement pursuant to which Docklight licensed certain Bob Marley-related brands to High Park (as amended in 2020 and 2021, the “High Park License”). In addition, Docklight brought a negligent misrepresentation claim against Tilray, alleging that certain individuals at Tilray or Aphria had made false statements to Docklight in order to induce Docklight to waive Docklight’s alleged right to terminate the High Park License for change-of-control on the basis of the 2021 Tilray-Aphria Arrangement Agreement. Docklight seeks injunctive relief as well as unspecified damages. On December 17, 2021, Defendants removed the case to the United States District Court, Federal District of Washington. Defendants’ answer to the complaint was timely filed by January 21, 2022, and discovery in this litigation matter is ongoing. Tilray and High Park continue to believe that the claims are without merit and we intend to continue to vigorously defend the Docklight suit.</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Litigation (recovery) costs is $33,000 relating to the SLC Settlement (net of costs) and expense accruals equaling $25,000 to cover various ongoing litigation matters that are probable and estimable, for the three and nine months ended February 28,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18. Net revenue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reports its net revenue in four reporting segments: cannabis, distribution, beverage alcohol and wellness.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revenue is comprised of:</w:t>
            </w:r>
          </w:p>
        </w:tc>
        <w:tc>
          <w:tcPr>
            <w:tcW w:w="240" w:type="dxa"/>
            <w:vAlign w:val="bottom"/>
          </w:tcPr>
          <w:p>
            <w:pPr>
              <w:spacing w:after="0"/>
              <w:rPr>
                <w:sz w:val="20"/>
                <w:szCs w:val="20"/>
                <w:color w:val="auto"/>
              </w:rPr>
            </w:pPr>
          </w:p>
        </w:tc>
        <w:tc>
          <w:tcPr>
            <w:tcW w:w="248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0"/>
                <w:szCs w:val="20"/>
                <w:color w:val="auto"/>
              </w:rPr>
            </w:pPr>
          </w:p>
        </w:tc>
        <w:tc>
          <w:tcPr>
            <w:tcW w:w="23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61,118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69,178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232,540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(14,133)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(48,271)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184,269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alcohol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21,941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alcohol excise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65,385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62,532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186,158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198,587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12,015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43,426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145,589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475,047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46"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Cost of goods sold</w:t>
      </w:r>
    </w:p>
    <w:p>
      <w:pPr>
        <w:spacing w:after="0" w:line="229"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color w:val="auto"/>
        </w:rPr>
        <w:t>Cost of goods sold is comprised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Cannabis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Beverage alcohol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Wellness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240" w:type="dxa"/>
            <w:vAlign w:val="bottom"/>
          </w:tcPr>
          <w:p>
            <w:pPr>
              <w:spacing w:after="0"/>
              <w:rPr>
                <w:sz w:val="20"/>
                <w:szCs w:val="20"/>
                <w:color w:val="auto"/>
              </w:rPr>
            </w:pPr>
          </w:p>
        </w:tc>
        <w:tc>
          <w:tcPr>
            <w:tcW w:w="24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191"/>
        </w:trPr>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80,362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37,042</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137,800</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122,492</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10,663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20,674</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57,964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165,443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178,093</w:t>
            </w:r>
          </w:p>
        </w:tc>
      </w:tr>
      <w:tr>
        <w:trPr>
          <w:trHeight w:val="234"/>
        </w:trPr>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26,964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30,238</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157,288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363,139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351,497</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46"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20. General and administrative expenses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General and administrative expenses are comprised of:</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4"/>
                <w:szCs w:val="24"/>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4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February 28,</w:t>
            </w:r>
          </w:p>
        </w:tc>
      </w:tr>
      <w:tr>
        <w:trPr>
          <w:trHeight w:val="209"/>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2,754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9,565</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37,536</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9,630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27,025</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9,669</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2,876</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3,177</w:t>
            </w:r>
          </w:p>
        </w:tc>
      </w:tr>
      <w:tr>
        <w:trPr>
          <w:trHeight w:val="20"/>
        </w:trPr>
        <w:tc>
          <w:tcPr>
            <w:tcW w:w="4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38,999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117,385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121,401</w:t>
            </w:r>
          </w:p>
        </w:tc>
      </w:tr>
      <w:tr>
        <w:trPr>
          <w:trHeight w:val="413"/>
        </w:trPr>
        <w:tc>
          <w:tcPr>
            <w:tcW w:w="49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type w:val="continuous"/>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21. Non-operating income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Non-operating income (expense) is comprised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24"/>
                <w:szCs w:val="24"/>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February 28,</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151,851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(3,326)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71,037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186,329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Other non-operating (losses) gains, net for the three and nine months ended February 28, 2023, includes amounts to settle outstanding notes with non-controlling interest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 Company has classified its financial instruments as described in Note 3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in our Annual Financial Statements.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carrying values of accounts receivable, bank indebtedness and accounts payable and accrued liabilities approximate their fair values due to their short periods to maturity.</w:t>
      </w:r>
    </w:p>
    <w:p>
      <w:pPr>
        <w:spacing w:after="0" w:line="16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At February 28, 2023 the Company had long-term debt of $nil ( May 31, 2022 - $20,358) subject to fixed interest rates. The Company’s long-term debt is valued based on discounting the future cash outflows associated with the long-term debt. The discount rate is based on the incremental premium above market rates for the U.S. Department of the Treasury securities of similar duration. In each period thereafter, the incremental premium is held constant while the U.S. Department of the Treasury security is based on the then current market value to derive the discount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1" w:name="page32"/>
    <w:bookmarkEnd w:id="31"/>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February 28, 2023 and May 31, 2022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164,997</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243,286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168,356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168,356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(26,815)</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(223,087)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(223,087)</w:t>
            </w:r>
          </w:p>
        </w:tc>
      </w:tr>
      <w:tr>
        <w:trPr>
          <w:trHeight w:val="20"/>
        </w:trPr>
        <w:tc>
          <w:tcPr>
            <w:tcW w:w="5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408,659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(83,312)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326,943</w:t>
            </w: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415,909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415,909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111,200</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(14,255)</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(16,007)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(216,753)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(216,753)</w:t>
            </w:r>
          </w:p>
        </w:tc>
      </w:tr>
      <w:tr>
        <w:trPr>
          <w:trHeight w:val="20"/>
        </w:trPr>
        <w:tc>
          <w:tcPr>
            <w:tcW w:w="5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417,787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(130,112)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290,144</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equity investments measured at fair value, debt securities classified as available-for-sale, acquisition-related contingent consideration, and warrant liability.</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equity investments are recorded at fair value. The estimated fair value is determined using quoted market prices, broker or dealer quotations or discounted cash flows and is classified as Level 3.</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Debt securities classified as available-for sale are recorded at fair value. The estimated fair value is determined using the Black-Scholes option pricing model and is classified as Level 2. Certain equity investments recorded at fair value have quoted prices in active markets for identical assets and are classified as Level 1.The Company classified securities without a quoted market price as Level 3.</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contingent consideration from the acquisitions of SweetWater and Montauk, due in December 2023 and December 2025, respectively and payable in cash, is determined by discounting future expected cash outflows at a discount rate of 5%, and 11.4%, respectively and probability of achievement of 25% and 80%. The unobservable inputs into the future expected cash outflows result in a fair value measurement classified as Level 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2" w:name="page33"/>
    <w:bookmarkEnd w:id="32"/>
    <w:p>
      <w:pPr>
        <w:ind w:firstLine="450"/>
        <w:spacing w:after="0" w:line="282" w:lineRule="auto"/>
        <w:rPr>
          <w:sz w:val="20"/>
          <w:szCs w:val="20"/>
          <w:color w:val="auto"/>
        </w:rPr>
      </w:pPr>
      <w:r>
        <w:rPr>
          <w:rFonts w:ascii="Times New Roman" w:cs="Times New Roman" w:eastAsia="Times New Roman" w:hAnsi="Times New Roman"/>
          <w:sz w:val="18"/>
          <w:szCs w:val="18"/>
          <w:color w:val="auto"/>
        </w:rPr>
        <w:t>The APHA 24 Convertible debentures payable are recorded at fair value. The estimated fair value is determined using the Black-Scholes option pricing model and is classified as Level 3.</w:t>
      </w:r>
    </w:p>
    <w:p>
      <w:pPr>
        <w:spacing w:after="0" w:line="162"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May 31, 2022</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9" w:lineRule="exact"/>
        <w:rPr>
          <w:sz w:val="20"/>
          <w:szCs w:val="20"/>
          <w:color w:val="auto"/>
        </w:rPr>
      </w:pPr>
    </w:p>
    <w:p>
      <w:pPr>
        <w:ind w:left="180" w:right="1180"/>
        <w:spacing w:after="0" w:line="271" w:lineRule="auto"/>
        <w:rPr>
          <w:sz w:val="20"/>
          <w:szCs w:val="20"/>
          <w:color w:val="auto"/>
        </w:rPr>
      </w:pPr>
      <w:r>
        <w:rPr>
          <w:rFonts w:ascii="Times New Roman" w:cs="Times New Roman" w:eastAsia="Times New Roman" w:hAnsi="Times New Roman"/>
          <w:sz w:val="18"/>
          <w:szCs w:val="18"/>
          <w:color w:val="auto"/>
        </w:rPr>
        <w:t>Unrealized gain (loss) on fair value Impairments</w:t>
      </w:r>
    </w:p>
    <w:p>
      <w:pPr>
        <w:spacing w:after="0"/>
        <w:rPr>
          <w:sz w:val="20"/>
          <w:szCs w:val="20"/>
          <w:color w:val="auto"/>
        </w:rPr>
      </w:pPr>
      <w:r>
        <w:rPr>
          <w:rFonts w:ascii="Times New Roman" w:cs="Times New Roman" w:eastAsia="Times New Roman" w:hAnsi="Times New Roman"/>
          <w:sz w:val="18"/>
          <w:szCs w:val="18"/>
          <w:color w:val="auto"/>
        </w:rPr>
        <w:t>Balance, February 28, 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APHA 24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6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Convertible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00" w:type="dxa"/>
            <w:vAlign w:val="bottom"/>
          </w:tcPr>
          <w:p>
            <w:pPr>
              <w:spacing w:after="0"/>
              <w:rPr>
                <w:sz w:val="20"/>
                <w:szCs w:val="20"/>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16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22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1"/>
        </w:trPr>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111,200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(14,255)</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(16,007)</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(216,753)</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(135,815)</w:t>
            </w:r>
          </w:p>
        </w:tc>
        <w:tc>
          <w:tcPr>
            <w:tcW w:w="60" w:type="dxa"/>
            <w:vAlign w:val="bottom"/>
          </w:tcPr>
          <w:p>
            <w:pPr>
              <w:spacing w:after="0"/>
              <w:rPr>
                <w:sz w:val="16"/>
                <w:szCs w:val="16"/>
                <w:color w:val="auto"/>
              </w:rPr>
            </w:pPr>
          </w:p>
        </w:tc>
      </w:tr>
      <w:tr>
        <w:trPr>
          <w:trHeight w:val="216"/>
        </w:trPr>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167,752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157,507</w:t>
            </w:r>
          </w:p>
        </w:tc>
      </w:tr>
      <w:tr>
        <w:trPr>
          <w:trHeight w:val="216"/>
        </w:trPr>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70,779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(6,334)</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70,723</w:t>
            </w:r>
          </w:p>
        </w:tc>
      </w:tr>
      <w:tr>
        <w:trPr>
          <w:trHeight w:val="234"/>
        </w:trPr>
        <w:tc>
          <w:tcPr>
            <w:tcW w:w="10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(181,375)</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(181,375)</w:t>
            </w:r>
          </w:p>
        </w:tc>
      </w:tr>
      <w:tr>
        <w:trPr>
          <w:trHeight w:val="209"/>
        </w:trPr>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168,356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(26,815)</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(223,087)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(88,960)</w:t>
            </w:r>
          </w:p>
        </w:tc>
        <w:tc>
          <w:tcPr>
            <w:tcW w:w="60" w:type="dxa"/>
            <w:vAlign w:val="bottom"/>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900" w:space="720"/>
            <w:col w:w="6620"/>
          </w:cols>
          <w:pgMar w:left="320" w:top="607" w:right="339" w:bottom="1440" w:gutter="0" w:footer="0" w:header="0"/>
          <w:type w:val="continuous"/>
        </w:sect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the warrant liability, contingent consideration, and debt securities classified under available-for-sale method is recognized in the consolidated statements of loss and comprehensive loss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0"/>
                <w:szCs w:val="20"/>
                <w:color w:val="auto"/>
              </w:rPr>
            </w:pPr>
          </w:p>
        </w:tc>
      </w:tr>
      <w:tr>
        <w:trPr>
          <w:trHeight w:val="210"/>
        </w:trPr>
        <w:tc>
          <w:tcPr>
            <w:tcW w:w="4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APHA Convertible debentures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forfeiture rate,</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30%</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expected life (in years)</w:t>
            </w:r>
          </w:p>
        </w:tc>
        <w:tc>
          <w:tcPr>
            <w:tcW w:w="1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Discounted cash flows</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 - 11%</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achievement</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25% - 80%</w:t>
            </w:r>
          </w:p>
        </w:tc>
        <w:tc>
          <w:tcPr>
            <w:tcW w:w="100" w:type="dxa"/>
            <w:vAlign w:val="bottom"/>
            <w:shd w:val="clear" w:color="auto" w:fill="CCEEFF"/>
          </w:tcPr>
          <w:p>
            <w:pPr>
              <w:spacing w:after="0"/>
              <w:rPr>
                <w:sz w:val="18"/>
                <w:szCs w:val="18"/>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notes receivable</w:t>
            </w: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Black-Scholes</w:t>
            </w:r>
          </w:p>
        </w:tc>
        <w:tc>
          <w:tcPr>
            <w:tcW w:w="220" w:type="dxa"/>
            <w:vAlign w:val="bottom"/>
          </w:tcPr>
          <w:p>
            <w:pPr>
              <w:spacing w:after="0"/>
              <w:rPr>
                <w:sz w:val="17"/>
                <w:szCs w:val="17"/>
                <w:color w:val="auto"/>
              </w:rPr>
            </w:pPr>
          </w:p>
        </w:tc>
        <w:tc>
          <w:tcPr>
            <w:tcW w:w="2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Effective interest rate,</w:t>
            </w:r>
          </w:p>
        </w:tc>
        <w:tc>
          <w:tcPr>
            <w:tcW w:w="146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17% - 22%</w:t>
            </w:r>
          </w:p>
        </w:tc>
        <w:tc>
          <w:tcPr>
            <w:tcW w:w="10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conversion</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 - 60%</w:t>
            </w:r>
          </w:p>
        </w:tc>
        <w:tc>
          <w:tcPr>
            <w:tcW w:w="100" w:type="dxa"/>
            <w:vAlign w:val="bottom"/>
          </w:tcPr>
          <w:p>
            <w:pPr>
              <w:spacing w:after="0"/>
              <w:rPr>
                <w:sz w:val="20"/>
                <w:szCs w:val="20"/>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Company's prepaids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period. The Company considers its cash and cash equivalents and marketable securities as capital.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Segment reporting</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reportable segments: (1) cannabis operations, which encompasses the production, distribution, sale, co-manufacturing and advisory services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187"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47,549</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184,269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122,492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(32,813)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198,587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165,443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178,093</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Beverage alcohol</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20,674</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14,697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43,426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30,238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43,504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162,632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 products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 products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(48,271)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47,549</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156,017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184,269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12, 2022, Tilray acquired the HEXO Convertible Note from HTI and also entered into a strategic alliance with HEXO Corp. (“HEXO”) as discussed in Note 6 (Convertible notes receivable) and Note 11 (Convertible debentures payable). In addition, the Company and HEXO entered into various commercial transaction agreements, including (i) an advisory services agreement regarding Tilray’s provision of advisory services to HEXO in exchange for an $18 million annual advisory fee payable to Tilray; (ii) a co-manufacturing agreement providing for third-party manufacturing services between the parties and setting forth the terms of Tilray’s international bulk supply to HEXO; and (iii) a procurement and cost savings agreement for shared savings related to specified optimization activities, procurement, and other similar cost savings realized by the parties as a result of the foregoing commercial arrangements.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4" w:name="page35"/>
    <w:bookmarkEnd w:id="34"/>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Included in revenue from Canadian adult-use cannabis is $8,667 and $24,302 of advisory services revenue for the three and nine months ended February 28, 2023 from the aforementioned HEXO commercial transaction agreements.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Geographic net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70,463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73,234</w:t>
            </w:r>
          </w:p>
        </w:tc>
        <w:tc>
          <w:tcPr>
            <w:tcW w:w="3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236,220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71,111</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199,867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225,596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13,231</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145,589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3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475,047</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313,233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464,370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119,409</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587,499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each individually account for greater than 10% of the Company’s annual revenues. For the three and nine months ended February 28, 2023 and 2022, there were no major customers representing greater than 10% of our quarterly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Charter Amendments</w:t>
      </w:r>
    </w:p>
    <w:p>
      <w:pPr>
        <w:spacing w:after="0" w:line="22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On March 16, 2023, the Company's stockholders formally approved the Company's proposal to amend its certificate of incorporation (the "Charter Amendments"). The Charter Amendments modified the Company's existing certificate of incorporation by canceling the Class 1 Common Stock and re-allocating such authorized shares to Class 2 Common Stock. In addition, the Charter Amendments reclassified each issued and outstanding share of Class 2 Common Stock as one share of Common Stock, par value $0.0001, of the Company (“Common Stock”). The cumulative effect of the Charter Amendments is that the Company currently has two classes of authorized stock — Common Stock and preferred stock. All of the issued and outstanding Series A Preferred Stock automatically converted into the Company’s common stock following the approval of the Charter Amendments by the vote of the Company’s stockholders. There are no outstanding Series A Preferred Stock following such automatic conversion.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Arrangement Agreement with HEXO Corp.</w:t>
      </w:r>
    </w:p>
    <w:p>
      <w:pPr>
        <w:spacing w:after="0" w:line="22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On April 10, 2023, we entered into an Arrangement Agreement (the “Arrangement Agreement”) with HEXO Corp. (“HEXO”), pursuant to which Tilray agreed to acquire all of the issued and outstanding common shares of HEXO pursuant to a plan of arrangement under the Business Corporations Act (Ontario) (the “Arrangement”). Under the terms of the Arrangement Agreement, each outstanding common share of HEXO outstanding immediately prior to the effective time of the Arrangement is expected to be transferred to Tilray in exchange for 0.4352 of a share of Tilray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should be read in conjunction with the Condensed Interim Consolidated Financial Statements and the related Notes thereto for the period ended February 28, 2023 contained in this Quarterly Report on Form 10-Q and the Audited Consolidated Financial Statements and the related Notes thereto contained in our Annual Report on Form 10-K as amended for the fiscal year ended May 31, 2022. Forward looking statements in this Form 10-Q are qualified by the cautionary statement included in this Form 10-Q under the sub-heading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introduction of this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are a leading global cannabis-lifestyle and consumer packaged goods company headquartered in Leamington and New York, with operations in Canada, the United States, Europe, Australia and Latin America that is changing people’s lives for the better – one person at a time – by inspiring and empowering a worldwide community to live their very best life enhanced by moments of connection and wellbeing. Tilray’s mission is to be the most responsible, trusted and market leading cannabis consumer products company in the world with a portfolio of innovative, high-quality and beloved brands that address the needs of the consumers, customers and patients we serve.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overall strategy is to leverage our scale, expertise and capabilities to drive market share in Canada and internationally, achieve industry-leading, profitable growth and build sustainable, long-term shareholder value. In order to ensure the long-term sustainable growth of our Company, we continue to focus on developing strong capabilities in consumer insights, drive category management leadership and assess growth opportunities with the introduction of new products. In addition, we are relentlessly focused on managing our cost of goods and expenses in order to maintain our strong financial position.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at a rapid pace during the early periods following the federal legalization of adult-use cannabis. Through analysis of the current market conditions, the following key trends have emerged and are anticipated to influence the near-term future in the industry:</w:t>
      </w:r>
    </w:p>
    <w:p>
      <w:pPr>
        <w:spacing w:after="0" w:line="174" w:lineRule="exact"/>
        <w:rPr>
          <w:sz w:val="20"/>
          <w:szCs w:val="20"/>
          <w:color w:val="auto"/>
        </w:rPr>
      </w:pPr>
    </w:p>
    <w:p>
      <w:pPr>
        <w:jc w:val="both"/>
        <w:ind w:left="820" w:hanging="326"/>
        <w:spacing w:after="0" w:line="26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We have historically seen price compression in the market, when compared to the prior fiscal year, which was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intense competition from the approximately 1,000 Licensed Producers in Canada. The price compression year over year has reduced the Company's revenue by approximately $3 million and $28 million for the three and nine months ended February 28, 2023.</w:t>
      </w:r>
    </w:p>
    <w:p>
      <w:pPr>
        <w:spacing w:after="0" w:line="173" w:lineRule="exact"/>
        <w:rPr>
          <w:rFonts w:ascii="Times New Roman" w:cs="Times New Roman" w:eastAsia="Times New Roman" w:hAnsi="Times New Roman"/>
          <w:sz w:val="18"/>
          <w:szCs w:val="18"/>
          <w:color w:val="auto"/>
        </w:rPr>
      </w:pPr>
    </w:p>
    <w:p>
      <w:pPr>
        <w:jc w:val="both"/>
        <w:ind w:left="820" w:hanging="326"/>
        <w:spacing w:after="0" w:line="257" w:lineRule="auto"/>
        <w:tabs>
          <w:tab w:leader="none" w:pos="82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Excise taxes. </w:t>
      </w:r>
      <w:r>
        <w:rPr>
          <w:rFonts w:ascii="Times New Roman" w:cs="Times New Roman" w:eastAsia="Times New Roman" w:hAnsi="Times New Roman"/>
          <w:sz w:val="18"/>
          <w:szCs w:val="18"/>
          <w:color w:val="auto"/>
        </w:rPr>
        <w:t>Given the impacts of the above-referenced price compression, excise tax has grown to become a larger component of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it is predominantly computed as a fixed price on grams sold rather than as a percentage of the selling price. The Cannabis Council of Canada has formed an Excise Task Force to present these challenges to the Ministry of Finance in Canada and continues to pursue reform. Additionally, as many as two-thirds of Canadian licensed producers had excise tax deficits owed, which they were unable to pay on time. The Company believes this will be a key element of potential consolidation in the industry and we believe long term there is a possibility of some level of reform but it will likely not occur in the next 12 months;</w:t>
      </w:r>
    </w:p>
    <w:p>
      <w:pPr>
        <w:spacing w:after="0" w:line="182" w:lineRule="exact"/>
        <w:rPr>
          <w:rFonts w:ascii="Times New Roman" w:cs="Times New Roman" w:eastAsia="Times New Roman" w:hAnsi="Times New Roman"/>
          <w:sz w:val="18"/>
          <w:szCs w:val="18"/>
          <w:i w:val="1"/>
          <w:iCs w:val="1"/>
          <w:color w:val="auto"/>
        </w:rPr>
      </w:pPr>
    </w:p>
    <w:p>
      <w:pPr>
        <w:jc w:val="both"/>
        <w:ind w:left="820" w:hanging="326"/>
        <w:spacing w:after="0" w:line="257"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maintain its market leadership position in Canada. However, we experienced a minor decline from 8.3%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8.1% market share, from the immediately preceding quarter, as reported by Hifyre data for all provinces excluding Quebec where Weedcrawler was deemed more accurate. The Company continues to experience challenges in Quebec as the product listing submissions made in the last quarter were accepted but offset by further product rationalizations by the board due to increased competition of new entrants in the Quebec market. As a result, the Company is continuing to focus on growing its share in more efficient markets such as Ontario and British Columbia where share has already begun to increase; and</w:t>
      </w:r>
    </w:p>
    <w:p>
      <w:pPr>
        <w:spacing w:after="0" w:line="182"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potency preferences</w:t>
      </w:r>
      <w:r>
        <w:rPr>
          <w:rFonts w:ascii="Times New Roman" w:cs="Times New Roman" w:eastAsia="Times New Roman" w:hAnsi="Times New Roman"/>
          <w:sz w:val="18"/>
          <w:szCs w:val="18"/>
          <w:color w:val="auto"/>
        </w:rPr>
        <w:t>. Evolving consumer demand for higher potency products has caused a substantial shift in consumer purchasing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patterns. We revised our flower strategy to remain innovative and evolve with the industry, launching a large volume of new beta flower strains in the current year which continue to be newly listed in the provinces during the remainder of the fiscal year to contend with this change in demand.</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identified trends have had impacts on the current period results of operations and are discussed in greater detail in the respective section.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market trends: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(Netherlands, Switzerland) and some are debating regulations for cannabinoid-based medicine (France, Spain, Italy, and the United Kingdom). In Europe, we believe that, despite continuing COVID-19 pressure and the Russian conflict with Ukraine, cannabis legalization (both medicinal and adult-use) will continue to gain traction albeit more slowly than originally expected. We also continue to believe that Tilray remains uniquely positioned to maintain and gain significant market share in these markets with its infrastructure and its investments, which is comprised of two EU-GMP cultivation facilities within Europe located in Portugal and Germany, our distribution network and our demonstrated commitment to the availability, quality and safety of our cannabinoid-based medical products. Today, Germany remains the largest medical cannabis market in Europe.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The new coalition government led by chancellor Olaf Schulz declared its intention to legalize adult-use cannabis use, which aims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 the controlled dispensing of cannabis for adult-use consumption. In late October 2022, the German government published key details of its plan to legalize and regulate adult-use cannabis, including what Health Minister Karl Lauterbach described as “complete” cultivation within the country. Subsequently, Lauterbach announced that a first draft of the proposed regulations shall be issued in the first quarter of calendar year 2023, which will be evaluated by the European Union Commission in a formal notification procedure. To date, a draft of the proposed regulations has not yet been issued. Recently, Mr. Lauterbach advised that the proposal had been revised and that the new plan is a two-part model, which appears to be designed in order to legalize cannabis as broadly as possibly without running afoul of European Union rules. We continue to believe that Tilray is well-positioned in Germany to provide consistent and sustainable cannabis products for the adult-use market whether only in-country cultivation is permitted or whether imports are also allowed given our Aphria RX facility located in Germany and our EU-GMP-certified production facility in Portugal.</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meantime, a three-year pilot project commenced on January 30, 2023, which permits selected participants to purchase cannabis for adult-use in various pharmacies in Basel, and more recently in Zurich, to conduct studies on the cannabis market and its impact on Swiss society. It is the first trial for the legal distribution of adult-use cannabis containing THC in Europe.</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The Spanish Congress' Health Committee has recently approved a Medical Cannabis Report that paves the way for a government-sponsored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 on medical cannabis. The Report explicitly opens the door to standardized preparations other than the drugs already approved, highlighting their advantages in relation to safety, security and stability; as well as the possibility to prescribe medical cannabis in community pharmacies and not only in hospitals, favoring the access to the patients that may need it.</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2,300 patients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enrolled in the experiment, which has been extended for another year and is now ending March 2024 in order to collect more data and to adopt a legal framework. The first results of the experimentation are positive. Several independent agencies have produced reports that show the effectiveness of medical cannabis, especially in situations of chronic pain.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Czech Republic. </w:t>
      </w:r>
      <w:r>
        <w:rPr>
          <w:rFonts w:ascii="Times New Roman" w:cs="Times New Roman" w:eastAsia="Times New Roman" w:hAnsi="Times New Roman"/>
          <w:sz w:val="18"/>
          <w:szCs w:val="18"/>
          <w:color w:val="auto"/>
        </w:rPr>
        <w:t>The Czech Republic has discussed plans to launch a fully regulated adult-use cannabis market in first half of calendar year 2023.</w:t>
      </w:r>
    </w:p>
    <w:p>
      <w:pPr>
        <w:spacing w:after="0" w:line="225"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Malta</w:t>
      </w:r>
      <w:r>
        <w:rPr>
          <w:rFonts w:ascii="Times New Roman" w:cs="Times New Roman" w:eastAsia="Times New Roman" w:hAnsi="Times New Roman"/>
          <w:sz w:val="18"/>
          <w:szCs w:val="18"/>
          <w:color w:val="auto"/>
        </w:rPr>
        <w:t>. In 2021 became the first country in the European Union to legalize personal possession of the drug and permit private “cannabis clubs,”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members can grow and share the drug.</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market trends: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beverage alcohol category, while more established, continues to shift with changes in consumer trends for the craft industry. Specifically, based on IRI data for the last 13 weeks ended February 26, 2023, the US beer industry grew 3.3%, with craft beer down 2.9% during the same period Sweetwater however, outperformed both the US craft beer market and the US beer industry in the same period in its core market increasing increased sales 4.8% across the Southeast region, where approximately 70% of the SweetWater’s national beer sales are currently derived. The Company anticipates continuing to grow its beer sales by expanding distribution points of its SweetWater, Green Flash, Alpine and Montauk brands as well as launching innovative products such as hard seltzers, rose beer, lager, hazy IPAs and pale ales to continue to be a market leader in the craft beer industry.</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Breckenridge Distillery is a leader in the Colorado bourbon industry and continues to gain market share in both the vodka and gin markets. A primary growth objective is to continue expansion of market share across the United States, as well as expanding the national chains footprint, to maintain a double-digit annual top-line growth. To ensure continued growth in the future, the company is focused on expanding the marketing strategy, highlighting its quality products. Breckenridge Distillery’s commitment to quality has been recognized in recent awards by Whisky Magazine as the World's Best Blended, Best American Blended Malt, Best American Blended Limited Release, and Best American Blended. The overall bourbon market continues to grow, although competition from tequila and RTD’s remains a challenge. The integration of the national distributer agreement signed with RNDC in Fall 2022 has been slow, but will also be a growth driver for the business.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Manitoba harvest’s branded hemp business continues to expand its U.S. and Canadian leading market share position. These market share gains were offset by many customers reducing inventory levels amidst the current economic climate to conserve cash. During the quarter, we launched a new CBD wellness beverage, Happy Flower, during “Dry January” via a direct-to-consumer e-commerce platform. We will look to expand the brand into key markets throughout the remainder of 2023, focusing on states with CBD permissibility and established CBD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costs as we combine acquired companies and continue to achieve synergies, which is offset by income generated in connection with the execution of these transactions. For the three and nine months ended February 28, 2023, we incurred $5.4 million of transaction expenses and earned ($3.9) million of transaction income, discussed further below.</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acquisition and wind down strategy has had a material impact on the Company’s results in the current quarter and we expect will continue to persist into future periods generating accretive impacts for our stockholders. There are currently three primary cost saving initiatives as follows:</w:t>
      </w:r>
    </w:p>
    <w:p>
      <w:pPr>
        <w:spacing w:after="0" w:line="158"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Tilray and HEXO strategic alliance:</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July 12, 2022, Tilray acquired the HEXO Convertible Note from HTI and entered into a strategic alliance with HEXO Corp. (“HEXO”) as discussed in Note 6 (Convertible notes receivable) and Note 11 (Convertible debentures payable). In addition, Tilray and HEXO entered into various commercial transaction agreements, including (i) an advisory services agreement regarding Tilray’s provision of advisory services to HEXO in exchange for an $18 million annual advisory fee payable to Tilray; (ii) a co-manufacturing agreement providing for third-party manufacturing services between the parties and setting forth the terms of Tilray’s international bulk supply to HEXO; and (iii) a procurement and cost savings agreement for shared savings related to specified optimization activities, procurement, and other similar cost savings realized by the parties as a result of the foregoing commercial arrangements.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 this strategic alliance, Tilray expects to achieve substantial cash savings and production efficiencies. In the three and nine months ended February 28, 2023, the Company recognized $8.7 million and $24.3 million of advisory services revenue included in Canadian adult-use cannabis revenue. Included in interest expense, net is $2.2 and $5.6 million of interest income for three and nine months ended February 28, 2023. The Company expects to earn approximately $40 million during the first 12 month period in connection with the HEXO Convertible Note, to be reported as $31 million of adult-use cannabis revenue and $9 million of interest income.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Cannabis business cost reduction plan:</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our fourth quarter of our fiscal year ended May 31, 2022, the Company launched a $30 million cost optimization plan of our existing cannabis business to solidify our position as an industry leading low-cost producer. The Company took decisive action to manage cash flow amid an evolving retail environment by identifying opportunities to leverage technology, supply chain, procurement, and packaging efficiencies while driving labor savings. In the current period ended February 28, 2023, we have achieved $22.0 million of our cost optimization plan on an annualized run-rate basis of which $12.0 million represented actual cost savings during the period. The amount achieved is comprised of the following items:</w:t>
      </w:r>
    </w:p>
    <w:p>
      <w:pPr>
        <w:spacing w:after="0" w:line="181" w:lineRule="exact"/>
        <w:rPr>
          <w:sz w:val="20"/>
          <w:szCs w:val="20"/>
          <w:color w:val="auto"/>
        </w:rPr>
      </w:pPr>
    </w:p>
    <w:p>
      <w:pPr>
        <w:ind w:left="1140" w:hanging="322"/>
        <w:spacing w:after="0" w:line="284"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Optimizing cultivation</w:t>
      </w:r>
      <w:r>
        <w:rPr>
          <w:rFonts w:ascii="Times New Roman" w:cs="Times New Roman" w:eastAsia="Times New Roman" w:hAnsi="Times New Roman"/>
          <w:sz w:val="18"/>
          <w:szCs w:val="18"/>
          <w:color w:val="auto"/>
        </w:rPr>
        <w:t>. We made impactful strides to right-size our cultivation footprint by maximizing our yield per plant and by honing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ability to flex production during optimal growing seasons to manage our cost to grow.</w:t>
      </w:r>
    </w:p>
    <w:p>
      <w:pPr>
        <w:spacing w:after="0" w:line="158" w:lineRule="exact"/>
        <w:rPr>
          <w:rFonts w:ascii="Times New Roman" w:cs="Times New Roman" w:eastAsia="Times New Roman" w:hAnsi="Times New Roman"/>
          <w:sz w:val="18"/>
          <w:szCs w:val="18"/>
          <w:color w:val="auto"/>
        </w:rPr>
      </w:pPr>
    </w:p>
    <w:p>
      <w:pPr>
        <w:ind w:left="1140" w:right="20" w:hanging="322"/>
        <w:spacing w:after="0" w:line="284"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Refining selling fees. </w:t>
      </w:r>
      <w:r>
        <w:rPr>
          <w:rFonts w:ascii="Times New Roman" w:cs="Times New Roman" w:eastAsia="Times New Roman" w:hAnsi="Times New Roman"/>
          <w:sz w:val="18"/>
          <w:szCs w:val="18"/>
          <w:color w:val="auto"/>
        </w:rPr>
        <w:t>We assessed our current product-to-market strategy to optimize our direct and controllable selling fees as a percentage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revenue without compromising our sales strategy on a go-forward basis.</w:t>
      </w:r>
    </w:p>
    <w:p>
      <w:pPr>
        <w:spacing w:after="0" w:line="158" w:lineRule="exact"/>
        <w:rPr>
          <w:rFonts w:ascii="Times New Roman" w:cs="Times New Roman" w:eastAsia="Times New Roman" w:hAnsi="Times New Roman"/>
          <w:sz w:val="18"/>
          <w:szCs w:val="18"/>
          <w:color w:val="auto"/>
        </w:rPr>
      </w:pPr>
    </w:p>
    <w:p>
      <w:pPr>
        <w:jc w:val="both"/>
        <w:ind w:left="1140" w:hanging="322"/>
        <w:spacing w:after="0" w:line="267"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Reducing general and administrative costs</w:t>
      </w:r>
      <w:r>
        <w:rPr>
          <w:rFonts w:ascii="Times New Roman" w:cs="Times New Roman" w:eastAsia="Times New Roman" w:hAnsi="Times New Roman"/>
          <w:sz w:val="18"/>
          <w:szCs w:val="18"/>
          <w:color w:val="auto"/>
        </w:rPr>
        <w:t>. We remain focused on reducing operating expenses by leveraging innovative solutions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 lean organization. We plan to further automate processes, reducing outside spend where efficient, and ensuring we are obtaining competitive pricing on our administrative services.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Tilray-Aphria Arrangement Agreement:</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Tilray-Aphria Arrangement Agreement, we committed to achieving $80 million, subsequently increased to $100 million, of synergies in connection with the integration of Tilray and Aphria and developed a robust plan and timeline to achieve such synergies. In executing our integration plan, we evaluated and optimized the organizational structure, evaluated and retained the talent and capabilities we identified as necessary to achieve our longer-term growth plan and vision, reviewed contracts and arrangements, and analyzed our supply chain and our strategic partnerships. Due to the Company’s actions in connection with the integration of Tilray and Aphria, we exceeded the identified $80 million of cost synergies and achieved such synergies ahead of our plan.</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disclosed in the preceding quarter, the Company achieved the remainder of the targeted $100 million in cost-saving synergies on an annualized run-rate basis. While this milestone marks the completion of the Tilray and Aphria Arrangement Agreement synergy plan, the Company intends to continue to prioritize cost saving initiatives in the future while remaining committed to our growth plan and 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cost saving strategies, the Company has also executed the following strategic transactions during the quarter:</w:t>
      </w:r>
    </w:p>
    <w:p>
      <w:pPr>
        <w:spacing w:after="0" w:line="221"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Beverage Alcohol Acquisitions:</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November 7, 2022, Tilray acquired Montauk Brewing Company, Inc. (“Montauk”), a leading craft brewer company based in Montauk, New York. As consideration for the acquisition of Montauk, the Company paid an initial purchase price of $35.1 million, which was paid with $28.7 million in cash and $6.4 million from the issuance of 1,708,521 shares of Tilray's Class 2 common stock. In the event that Montauk achieves certain volume and/or EBITDA targets on or before December 31, 2025, the stockholders of Montauk shall be eligible to receive as additional contingent cash consideration of up to $18 million. The Company, determined that the closing date fair value of this contingent consideration was $10.2 million. In connection with this transaction, the Company intends to leverage SweetWater’s existing nationwide infrastructure and Montauk’s northeast influence to significantly expand our distribution network and drive profitable growth in our beverage-alcohol segment. This distribution network is part of Tilray’s strategy to leverage our growing portfolio of CPG brands and ultimately to launch THC-based product adjacencies upon federal legalization in the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transactions related to facility closures and exits:</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evaluating the profitability of our CC Pharma distribution business, Tilray decided to discontinue its partnership in a medical device reprocessing business given it was not core to CC Pharma's business and was both dilutive from a profitability and cash flow perspective. In connection with evaluating the profitability of our international cannabis business, Tilray also discontinued transactions with one of its customers in Israel as we focus on markets which we believe are more accretive to our profitability and cash flow. In addition, Tilray terminated its relationship with a supplier in Uruguay due to a breach of the underlying contract. During the quarter ended February 28, 2023, the Company sold its interest in ASG Pharma Ltd., a wholly-owned subsidiary incorporated in Malta.</w:t>
      </w:r>
    </w:p>
    <w:p>
      <w:pPr>
        <w:spacing w:after="0" w:line="187"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a result of these strategic business decisions, there were the following impacts on the results for the three and nine months ended February 28, 2023 through the aggregate increase of net loss by $9.3 million, summarized as follows:</w:t>
      </w:r>
    </w:p>
    <w:p>
      <w:pPr>
        <w:spacing w:after="0" w:line="162" w:lineRule="exact"/>
        <w:rPr>
          <w:sz w:val="20"/>
          <w:szCs w:val="20"/>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one-time return adjustment of $3.1 million in our international cannabis revenue from a customer in Israel;</w:t>
      </w:r>
    </w:p>
    <w:p>
      <w:pPr>
        <w:spacing w:after="0" w:line="252"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decrease in gross profit of $1.4 million which related to the above mentioned return from a customer in Israel;</w:t>
      </w:r>
    </w:p>
    <w:p>
      <w:pPr>
        <w:spacing w:after="0" w:line="252" w:lineRule="exact"/>
        <w:rPr>
          <w:rFonts w:ascii="Times New Roman" w:cs="Times New Roman" w:eastAsia="Times New Roman" w:hAnsi="Times New Roman"/>
          <w:sz w:val="18"/>
          <w:szCs w:val="18"/>
          <w:color w:val="auto"/>
        </w:rPr>
      </w:pPr>
    </w:p>
    <w:p>
      <w:pPr>
        <w:ind w:left="1140" w:right="300" w:hanging="322"/>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restructuring charges of $1.6 million of exit costs and $2.8 million for inventory adjustments from the termination of our producer partnership in Uruguay due to a breach of the underlying contract;</w:t>
      </w:r>
    </w:p>
    <w:p>
      <w:pPr>
        <w:spacing w:after="0" w:line="161" w:lineRule="exact"/>
        <w:rPr>
          <w:rFonts w:ascii="Times New Roman" w:cs="Times New Roman" w:eastAsia="Times New Roman" w:hAnsi="Times New Roman"/>
          <w:sz w:val="18"/>
          <w:szCs w:val="18"/>
          <w:color w:val="auto"/>
        </w:rPr>
      </w:pPr>
    </w:p>
    <w:p>
      <w:pPr>
        <w:ind w:left="1140" w:right="20" w:hanging="322"/>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an increase to office and general expenses of $1.6 million for a bad debt expense related to the aforementioned customer in Israel; and</w:t>
      </w:r>
    </w:p>
    <w:p>
      <w:pPr>
        <w:spacing w:after="0" w:line="161" w:lineRule="exact"/>
        <w:rPr>
          <w:rFonts w:ascii="Times New Roman" w:cs="Times New Roman" w:eastAsia="Times New Roman" w:hAnsi="Times New Roman"/>
          <w:sz w:val="18"/>
          <w:szCs w:val="18"/>
          <w:color w:val="auto"/>
        </w:rPr>
      </w:pPr>
    </w:p>
    <w:p>
      <w:pPr>
        <w:ind w:left="1140" w:right="700" w:hanging="322"/>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$2.2 million of restructuring costs as a result of CC pharma discontinuing its partnership in the medical reprocessing business.</w:t>
      </w:r>
    </w:p>
    <w:p>
      <w:pPr>
        <w:spacing w:after="0" w:line="16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recognized a $0.3 million gain on the disposal of our investment in ASG Malta in other non-operating (loss) gain, net.</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impacts of the items discussed in this section are assessed further in our analysis of the results of operations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Political and Economic Environment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results of operations can also be affected by economic, political, legislative, regulatory, legal actions, the global volatility and general market disruption resulting from the global COVID-19 pandemic and geopolitical tensions, such as Russia's incursion into Ukraine. Economic conditions, such as recessionary trends, inflation, supply chain disruptions, interest and monetary exchange rates, and government fiscal policies, and the recent banking credit crises, can have a significant effect on operations. Accordingly, we could be affected by civil, criminal, environmental, regulatory or administrative actions, claims or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consolidated results, in thousands except for per share data,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157,288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112,042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45,246</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363,139</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351,497</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39,829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(51,528)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79,797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123,550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25,792</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25,283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24,590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84,345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7,578</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23,137</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20,163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(30,747)</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31,099</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1,115,376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(recovery) costs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(9,445)</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(income) costs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(39,535)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1,195,037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57,909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1,137,128</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1,359,502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266,528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1,092,974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(1,206,736)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(18,080)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(1,188,656)</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(1,279,705)</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(142,978)</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(1,136,727)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(8,560)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Non-operating (expense)</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71,037</w:t>
            </w:r>
          </w:p>
        </w:tc>
        <w:tc>
          <w:tcPr>
            <w:tcW w:w="120" w:type="dxa"/>
            <w:vAlign w:val="bottom"/>
          </w:tcPr>
          <w:p>
            <w:pPr>
              <w:spacing w:after="0"/>
              <w:rPr>
                <w:sz w:val="17"/>
                <w:szCs w:val="17"/>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(69,824)</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6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186,329</w:t>
            </w:r>
          </w:p>
        </w:tc>
        <w:tc>
          <w:tcPr>
            <w:tcW w:w="1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(236,558)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1"/>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net</w:t>
            </w: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(loss) before income</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(1,206,563)</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50,645</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(1,257,208)</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(1,338,494)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20,929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(1,359,423)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(recovery)</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(10,811)</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(15,313)</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(12,574)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(1,195,752)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(1,248,227)</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(1,323,181)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(1,346,849)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in this Quarterly Report on Form 10-Q, we discuss non-GAAP financial measures, including reference to:</w:t>
      </w:r>
    </w:p>
    <w:p>
      <w:pPr>
        <w:spacing w:after="0" w:line="162" w:lineRule="exact"/>
        <w:rPr>
          <w:sz w:val="20"/>
          <w:szCs w:val="20"/>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step up and inventory valuation allowance) for each reporting segment (Cannabis, Beverage alcohol, Distribution and Wellness),</w:t>
      </w:r>
    </w:p>
    <w:p>
      <w:pPr>
        <w:spacing w:after="0" w:line="161"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purchase price allocation (“PPA”) step up and inventory valuation allowance) for each reporting segment (Cannabis, Beverage alcohol, Distribution and Wellness),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these non-GAAP financial measures should be considered in addition to, and not in lieu of, the financial measures calculated and presented in accordance with accounting principles generally accepted in the United States of America, ("GAAP"). These measures, which may be different than similarly titled measures used by other companies, are presented to help investors' overall understanding of our financial performance and should not be considered a substitute for, or superior to, the financial information prepared and presented in accordance with GAAP. Please see "Reconciliation of Non-GAAP Financial Measures to GAAP Measures" below for reconciliation of such non-GAAP Measures to the most directly comparable GAAP financial measures, as well as a discussion of our adjusted gross margin, adjusted gross profit and adjusted EBITDA measures and the calculation of such measures.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use the following operating metrics and non-GAAP measures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20" w:type="dxa"/>
            <w:vAlign w:val="bottom"/>
          </w:tcPr>
          <w:p>
            <w:pPr>
              <w:spacing w:after="0"/>
              <w:rPr>
                <w:sz w:val="20"/>
                <w:szCs w:val="20"/>
                <w:color w:val="auto"/>
              </w:rPr>
            </w:pPr>
          </w:p>
        </w:tc>
        <w:tc>
          <w:tcPr>
            <w:tcW w:w="24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47,549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55,045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156,017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184,269</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65,385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62,532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186,158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198,587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20,640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19,597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62,689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12,015</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14,697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38,072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43,426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77,604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37,042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137,800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122,492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10,663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8,091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32,932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20,674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57,964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57,566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165,443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178,093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8,299</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9,343</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26,964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30,238</w:t>
            </w:r>
          </w:p>
        </w:tc>
        <w:tc>
          <w:tcPr>
            <w:tcW w:w="0" w:type="dxa"/>
            <w:vAlign w:val="bottom"/>
          </w:tcPr>
          <w:p>
            <w:pPr>
              <w:spacing w:after="0"/>
              <w:rPr>
                <w:sz w:val="1"/>
                <w:szCs w:val="1"/>
                <w:color w:val="auto"/>
              </w:rPr>
            </w:pP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gross profit (excluding PPA step-up and inventory valuation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7"/>
                <w:szCs w:val="27"/>
                <w:color w:val="auto"/>
                <w:vertAlign w:val="superscript"/>
              </w:rPr>
              <w:t>(1)</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44,310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39,829</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138,020</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135,550</w:t>
            </w:r>
          </w:p>
        </w:tc>
        <w:tc>
          <w:tcPr>
            <w:tcW w:w="0" w:type="dxa"/>
            <w:vAlign w:val="bottom"/>
          </w:tcPr>
          <w:p>
            <w:pPr>
              <w:spacing w:after="0"/>
              <w:rPr>
                <w:sz w:val="1"/>
                <w:szCs w:val="1"/>
                <w:color w:val="auto"/>
              </w:rPr>
            </w:pPr>
          </w:p>
        </w:tc>
      </w:tr>
      <w:tr>
        <w:trPr>
          <w:trHeight w:val="201"/>
        </w:trPr>
        <w:tc>
          <w:tcPr>
            <w:tcW w:w="58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Cannabis adjusted gross margin (excluding inventory valuation adjustments)</w:t>
            </w:r>
          </w:p>
        </w:tc>
        <w:tc>
          <w:tcPr>
            <w:tcW w:w="240" w:type="dxa"/>
            <w:vAlign w:val="bottom"/>
          </w:tcPr>
          <w:p>
            <w:pPr>
              <w:spacing w:after="0"/>
              <w:rPr>
                <w:sz w:val="17"/>
                <w:szCs w:val="17"/>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Beverage alcohol adjusted gross margin (excluding PPA step-up)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14,015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10,086</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39,254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36,543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408,283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279,214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408,283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279,214</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288,830</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413,358</w:t>
            </w:r>
          </w:p>
        </w:tc>
        <w:tc>
          <w:tcPr>
            <w:tcW w:w="2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288,830</w:t>
            </w:r>
          </w:p>
        </w:tc>
        <w:tc>
          <w:tcPr>
            <w:tcW w:w="2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413,358</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firstLine="8"/>
        <w:spacing w:after="0" w:line="224" w:lineRule="auto"/>
        <w:tabs>
          <w:tab w:leader="none" w:pos="212" w:val="left"/>
        </w:tabs>
        <w:numPr>
          <w:ilvl w:val="0"/>
          <w:numId w:val="16"/>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i w:val="1"/>
          <w:iCs w:val="1"/>
          <w:color w:val="auto"/>
        </w:rPr>
        <w:t xml:space="preserve">Adjusted EBITDA, adjusted gross profit and adjusted gross margin for each of our segments are non-GAAP financial measures. See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Use of Non-GAAP Measures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below for a reconciliation of these Non-GAAP Measures to our most comparable GAAP measure.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reporting segments revenue is comprised of revenues from our cannabis, distribution, beverage alcohol, and wellness operations,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(7,496)</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156,017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65,385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62,532</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186,158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198,587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14,697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(2,682)</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38,072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43,426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145,589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475,047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(32,111)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color w:val="auto"/>
        </w:rPr>
        <w:t>Our reporting segments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164,746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70,144</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62,532</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7,612</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211,676</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198,587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13,089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62,689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48,765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12,385</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14,697</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39,144</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43,426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478,255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475,047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8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Our geographic revenue is as follows: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70,463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73,234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228,866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236,220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71,111</w:t>
            </w:r>
          </w:p>
        </w:tc>
        <w:tc>
          <w:tcPr>
            <w:tcW w:w="2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74,671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199,867</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225,596</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(25,729)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14,203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145,589</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(6,282)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442,936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475,047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geographic revenue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 of U.S.</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220" w:type="dxa"/>
            <w:vAlign w:val="bottom"/>
          </w:tcPr>
          <w:p>
            <w:pPr>
              <w:spacing w:after="0"/>
              <w:rPr>
                <w:sz w:val="20"/>
                <w:szCs w:val="20"/>
                <w:color w:val="auto"/>
              </w:rPr>
            </w:pPr>
          </w:p>
        </w:tc>
        <w:tc>
          <w:tcPr>
            <w:tcW w:w="8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73,728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73,234</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234,951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236,220</w:t>
            </w:r>
          </w:p>
        </w:tc>
        <w:tc>
          <w:tcPr>
            <w:tcW w:w="5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(1,269)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75,091</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74,671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225,075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3,966</w:t>
            </w: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18,229</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154,176</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151,871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478,255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475,047</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3,208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w w:val="99"/>
              </w:rPr>
              <w:t>Our geographic capital assets are as follows: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240" w:type="dxa"/>
            <w:vAlign w:val="bottom"/>
          </w:tcPr>
          <w:p>
            <w:pPr>
              <w:spacing w:after="0"/>
              <w:rPr>
                <w:sz w:val="24"/>
                <w:szCs w:val="24"/>
                <w:color w:val="auto"/>
              </w:rPr>
            </w:pPr>
          </w:p>
        </w:tc>
        <w:tc>
          <w:tcPr>
            <w:tcW w:w="12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4"/>
                <w:szCs w:val="24"/>
                <w:color w:val="auto"/>
              </w:rPr>
            </w:pP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vs.</w:t>
            </w:r>
          </w:p>
        </w:tc>
        <w:tc>
          <w:tcPr>
            <w:tcW w:w="5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313,233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464,370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108,944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119,409</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(10,465)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9"/>
              </w:rPr>
              <w:t>425,263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587,499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(162,236)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Cannabis revenue</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gridSpan w:val="8"/>
          </w:tcPr>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is as follows: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 products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(4,433)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 products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45,318</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43,504</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1,814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156,063</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162,632</w:t>
            </w: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(6,569)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products</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(6,077)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9,707</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(6,113)</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27,834</w:t>
            </w:r>
          </w:p>
        </w:tc>
        <w:tc>
          <w:tcPr>
            <w:tcW w:w="180" w:type="dxa"/>
            <w:vAlign w:val="bottom"/>
          </w:tcPr>
          <w:p>
            <w:pPr>
              <w:spacing w:after="0"/>
              <w:rPr>
                <w:sz w:val="17"/>
                <w:szCs w:val="17"/>
                <w:color w:val="auto"/>
              </w:rPr>
            </w:pP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39,792</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(11,958)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products</w:t>
            </w: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(8,060)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203,503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232,540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(13,569)</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(14,133)</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(47,486)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(48,271)</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(7,496)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156,017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(28,252)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Cannabis revenue based on market channel using a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 February 28,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0"/>
                <w:szCs w:val="20"/>
                <w:color w:val="auto"/>
              </w:rPr>
            </w:pPr>
          </w:p>
        </w:tc>
        <w:tc>
          <w:tcPr>
            <w:tcW w:w="12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medical cannabis products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(3,260)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adult-use cannabis products</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48,721</w:t>
            </w:r>
          </w:p>
        </w:tc>
        <w:tc>
          <w:tcPr>
            <w:tcW w:w="2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43,504</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5,217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162,777</w:t>
            </w: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162,632</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from wholesale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products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6,763</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international</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10,269</w:t>
            </w:r>
          </w:p>
        </w:tc>
        <w:tc>
          <w:tcPr>
            <w:tcW w:w="2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tcPr>
          <w:p>
            <w:pPr>
              <w:spacing w:after="0"/>
              <w:rPr>
                <w:sz w:val="17"/>
                <w:szCs w:val="17"/>
                <w:color w:val="auto"/>
              </w:rPr>
            </w:pPr>
          </w:p>
        </w:tc>
        <w:tc>
          <w:tcPr>
            <w:tcW w:w="9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(5,551)</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31,627</w:t>
            </w:r>
          </w:p>
        </w:tc>
        <w:tc>
          <w:tcPr>
            <w:tcW w:w="24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39,792</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(8,165)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cannabis products</w:t>
            </w: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65,494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(3,684)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215,223</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232,540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(17,317)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(14,487)</w:t>
            </w:r>
          </w:p>
        </w:tc>
        <w:tc>
          <w:tcPr>
            <w:tcW w:w="2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(14,133)</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(354)</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(50,477)</w:t>
            </w:r>
          </w:p>
        </w:tc>
        <w:tc>
          <w:tcPr>
            <w:tcW w:w="2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(48,271)</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(2,206)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51,007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(4,038)</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164,746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20" w:right="400" w:hanging="434"/>
        <w:spacing w:after="0" w:line="236" w:lineRule="auto"/>
        <w:tabs>
          <w:tab w:leader="none" w:pos="820" w:val="left"/>
        </w:tabs>
        <w:numPr>
          <w:ilvl w:val="0"/>
          <w:numId w:val="1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jc w:val="both"/>
        <w:ind w:firstLine="45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medical cannabis products: </w:t>
      </w:r>
      <w:r>
        <w:rPr>
          <w:rFonts w:ascii="Times New Roman" w:cs="Times New Roman" w:eastAsia="Times New Roman" w:hAnsi="Times New Roman"/>
          <w:sz w:val="18"/>
          <w:szCs w:val="18"/>
          <w:color w:val="auto"/>
        </w:rPr>
        <w:t>Revenue from Canadian medical cannabis products decreased to $6.0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$18.9 million for the three and nine months ended February 28, 2023, compared to revenue of $7.1 million and $23.4 million for the prior year same periods. On a constant currency basis revenue from Canadian medical cannabis products decreased to $6.4 million and $20.1 million for the three and nine months ended February 28, 2023, compared to revenue of $7.1 million and $23.4 million for the prior year same periods. This decrease in revenue from medical cannabis products is primarily driven by increased competition from the adult-use recreational market and its related price compression impacting the medical cannabis market.</w:t>
      </w:r>
    </w:p>
    <w:p>
      <w:pPr>
        <w:spacing w:after="0" w:line="18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Canadian adult-use cannabis products: </w:t>
      </w:r>
      <w:r>
        <w:rPr>
          <w:rFonts w:ascii="Times New Roman" w:cs="Times New Roman" w:eastAsia="Times New Roman" w:hAnsi="Times New Roman"/>
          <w:sz w:val="18"/>
          <w:szCs w:val="18"/>
          <w:color w:val="auto"/>
        </w:rPr>
        <w:t>During the three and nine months ended February 28, 2023, our revenue from Canadian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adult-use cannabis products increased to $45.3 million and decreased to $156.1 million compared to revenue of $43.5 million and $162.6 million for the prior year same periods. Due to the decline in the Canadian dollar, on a constant currency basis, our revenue from Canadian adult-use cannabis products increased to $48.7 million and increased to $162.8 million for the three and nine months ended February 28, 2023. Included in the current period results was the favorable impact of the HEXO arrangement which resulted in $8.7 million and $24.3 million of advisory services revenue for the three and nine months ended February 28, 2023 that did not occur in the prior period comparative. This increase was offset by the negative impacts of price compression, challenges in the province of Quebec and change in potency preferences for both the three and nine months ended.</w:t>
      </w:r>
    </w:p>
    <w:p>
      <w:pPr>
        <w:spacing w:after="0" w:line="183" w:lineRule="exact"/>
        <w:rPr>
          <w:sz w:val="20"/>
          <w:szCs w:val="20"/>
          <w:color w:val="auto"/>
        </w:rPr>
      </w:pPr>
    </w:p>
    <w:p>
      <w:pPr>
        <w:jc w:val="both"/>
        <w:ind w:firstLine="45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products decreased to $0.1 million and $0.7 million for the three and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28, 2023, compared to revenue of $2.8 million and $6.8 million for the prior year same periods which is consistent on a constant currency basis. The Company continues to believe that wholesale cannabis revenue will remain subject to quarter-to-quarter variability and is based on opportunistic sales.</w:t>
      </w:r>
    </w:p>
    <w:p>
      <w:pPr>
        <w:spacing w:after="0" w:line="176"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products decreased to $9.7 million and $27.8 million for the three and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February 28, 2023, compared to revenue of $15.8 million and $39.8 million for the prior year same periods. Given the deterioration of the Euro against the U.S. Dollar in the quarter, on a constant currency basis, revenue from international cannabis products decreased to $10.3 million and $31.6 million from $15.8 million and $39.8 million in the prior year same periods for three and nine months ended February 28, 2023. During the nine month period, the Company recognized a one-time return adjustment of $3.1 million related to a customer in Israel. In addition, the Company had $5.1 million and $9.7 million of revenue in the three and nine months ended February 28, 2022, to Israel, which did not repeat in the current period results given the challenging and severe deterioration of market conditions in Israel.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Revenue from Distribution operations increased to $65.4 million and decreased to $186.2 million for the three and nine months ended February 28, 2023 compared to revenue of $62.5 million and $198.6 million for the prior year same periods. Revenue was negatively impacted during both the three and nine month periods from the deterioration of the Euro against the U.S. Dollar in the quarter, which when the impacts are eliminated on a constant currency basis, revenue increased to $70.1 million and $211.7 million for the three and nine months ended February 28, 2023 when compared to prior year same periods. However, this impact is offset in the nine month period increase as there was a flood that occurred in the comparative prior period and forced a business closure for approximately five days leading to a decrease in net revenue in the prior period of almost $5.0 million, which did not recur in the current nine-month period. Additionally, the Company is continuing to prioritize higher margin sales, and as a result of our focus on higher margin sales and capacity constraints, management believes in future periods we can continue to drive larger profit margins despite not increasing revenue in our distribution business as we approach full utilization of our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Beverage alcohol revenue</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Revenue from our Beverage operations increased to $20.6 million and $62.7 million for the three and nine months ended February 28, 2023, compared to revenue of $19.6 million and $48.8 million for the prior year same periods. The increase in the three month and nine month period relates primarily to our acquisition of Montauk on November 7,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Wellness revenue from Manitoba Harvest decreased to $12.0 million and $38.1 million for three and nine months ended February 28, 2023 compared to $14.7 million and $43.4 million from the prior year same periods. On a constant currency basis for the three and nine months ended February 28, 2023 same periods, Wellness revenue decreased to $12.4 million and $39.1 million from $14.7 million and $43.4 million. The decrease in revenue for the three months ended related to continual changes of inventory management by one of our customers based on a warehousing strategy as well as a decline in sales velocity from a recent price increase required to protect our margin given the inflation on our ingredient costs. The nine month decrease is impacted by the aforementioned items as well as the prior year comparison including a one-off private label sale that did not recur in the current quarter.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Gross profit, gross margin and adjusted gross margin</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for our reporting segments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gross profit and gross margin for the three and nine months ended February 28, 2023 and 2022,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22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40" w:type="dxa"/>
            <w:vAlign w:val="bottom"/>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nine months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tc>
        <w:tc>
          <w:tcPr>
            <w:tcW w:w="2280" w:type="dxa"/>
            <w:vAlign w:val="bottom"/>
            <w:gridSpan w:val="4"/>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ended February 28,</w:t>
            </w:r>
          </w:p>
        </w:tc>
        <w:tc>
          <w:tcPr>
            <w:tcW w:w="11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4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ended February 28,</w:t>
            </w:r>
          </w:p>
        </w:tc>
        <w:tc>
          <w:tcPr>
            <w:tcW w:w="11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216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Cannabis</w:t>
            </w: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vs.</w:t>
            </w:r>
          </w:p>
        </w:tc>
        <w:tc>
          <w:tcPr>
            <w:tcW w:w="8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w w:val="87"/>
              </w:rPr>
              <w:t>2022</w:t>
            </w:r>
          </w:p>
        </w:tc>
        <w:tc>
          <w:tcPr>
            <w:tcW w:w="300" w:type="dxa"/>
            <w:vAlign w:val="bottom"/>
          </w:tcPr>
          <w:p>
            <w:pPr>
              <w:spacing w:after="0"/>
              <w:rPr>
                <w:sz w:val="17"/>
                <w:szCs w:val="17"/>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vs.</w:t>
            </w:r>
          </w:p>
        </w:tc>
        <w:tc>
          <w:tcPr>
            <w:tcW w:w="8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w w:val="87"/>
              </w:rPr>
              <w:t>2022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47,549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55,045</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(7,496)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156,017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184,269</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(28,252)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80,362</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43,320</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117%</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137,800</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122,492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15,308</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(32,813)</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18,003</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(50,816)</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61,777</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(43,560)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Inventory valuation</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280" w:type="dxa"/>
            <w:vAlign w:val="bottom"/>
            <w:vMerge w:val="restart"/>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300" w:type="dxa"/>
            <w:vAlign w:val="bottom"/>
            <w:vMerge w:val="restart"/>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NM</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2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12,000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3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88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22"/>
                <w:szCs w:val="22"/>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73,217</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73,777</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Adjusted gross margin </w:t>
            </w:r>
            <w:r>
              <w:rPr>
                <w:rFonts w:ascii="Times New Roman" w:cs="Times New Roman" w:eastAsia="Times New Roman" w:hAnsi="Times New Roman"/>
                <w:sz w:val="23"/>
                <w:szCs w:val="23"/>
                <w:color w:val="auto"/>
                <w:vertAlign w:val="superscript"/>
              </w:rPr>
              <w:t>(1)</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w:t>
            </w:r>
          </w:p>
        </w:tc>
        <w:tc>
          <w:tcPr>
            <w:tcW w:w="11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w:t>
            </w:r>
          </w:p>
        </w:tc>
        <w:tc>
          <w:tcPr>
            <w:tcW w:w="88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65,385</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62,532</w:t>
            </w: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2,853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186,158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198,587</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(12,429)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57,964</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57,566</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165,443</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178,093</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(12,650)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20,494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Beverage alcohol</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20,640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19,597</w:t>
            </w: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1,043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62,689</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48,765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13,924</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20,674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24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(1,529)</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29,757</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28,091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3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11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Purchase price accounting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8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300" w:type="dxa"/>
            <w:vAlign w:val="bottom"/>
            <w:vMerge w:val="restart"/>
          </w:tcPr>
          <w:p>
            <w:pPr>
              <w:spacing w:after="0"/>
              <w:rPr>
                <w:sz w:val="15"/>
                <w:szCs w:val="15"/>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NM</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step-up</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22"/>
                <w:szCs w:val="22"/>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10,986</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11,506</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(520)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28,091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 xml:space="preserve">Adjusted gross margin </w:t>
            </w:r>
            <w:r>
              <w:rPr>
                <w:rFonts w:ascii="Times New Roman" w:cs="Times New Roman" w:eastAsia="Times New Roman" w:hAnsi="Times New Roman"/>
                <w:sz w:val="23"/>
                <w:szCs w:val="23"/>
                <w:color w:val="auto"/>
                <w:vertAlign w:val="superscript"/>
              </w:rPr>
              <w:t>(1)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Wellness</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12,015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14,697</w:t>
            </w: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(2,682)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38,072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43,426</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(5,354)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8,299</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(1,044)</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30,238</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(3,274)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w:t>
            </w:r>
          </w:p>
        </w:tc>
        <w:tc>
          <w:tcPr>
            <w:tcW w:w="240" w:type="dxa"/>
            <w:vAlign w:val="bottom"/>
          </w:tcPr>
          <w:p>
            <w:pPr>
              <w:spacing w:after="0"/>
              <w:rPr>
                <w:sz w:val="17"/>
                <w:szCs w:val="17"/>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(1,638)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11,108</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13,188</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(2,080)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11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w:t>
            </w:r>
          </w:p>
        </w:tc>
        <w:tc>
          <w:tcPr>
            <w:tcW w:w="11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3"/>
        </w:trPr>
        <w:tc>
          <w:tcPr>
            <w:tcW w:w="21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88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145,589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151,871</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(6,282)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442,936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475,047</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(32,111)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157,288</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112,042</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45,246</w:t>
            </w:r>
          </w:p>
        </w:tc>
        <w:tc>
          <w:tcPr>
            <w:tcW w:w="3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363,139</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351,497</w:t>
            </w:r>
          </w:p>
        </w:tc>
        <w:tc>
          <w:tcPr>
            <w:tcW w:w="11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11,642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(11,699)</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39,829</w:t>
            </w:r>
          </w:p>
        </w:tc>
        <w:tc>
          <w:tcPr>
            <w:tcW w:w="11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(51,528)</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79,797</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123,550</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(43,753)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Inventory valuation</w:t>
            </w: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55,000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55,000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NM</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Purchase price accounting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80" w:type="dxa"/>
            <w:vAlign w:val="bottom"/>
            <w:vMerge w:val="restart"/>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300" w:type="dxa"/>
            <w:vAlign w:val="bottom"/>
            <w:vMerge w:val="restart"/>
          </w:tcPr>
          <w:p>
            <w:pPr>
              <w:spacing w:after="0"/>
              <w:rPr>
                <w:sz w:val="16"/>
                <w:szCs w:val="16"/>
                <w:color w:val="auto"/>
              </w:rPr>
            </w:pP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NM</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24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300" w:type="dxa"/>
            <w:vAlign w:val="bottom"/>
          </w:tcPr>
          <w:p>
            <w:pPr>
              <w:spacing w:after="0"/>
              <w:rPr>
                <w:sz w:val="16"/>
                <w:szCs w:val="16"/>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step-up</w:t>
            </w: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4"/>
                <w:szCs w:val="14"/>
                <w:color w:val="auto"/>
              </w:rPr>
              <w:t xml:space="preserve">Adjusted gross profit </w:t>
            </w:r>
            <w:r>
              <w:rPr>
                <w:rFonts w:ascii="Times New Roman" w:cs="Times New Roman" w:eastAsia="Times New Roman" w:hAnsi="Times New Roman"/>
                <w:sz w:val="22"/>
                <w:szCs w:val="22"/>
                <w:color w:val="auto"/>
                <w:vertAlign w:val="superscript"/>
              </w:rPr>
              <w:t>(1)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44,310</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39,829</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138,020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135,550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Times New Roman" w:cs="Times New Roman" w:eastAsia="Times New Roman" w:hAnsi="Times New Roman"/>
                <w:sz w:val="15"/>
                <w:szCs w:val="15"/>
                <w:color w:val="auto"/>
              </w:rPr>
              <w:t xml:space="preserve">Adjusted gross margin </w:t>
            </w:r>
            <w:r>
              <w:rPr>
                <w:rFonts w:ascii="Times New Roman" w:cs="Times New Roman" w:eastAsia="Times New Roman" w:hAnsi="Times New Roman"/>
                <w:sz w:val="23"/>
                <w:szCs w:val="23"/>
                <w:color w:val="auto"/>
                <w:vertAlign w:val="superscript"/>
              </w:rPr>
              <w:t>(1)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780" w:hanging="327"/>
        <w:spacing w:after="0" w:line="256" w:lineRule="auto"/>
        <w:tabs>
          <w:tab w:leader="none" w:pos="78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both"/>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decreased during the three and nine months ended February 28, 2023 to -69% and 12% from 33% and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prior year same periods. The three and nine month decrease in cannabis gross margin is primarily related to the non-cash inventory valuation allowance that occurred in the current year which was lower in the prior year. Excluding this valuation allowance, adjusted gross margin during the three and nine months ended February 28, 2023 increased to 47% from 33% and increased to 47% from 40% when comparing the same prior year periods. The largest impact on the current period adjusted gross margin is the inclusion of the $8.7 million and $24.3 million of HEXO advisory fee revenue included in cannabis revenue for the three and nine month periods. When this revenue is excluded from this computation, our adjusted cannabis gross margin would have been 35% and 37% for the three and nine month periods. The reason for the decline in the three month period when excluding the impacts from HEXO is attributed to the impacts of price compression as well as a decrease in utilization of our cannabis facilities to manage demand requirements. Additionally during the nine month period, the Company recognized a one-time return as discussed in the international cannabis revenue section that reduced our top line revenue as well as a one-time inventory disposals incurred as exit costs from Israel for a combined impact of reducing gross profit by $1.4 million. Additionally, in the immediately preceding quarter the inventory adjustment of $2.8 million related to Uruguay was reclassified to restructuring costs in the current period. Further impacting the decrease in the adjusted gross cannabis margin is a shift in strategic priorities to focus on pursuing cash flow generating activities. The Company has made the business decision to lower production in our cannabis facilities as a result of slower than anticipated legalization globally. We will continue to prioritize reductions in operational costs as we continue to assess additional potential cost saving initiatives.</w:t>
      </w:r>
    </w:p>
    <w:p>
      <w:pPr>
        <w:spacing w:after="0" w:line="196" w:lineRule="exact"/>
        <w:rPr>
          <w:sz w:val="20"/>
          <w:szCs w:val="20"/>
          <w:color w:val="auto"/>
        </w:rPr>
      </w:pPr>
    </w:p>
    <w:p>
      <w:pPr>
        <w:jc w:val="both"/>
        <w:ind w:firstLine="45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of 11% and 11% for the three and nine months ended February 28, 2023 increased from 8% and 10%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the prior year. The increase in the three and nine month period is attributed to a change in product mix as the Company continues to focus on higher margin sales.</w:t>
      </w:r>
    </w:p>
    <w:p>
      <w:pPr>
        <w:spacing w:after="0" w:line="173"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48% and 47% for the three and nine months ended February 28, 2023 decreased from 59% and 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same periods in the prior year. Adjusted gross margin of 53% and 53% for the three and nine months ended February 28, 2023 decreased from 59% and 58% from the same periods in the prior year. The decrease in beverage alcohol gross margin for the current three month period is a result of the Montauk acquisition that was not completed in the prior period comparison. The decrease in beverage alcohol gross margin for the nine month period is a result of the Breckenridge and Montauk acquisitions that were not completed in the prior period comparison. Both acquired companies operate at a slightly lower margin than Sweetwater, which contributed to the decrease. Additionally, Sweetwater has expanded operations in Colorado in the current period which has had negative impacts on the margin as it is still in the start-up phase.</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of 31% and 29% for the three and nine months ended February 28, 2023 decreased from 36% and 30%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periods in the prior year. The three and nine month decrease is related to the impacts of higher input costs of seed ingredients as a result of inflation. The Company increased prices in the second quarter to combat the impacts of this inflation and as a result the gross margin has remained consistent from the immediately preceding quarter.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117,385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8,641</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(2,189)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25,792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25,283</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509</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24,590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(1,072)</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71,872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84,345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(12,473)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7,354</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7,578</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(224)</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23,137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20,163</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2,974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(30,747)</w:t>
            </w: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31,099</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29,628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1,115,376</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1,115,376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Litigation (recovery) costs</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4,215</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(9,445)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(8,459)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5,023</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359</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35,653</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(39,535)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2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1,195,037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57,909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1,137,128</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1,359,502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266,528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1,092,974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2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Operating expenses are comprised of general and administrative, share-based compensation, selling, amortization, marketing and promotion, research and development, change in fair value of contingent consideration, impairments, litigation (recovery) costs, restructuring costs and transaction (income) costs. These costs increased by $1,137.1 million to $1,195.0 million and increased by $1,093.0 million to $1,359.5 million for the three and nine months ended February 28, 2023 as compared to $57.9 million and $266.5 million for the same periods of the prior year. This nine month increase was primarily a result of the non-cash impairments recorded in the period described in detail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February 28, 2023, general and administrative costs increased by 1% and decreased by 3% as compared to the prior year same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40" w:type="dxa"/>
            <w:vAlign w:val="bottom"/>
          </w:tcPr>
          <w:p>
            <w:pPr>
              <w:spacing w:after="0"/>
              <w:rPr>
                <w:sz w:val="20"/>
                <w:szCs w:val="20"/>
                <w:color w:val="auto"/>
              </w:rPr>
            </w:pPr>
          </w:p>
        </w:tc>
        <w:tc>
          <w:tcPr>
            <w:tcW w:w="9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(1,484)</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6,799</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4,012</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2,787</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20,011</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21,755</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(1,744)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14,076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38,407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37,536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9,355</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29,766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27,025</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2,741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(1,676)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14,461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3,601</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(2,436)</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9,669</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(4,284)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(4,032)</w:t>
            </w: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4,032</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4,032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2,119</w:t>
            </w: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(1,337)</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Borders>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general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38,999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38,445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554</w:t>
            </w: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117,385</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121,401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(4,016)</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4"/>
        </w:trPr>
        <w:tc>
          <w:tcPr>
            <w:tcW w:w="2280" w:type="dxa"/>
            <w:vAlign w:val="bottom"/>
            <w:tcBorders>
              <w:right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administrative costs</w:t>
            </w: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Executive compensation decreased by 35% and 2% in the three and nine months ended February 28, 2023. The three month decrease is due to a change in the executive team structure during the quarter, while the nine month period has remained consistent.</w:t>
      </w:r>
    </w:p>
    <w:p>
      <w:pPr>
        <w:spacing w:after="0" w:line="162"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Office and general increased by 69% and decreased by 8% during the three and nine months ended February 28, 2023. The increase for the three months is a result of the acquisition of Montauk, increased operations and some reclassification of other expenses during the period. The offset to this was that in the nine month period, there was a necessary one-time exit costs incurred in our international cannabis business to terminate operations that were no longer accretive to our focus of being free cash flow positive. Specifically, $1.6 million of bad debt expenses were incurred in the period from the discontinuance of business with our aforementioned Israel customer. The Company took this necessary step in order to continue pursuing sustainable growth by focusing on areas of the business that generate positive cash flows. Additionally, $1.6 million of exit costs recognized in the immediately proceeding quarter from our producer partnership in Uruguay were reclassified to restructuring costs in the current period.</w:t>
      </w:r>
    </w:p>
    <w:p>
      <w:pPr>
        <w:spacing w:after="0" w:line="18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Salaries and wages decreased by 3% and increased by 2% during the three and nine months ended February 28, 2023. The decrease is primarily due to our focus on optimizing our cost structure and is offset by the inclusion of Breckenridge employees, who were partially included in the prior period comparison and Montauk employees, who were not included in the prior period comparatives. The Company’s headcount remained consistent with approximately 1,700 employees compared to 1,800 employees as of February 28,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both"/>
        <w:ind w:right="20" w:firstLine="450"/>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$9.6 million and $29.8 million for the three and nine months ended February 28, 2023 compared to $9.4 million and $27.0 for the same periods in the prior year. The balance has remained relatively consistent period over period as this is based on the time based vesting schedules.</w:t>
      </w:r>
    </w:p>
    <w:p>
      <w:pPr>
        <w:spacing w:after="0" w:line="176" w:lineRule="exact"/>
        <w:rPr>
          <w:sz w:val="20"/>
          <w:szCs w:val="20"/>
          <w:color w:val="auto"/>
        </w:rPr>
      </w:pPr>
    </w:p>
    <w:p>
      <w:pPr>
        <w:ind w:right="260" w:firstLine="450"/>
        <w:spacing w:after="0" w:line="282" w:lineRule="auto"/>
        <w:rPr>
          <w:sz w:val="20"/>
          <w:szCs w:val="20"/>
          <w:color w:val="auto"/>
        </w:rPr>
      </w:pPr>
      <w:r>
        <w:rPr>
          <w:rFonts w:ascii="Times New Roman" w:cs="Times New Roman" w:eastAsia="Times New Roman" w:hAnsi="Times New Roman"/>
          <w:sz w:val="18"/>
          <w:szCs w:val="18"/>
          <w:color w:val="auto"/>
        </w:rPr>
        <w:t>Insurance expenses decreased by 35% and 41% for the three and nine months ended February 28, 2023 to $3.2 million and $8.6 million from $4.8 million and $14.5 million from the same periods in the prior year. This item was a target of the Tilray-Aphria Arrangement Agreement synergies.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Gain on sale of capital assets decreased to ($0.0) million and ($0.0) million for the three and nine months ended February 28, 2023 compared to ($0.6) million and ($0.9) million for the prior year same periods. There were minimal disposals in the three and nine month periods in the current year, which did not recur from the comparative prior period. Additionally, the capital asset disposal of $2.2 million recorded in the immediately preceding quarter has been reclassified in the current period to restructuring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For the three months ended February 28, 2023, the Company incurred selling costs of $6.5 million and $25.8 million or 4.4% and 5.8% of revenue as compared to $8.6 million and $25.3 million and 5.7% and 5.3% of revenue in the prior year periods.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decrease in the three month period was related to the renegotiation of terms in one of our distributor relationships resulting in a one-time credit during the period. This impact was offset in the three and nine month period as a portion of our selling fees with fixed components did not decrease with the decline in our revenue during the quarter. Additionally, there are no selling fees associated with our advisory fee revenue and thus there is no correlation between selling fees and this stream of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$23.5 million and $71.9 million for the three and nine months ended February 28, 2023 compared to $24.6 million and $84.4 million in the prior year period. The decreased amortization in both the three and nine month periods, is a result of the reduced intangible asset levels.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February 28, 2023, the Company incurred marketing and promotion costs of $7.4 million and $23.1 million as compared to $7.6 million and $20.2 million for the prior year periods. The increase in the nine month period is a result of the continued focus of investing in our Canadian cannabis brands by prioritizing our retail partnerships through the education of budtenders. Additionally, the prior year comparative did not include the marketing spend related to Breckenridge for a portion of the prior quarter and Montauk for the full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$0.2 million and $0.5 million during the three and nine months ended February 28, 2023 compared to $0.2 million and $1.5 million in the prior year period. These relate to external costs associated with the development of new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229" w:lineRule="exact"/>
        <w:rPr>
          <w:sz w:val="20"/>
          <w:szCs w:val="20"/>
          <w:color w:val="auto"/>
        </w:rPr>
      </w:pPr>
    </w:p>
    <w:p>
      <w:pPr>
        <w:jc w:val="both"/>
        <w:ind w:left="160" w:firstLine="450"/>
        <w:spacing w:after="0" w:line="255" w:lineRule="auto"/>
        <w:rPr>
          <w:sz w:val="20"/>
          <w:szCs w:val="20"/>
          <w:color w:val="auto"/>
        </w:rPr>
      </w:pPr>
      <w:r>
        <w:rPr>
          <w:rFonts w:ascii="Times New Roman" w:cs="Times New Roman" w:eastAsia="Times New Roman" w:hAnsi="Times New Roman"/>
          <w:sz w:val="18"/>
          <w:szCs w:val="18"/>
          <w:color w:val="auto"/>
        </w:rPr>
        <w:t>Based upon a combination of factors including a sustained decline in the Company’s market capitalization below the Company’s carrying value, coupled with challenging macro-economic conditions, most particularly the rising interest rate environment and slower than anticipated progress in global cannabis legalization, the Company concluded that it is more likely than not that indicators of impairment were present. Accordingly, the Company performed the applicable impairment tests by computing the fair value of each reporting segment by using the income approach, and a combination of the income approach and the market approach for all other asset categories identified to have indicators of impairment as summarized below. As a result the Company incurred a non-cash impairment expense for the three and nine months ended February 28, 2023 of $1,115.4 million which is comprised of the following components:</w:t>
      </w:r>
    </w:p>
    <w:p>
      <w:pPr>
        <w:spacing w:after="0" w:line="189" w:lineRule="exact"/>
        <w:rPr>
          <w:sz w:val="20"/>
          <w:szCs w:val="20"/>
          <w:color w:val="auto"/>
        </w:rPr>
      </w:pPr>
    </w:p>
    <w:p>
      <w:pPr>
        <w:ind w:left="820" w:right="140" w:hanging="326"/>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asset impairments of $81.5 million on a production facility in Canada and $22.5 million on equipment which the Company has temporarily made idle in order to reduce cultivation costs and right-size the Company's production to align with current and projected demand, as references in Note 3 (Capital assets), and;</w:t>
      </w:r>
    </w:p>
    <w:p>
      <w:pPr>
        <w:spacing w:after="0" w:line="175" w:lineRule="exact"/>
        <w:rPr>
          <w:rFonts w:ascii="Times New Roman" w:cs="Times New Roman" w:eastAsia="Times New Roman" w:hAnsi="Times New Roman"/>
          <w:sz w:val="18"/>
          <w:szCs w:val="18"/>
          <w:color w:val="auto"/>
        </w:rPr>
      </w:pPr>
    </w:p>
    <w:p>
      <w:pPr>
        <w:jc w:val="both"/>
        <w:ind w:left="820" w:right="540" w:hanging="326"/>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impairments of $110.0 million on customer relationships &amp; distribution channels, $55.0 million of its licenses, permits &amp; applications and $40.0 million of its intellectual property, trademarks, knowhow &amp; brands, as a result of the decline in market share in its Canadian cannabis with certain product lines and customers, as referenced in Note 4 (Intangible assets), and;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impairments of $603.5 million in cannabis goodwill and $15.0 million in wellness goodwill, as a result of the increased Company specific risk premium which was driven by increased borrowing rates and the decline of the company’s market capitalization, as referenced in Note 5 (Goodwill), and;</w:t>
      </w:r>
    </w:p>
    <w:p>
      <w:pPr>
        <w:spacing w:after="0" w:line="175"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receivable impairments of $63.6 million on the HEXO Convertible Notes Receivables due to changes in the HEXO operations, which culminated in HEXO's assessment of a going concern issue primarily surrounding their ability to meet their minimum liquidity covenant and $117.8 million on the Medmen Convertible Notes due to the deterioration of capital market conditions from increased interest rates and recent delays in US Federal cannabis legalization, as referenced in Note 6 (Convertible Notes Receivable), and;</w:t>
      </w:r>
    </w:p>
    <w:p>
      <w:pPr>
        <w:spacing w:after="0" w:line="1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impairments of $6.5 million.</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non-cash impairment expense has no impact on the Company’s compliance with debt covenants, its cash flows or available liquidity.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February 28, 2023, the Company recorded ($5.2) million, net and ($2.0) million, net, of litigation recovery compared to an expense of $4.2 million and $6.5 million for the three and nine months ended February 28, 2022. The recovery is a result of the proceeds received and accrued for the SLC litigation of $39.9 million, which was received subsequent to quarter-end. These SLC litigation proceeds were offset by judgements, probable and estimated losses as well as ongoing litigation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executing our acquisition strategy and strategic transactions, the Company has incurred non-recurring restructuring and exit costs associated with the integration efforts of these transactions. For the three and nine months ended February 28, 2023, the Company incurred $2.7 million and $10.7 million of restructuring costs compared to $nil and $0.8 million for the three and nine months ended February 28, 2022. The breakdown of the restructuring charges for the three and nine months ended February 28, 2023, are as follows: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three month period, the Company incurred $2.7 million of expenses related to severance costs required to right size the Company's production to better align with current demand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nine month period, the Company incurred $1.6 million of exit cost and $2.8 million for inventory adjustments from the termination of our producer partnership in Uruguay due to a breach of the underlying contract in our International cannabis business. Additionally, amounts related to the Tilray-Aphria arrangement agreement for the closure of our Canadian cannabis facility in Enniskillen were reclassified from transaction costs to restructuring costs during the quarter in the amount of $1.4 million. It is anticipated that there will continue to be additional costs associated with this transaction until the resolution of our lease termination for our Enniskillen facility and the restructuring of Nanaimo facility are completed. The Company also incurred $2.2 million of write-offs from the exit of our medical device reprocessing business in our distribution reporting segment. These one-time non-cash charges were a required exit cost as we determined this business venture was no longer accretive to our focus of being free cash flow positive and is not anticipated to have ongoing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Items classified as transaction (income) costs are non-recurring in nature and correspond largely to our acquisition, and synergy strategy. The three and nine months decrease of 7% and 111% from the prior year period is related to the following items:</w:t>
      </w:r>
    </w:p>
    <w:p>
      <w:pPr>
        <w:spacing w:after="0" w:line="162" w:lineRule="exact"/>
        <w:rPr>
          <w:sz w:val="20"/>
          <w:szCs w:val="20"/>
          <w:color w:val="auto"/>
        </w:rPr>
      </w:pPr>
    </w:p>
    <w:p>
      <w:pPr>
        <w:ind w:left="820" w:right="2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period comparatives included fees related to the MedMen transaction, which has been completed and thus there are no further expected costs to be incurred unless the Triggering Event arises;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associated with amending our charter incurred in the current three month period;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non-reimbursed compensation payment of $5.0 million was made as a result of the HEXO transaction in the nine month period;</w:t>
      </w:r>
    </w:p>
    <w:p>
      <w:pPr>
        <w:spacing w:after="0" w:line="225" w:lineRule="exact"/>
        <w:rPr>
          <w:rFonts w:ascii="Times New Roman" w:cs="Times New Roman" w:eastAsia="Times New Roman" w:hAnsi="Times New Roman"/>
          <w:sz w:val="18"/>
          <w:szCs w:val="18"/>
          <w:color w:val="auto"/>
        </w:rPr>
      </w:pPr>
    </w:p>
    <w:p>
      <w:pPr>
        <w:ind w:left="820" w:right="20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offsetting the decrease in the period were the fees incurred for the Montauk acquisition in the current quarter which differed from the fees incurred for the Breckenridge acquisitions which occurred in the prior period comparative;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5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recognized a change in fair value of $18.3 million on the HTI Share Consideration's purchase price derivative as a result of an increase in our share price on the shares paid for the HEXO convertible note receivable Note 6 (Convertible notes receivable). This gain was payable to the Company from HTI and was collected in cash during the nine month period. This gain offsets the aforementioned items in the nine month period and contributes to the period over period changes. The Company does not anticipate there to be additional transaction costs related to the HEXO Convertible Note transaction. However, additional costs may be incurred should the Company pursue additional arrangements with HEXO.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(expense) income, net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Non-operating (expense) income is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40" w:type="dxa"/>
            <w:vAlign w:val="bottom"/>
          </w:tcPr>
          <w:p>
            <w:pPr>
              <w:spacing w:after="0"/>
              <w:rPr>
                <w:sz w:val="20"/>
                <w:szCs w:val="20"/>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Pr>
          <w:p>
            <w:pPr>
              <w:spacing w:after="0"/>
              <w:rPr>
                <w:sz w:val="20"/>
                <w:szCs w:val="20"/>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120" w:type="dxa"/>
            <w:vAlign w:val="bottom"/>
          </w:tcPr>
          <w:p>
            <w:pPr>
              <w:spacing w:after="0"/>
              <w:rPr>
                <w:sz w:val="20"/>
                <w:szCs w:val="20"/>
                <w:color w:val="auto"/>
              </w:rPr>
            </w:pPr>
          </w:p>
        </w:tc>
        <w:tc>
          <w:tcPr>
            <w:tcW w:w="10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8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tcBorders>
              <w:right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(20,375)</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(172,226)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5,256</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21,089</w:t>
            </w:r>
          </w:p>
        </w:tc>
        <w:tc>
          <w:tcPr>
            <w:tcW w:w="1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(15,833)</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6,841</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58,802</w:t>
            </w:r>
          </w:p>
        </w:tc>
        <w:tc>
          <w:tcPr>
            <w:tcW w:w="120" w:type="dxa"/>
            <w:vAlign w:val="bottom"/>
          </w:tcPr>
          <w:p>
            <w:pPr>
              <w:spacing w:after="0"/>
              <w:rPr>
                <w:sz w:val="20"/>
                <w:szCs w:val="20"/>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(51,961)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(26,621)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(18,452)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(8,169)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(3,326)</w:t>
            </w:r>
          </w:p>
        </w:tc>
        <w:tc>
          <w:tcPr>
            <w:tcW w:w="140" w:type="dxa"/>
            <w:vAlign w:val="bottom"/>
          </w:tcPr>
          <w:p>
            <w:pPr>
              <w:spacing w:after="0"/>
              <w:rPr>
                <w:sz w:val="20"/>
                <w:szCs w:val="20"/>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2,401</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(6,834)</w:t>
            </w:r>
          </w:p>
        </w:tc>
        <w:tc>
          <w:tcPr>
            <w:tcW w:w="12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4,305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8"/>
        </w:trPr>
        <w:tc>
          <w:tcPr>
            <w:tcW w:w="228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(losses)</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3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(7,545)</w:t>
            </w:r>
          </w:p>
        </w:tc>
        <w:tc>
          <w:tcPr>
            <w:tcW w:w="18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(8,507)</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1"/>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net</w:t>
            </w: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340" w:type="dxa"/>
            <w:vAlign w:val="bottom"/>
            <w:gridSpan w:val="3"/>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non-operating income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71,037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(69,824)</w:t>
            </w:r>
          </w:p>
        </w:tc>
        <w:tc>
          <w:tcPr>
            <w:tcW w:w="1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186,329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(236,558)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4"/>
        </w:trPr>
        <w:tc>
          <w:tcPr>
            <w:tcW w:w="22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w:t>
            </w: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5" w:name="page56"/>
    <w:bookmarkEnd w:id="55"/>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February 28, 2023, the Company recognized a change in fair value of its convertible debentures payable of $0.2 million and ($20.4) million compared to $56.1 million and $151.9 million in the prior year same periods. The change is driven primarily by the changes in the Company’s share price and the change in the trading price of the convertible debentures payable. Additionally, for the three and nine months ended February 28, 2023, the Company recognized a change in fair value of its warrants, resulting in a gain of $5.3 million and $6.8 million compared to $21.1 million and $58.8 million also as a result of the change in our share price. For the three and nine months ended February 28, 2023, the Company recognized a loss of ($2.0) million and ($26.6) million, resulting from the changes in foreign exchange rates during the period, compared to losses of ($2.5) million and ($18.5) million for the prior year same periods, largely associated with the weakening of the Euro. Lastly, included in other non-operating (losses) gains, net for the three and nine months ended February 28, 2023 was ($1.2) million and ($7.4) million related to a change in fair value on a derivative liability recognized in the three month period that did not occur in the comparative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 before income taxes, net interest expense, depreciation and amortization, equity in net loss of equity-method investees, inventory write downs, stock-based compensation, integration activities, transaction (income) costs, litigation costs, unrealized currency gains and losses and other adjustments.</w:t>
      </w:r>
    </w:p>
    <w:p>
      <w:pPr>
        <w:spacing w:after="0" w:line="18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three and nine months ended February 28, 2023 adjusted EBITDA increased to $14.0 and $39.3 million compared to $10.1 million and $36.5 million from the prior year same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(1,195,752)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52,475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(1,248,227)</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(1,323,181)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23,668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(1,346,849)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taxes (benefit)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(10,811)</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(8,981)</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(15,313)</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(12,574)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(1,272)</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8,560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Non-operating income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(71,037)</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69,824</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50,229</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(186,329)</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236,558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33,769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(3,251)</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101,156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113,824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(12,668)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29,766</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27,025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(30,747)</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31,099</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(29,065)</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29,628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1,115,376</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1,115,376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Inventory valuation</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43,000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price accounting</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step-up</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Facility start-up and closure</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6,900</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Lease expense</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(recovery)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(9,445)</w:t>
            </w:r>
          </w:p>
        </w:tc>
        <w:tc>
          <w:tcPr>
            <w:tcW w:w="1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2,663</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10,727</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9,932</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(income) costs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35,653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(39,535)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39,254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36,543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57" w:name="page58"/>
    <w:bookmarkEnd w:id="57"/>
    <w:p>
      <w:pPr>
        <w:ind w:left="50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valuation adjustments;</w:t>
      </w:r>
    </w:p>
    <w:p>
      <w:pPr>
        <w:spacing w:after="0" w:line="252"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and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which have been, and will continue to be for the foreseeable future, a significant recurring expense in our business and an important part of our compensation strategy;</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52" w:lineRule="exact"/>
        <w:rPr>
          <w:rFonts w:ascii="Times New Roman" w:cs="Times New Roman" w:eastAsia="Times New Roman" w:hAnsi="Times New Roman"/>
          <w:sz w:val="18"/>
          <w:szCs w:val="18"/>
          <w:color w:val="auto"/>
        </w:rPr>
      </w:pPr>
    </w:p>
    <w:p>
      <w:pPr>
        <w:ind w:left="820" w:right="66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52"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such as Sweetwater Colorado, and to fund emerging market operations such as Malta and our German cultivation facilities and closure costs to run facilities through the wind-down of operations;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expense, to conform with competitors who report under IFRS;</w:t>
      </w:r>
    </w:p>
    <w:p>
      <w:pPr>
        <w:spacing w:after="0" w:line="252"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includes acquisition related income and expenses, which vary significantly by transactions and are excluded to evaluate ongoing operating results;</w:t>
      </w:r>
    </w:p>
    <w:p>
      <w:pPr>
        <w:spacing w:after="0" w:line="16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includes costs related to ongoing litigations, legal settlements and recoveries which are excluded to evaluate ongoing operating results;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step-up in inventory value included in costs of sales - product costs; and</w:t>
      </w:r>
    </w:p>
    <w:p>
      <w:pPr>
        <w:spacing w:after="0" w:line="252"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make acquisitions. On March 3, 2022, we entered into an at the market offering arrangement (the "ATM Program") pursuant to which we offered and sold our common stock having an aggregate offering price of up to $400 million. The ATM Program was intended to strengthen our balance sheet and improve our liquidity position and was utilized to offer and sell common stock having a total of $400 million for the period through February 28, 2023. The Company fully completed its sales of shares under the ATM Program. In addition, the Company may from time to time use excess cash to repurchase its outstanding convertible debentures payable in open market transactions. We believe that existing cash, cash equivalents, short-term investments and cash generated by operations, together with received proceeds from the ATM Program and access to external sources of funds, will be sufficient to meet our domestic and foreign capital needs for a short and long term outlook.</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reduce operations, headcount, as well as the elimination of other discretionary operational costs. Some of these actions may be less accretive to our adjusted EBITDA in the short term, however we believe that they will be required for our liquidity aspirations in the near term future. Additionally, the Company continues to invest our excess cash in the short-term in marketable securities which are comprised of U.S. treasury bills and term deposits with major Canadian banks.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will be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nine months</w:t>
            </w:r>
          </w:p>
        </w:tc>
      </w:tr>
      <w:tr>
        <w:trPr>
          <w:trHeight w:val="238"/>
        </w:trPr>
        <w:tc>
          <w:tcPr>
            <w:tcW w:w="4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ended February 28,</w:t>
            </w:r>
          </w:p>
        </w:tc>
        <w:tc>
          <w:tcPr>
            <w:tcW w:w="240" w:type="dxa"/>
            <w:vAlign w:val="bottom"/>
          </w:tcPr>
          <w:p>
            <w:pPr>
              <w:spacing w:after="0"/>
              <w:rPr>
                <w:sz w:val="20"/>
                <w:szCs w:val="20"/>
                <w:color w:val="auto"/>
              </w:rPr>
            </w:pPr>
          </w:p>
        </w:tc>
        <w:tc>
          <w:tcPr>
            <w:tcW w:w="23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ended February 28,</w:t>
            </w:r>
          </w:p>
        </w:tc>
      </w:tr>
      <w:tr>
        <w:trPr>
          <w:trHeight w:val="210"/>
        </w:trPr>
        <w:tc>
          <w:tcPr>
            <w:tcW w:w="4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(156,738)</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(277,527)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(33,612)</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r>
      <w:tr>
        <w:trPr>
          <w:trHeight w:val="20"/>
        </w:trPr>
        <w:tc>
          <w:tcPr>
            <w:tcW w:w="4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190,218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331,783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488,466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164,997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279,214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279,214</w:t>
            </w:r>
          </w:p>
        </w:tc>
      </w:tr>
      <w:tr>
        <w:trPr>
          <w:trHeight w:val="20"/>
        </w:trPr>
        <w:tc>
          <w:tcPr>
            <w:tcW w:w="4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(25,221)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(52,569)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(250,912)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(209,252)</w:t>
            </w:r>
          </w:p>
        </w:tc>
      </w:tr>
      <w:tr>
        <w:trPr>
          <w:trHeight w:val="413"/>
        </w:trPr>
        <w:tc>
          <w:tcPr>
            <w:tcW w:w="458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net cash used in operating activities was ($18.6) million and was ($35.7) million for three and nine months ended February 28, 2023 compared to ($63.5) million and ($156.7) million for the prior year same periods. This decrease in cash used in the three and nine month periods was primarily related to improved operating efficiencies realized through our synergy programs, increased management of our working capital requirements and for the nine months ended February 28, 2023, the $18.3 million of the cash collected from the HTI Share Consideration's purchase price derivative.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($4.6) million and ($277.5) million for three and nine months ended February 28, 2023 compared to ($8.0) million and ($16.6) million for the prior year same periods, and is a result of our purchase of $243.1 million of marketable securities and our acquisition of Montauk Brewing Company Note 5 (Goodwill) which did not occur in the comparative periods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change in cash used in financing activities was ($2.4) million and the change in cash provided by financing activities was $63.9 million for three and nine months ended February 28, 2023 compared to ($25.6) million and ($33.6) million for the prior year same periods. The nine month net cash provided by financing activities was primarily due to the funds received in the current quarter from our ATM program that was not in place for the prior year period. The three month change in cash used in financing activities was from the repurchase of our outstanding convertible debentures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Refer to Part I, Financial Information, Note 24 </w:t>
      </w:r>
      <w:r>
        <w:rPr>
          <w:rFonts w:ascii="Times New Roman" w:cs="Times New Roman" w:eastAsia="Times New Roman" w:hAnsi="Times New Roman"/>
          <w:sz w:val="18"/>
          <w:szCs w:val="18"/>
          <w:i w:val="1"/>
          <w:iCs w:val="1"/>
          <w:color w:val="auto"/>
        </w:rPr>
        <w:t>Subsequent Events.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litigation described in the Part II, Item 1 - Legal Proceedings, the Company is and may be a defendant in lawsuits from time to time in the normal course of business. While the results of litigation and claims cannot be predicted with certainty, the Company believes the reasonably possible losses of such matters, individually and in the aggregate, are not material. Additionally, the Company believes the probable final outcome of such matters will not have a material adverse effect on the Company’s consolidated results of operations, financial position, cash flows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The accounting principles we use require us to make estimates and assumptions that affect the reported amounts of assets and liabilities at the date of the financial statements and amounts of income and expenses during the reporting periods presented. We believe in the quality and reasonableness of our critical accounting policies; however, materially different amounts may be reported under different conditions or using assumptions different from those that we have applied. The accounting estimates that have been identified as critical to our business operations and to understanding the results of our operations pertain to revenue recognition, valuation of inventory, valuation of long-lived assets, goodwill and intangible assets, stock-based compensation and valuation allowances for deferred tax assets. The application of each of these critical accounting policies and estimates is discussed in Part II, Item 7, Management’s Discussion and Analysis of Financial Condition and Results of Operations, of our Annual Report on Form 10-K as amended for the fiscal year ended May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“Part I, Item 1. Note 1 – Basis of presentation and summary of significant accounting policies” to our financial statements appearing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market risk from those addressed in the Company’s Annual Report on Form 10-K as amended for the fiscal year ended May 31, 2022 during the nine months ended February 28, 2023. See the information set forth in Part II, Item 7A, Quantitative and Qualitative Disclosures About Market Risk, of the Company’s Annual Report on Form 10-K as amended for the fiscal year ended May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An evaluation of the effectiveness of the design and operation of our disclosure controls and procedures as of the end of the period covered by this Quarterly Report was made under the supervision and with the participation of our management, including our Chief Executive Officer and Chief Financial Officer.</w:t>
      </w:r>
    </w:p>
    <w:p>
      <w:pPr>
        <w:spacing w:after="0" w:line="18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Based upon this evaluation, our Chief Executive Officer and Chief Financial Officer have concluded that, as of February 28, 2023, our disclosure controls and procedures (a) are effective to ensure that information required to be disclosed by us in reports filed or submitted under the Exchange Act is timely recorded, processed, summarized and reported and (b)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Consistent with guidance issued by the SEC, the scope of management’s assessment of the effectiveness of our disclosure controls and procedures did not include the internal controls over financial reporting of Montauk Brewing Company, Inc., which we acquired on November 7, 2022. Montauk Brewing Company, Inc. represented 1.1% of our consolidated assets and 0.6% of our consolidated revenues as of and for the nine months ended February 28,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160" w:firstLine="450"/>
        <w:spacing w:after="0" w:line="25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period covered by this Quarterly Report that have materially affected, or are reasonably likely to materially affect, our internal control over financial reporting. As mentioned above, the Company acquired Breckenridge Distillery on December 7, 2021 and Montauk Brewing Company, Inc. on November 7, 2022. The Company is in the process of reviewing the internal control structure of Breckenridge Distillery and Montauk Brewing Company, Inc., if necessary, will make appropriate changes as it integrates them into the Company’s overall internal control over financial reporting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our management believes that it has established appropriate legal reserves. Any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“Item 3. Legal Proceedings” of our Annual Report on Form 10-K as amended for the fiscal year ended May 31, 2022 includes a discussion of our legal proceedings. There have been no material changes from the legal proceedings described in our Form 10-K, except with respect to the matters disclosed and incorporated herein by reference to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Part I, Item 1 of this Form 10-Q.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“Item 1A. Risk Factors” of our Annual Report on Form 10-K as amended for the fiscal year ended May 31, 2022 includes a discussion of our known material risk factors, other than risks that could apply to any issuer or offering. A summary of our risk factors is included below. Except as noted below in the summary of our risk factors, there have been no material changes from the risk factors described in our Form 10-K as amended.</w:t>
      </w:r>
    </w:p>
    <w:p>
      <w:pPr>
        <w:spacing w:after="0" w:line="176" w:lineRule="exact"/>
        <w:rPr>
          <w:sz w:val="20"/>
          <w:szCs w:val="20"/>
          <w:color w:val="auto"/>
        </w:rPr>
      </w:pPr>
    </w:p>
    <w:p>
      <w:pPr>
        <w:jc w:val="both"/>
        <w:ind w:left="780" w:hanging="327"/>
        <w:spacing w:after="0" w:line="266"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we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Montauk Brewing acquisition.</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161"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or lack of commercial legalization could impact our ability to carry on our business as currently conducted and the potential expansion of our business.</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25"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and Montauk each face substantial competition in the beer industry and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net losses, and we may not achieve or maintain profitability in the future.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3" w:name="page64"/>
    <w:bookmarkEnd w:id="63"/>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25" w:lineRule="exact"/>
        <w:rPr>
          <w:rFonts w:ascii="Times New Roman" w:cs="Times New Roman" w:eastAsia="Times New Roman" w:hAnsi="Times New Roman"/>
          <w:sz w:val="18"/>
          <w:szCs w:val="18"/>
          <w:color w:val="auto"/>
        </w:rPr>
      </w:pPr>
    </w:p>
    <w:p>
      <w:pPr>
        <w:ind w:left="327" w:hanging="327"/>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25" w:lineRule="exact"/>
        <w:rPr>
          <w:rFonts w:ascii="Times New Roman" w:cs="Times New Roman" w:eastAsia="Times New Roman" w:hAnsi="Times New Roman"/>
          <w:sz w:val="18"/>
          <w:szCs w:val="18"/>
          <w:color w:val="auto"/>
        </w:rPr>
      </w:pPr>
    </w:p>
    <w:p>
      <w:pPr>
        <w:jc w:val="both"/>
        <w:ind w:left="327" w:hanging="327"/>
        <w:spacing w:after="0" w:line="266"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negatively impacted by volatility in political and economic environment, factors including the war in Ukraine, economic downturns and increases in interest rates, and a period of sustained inflation across the markets in which we operate could result in higher operating costs and may negatively impact our business and financial performance.</w:t>
      </w:r>
    </w:p>
    <w:p>
      <w:pPr>
        <w:spacing w:after="0" w:line="175" w:lineRule="exact"/>
        <w:rPr>
          <w:rFonts w:ascii="Times New Roman" w:cs="Times New Roman" w:eastAsia="Times New Roman" w:hAnsi="Times New Roman"/>
          <w:sz w:val="18"/>
          <w:szCs w:val="18"/>
          <w:color w:val="auto"/>
        </w:rPr>
      </w:pPr>
    </w:p>
    <w:p>
      <w:pPr>
        <w:ind w:left="327" w:hanging="327"/>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25" w:lineRule="exact"/>
        <w:rPr>
          <w:rFonts w:ascii="Times New Roman" w:cs="Times New Roman" w:eastAsia="Times New Roman" w:hAnsi="Times New Roman"/>
          <w:sz w:val="18"/>
          <w:szCs w:val="18"/>
          <w:color w:val="auto"/>
        </w:rPr>
      </w:pPr>
    </w:p>
    <w:p>
      <w:pPr>
        <w:ind w:left="327" w:hanging="327"/>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2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25"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25" w:lineRule="exact"/>
        <w:rPr>
          <w:rFonts w:ascii="Times New Roman" w:cs="Times New Roman" w:eastAsia="Times New Roman" w:hAnsi="Times New Roman"/>
          <w:sz w:val="18"/>
          <w:szCs w:val="18"/>
          <w:color w:val="auto"/>
        </w:rPr>
      </w:pPr>
    </w:p>
    <w:p>
      <w:pPr>
        <w:ind w:left="327" w:hanging="327"/>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327" w:right="20" w:hanging="327"/>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327" w:hanging="327"/>
        <w:spacing w:after="0"/>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25" w:lineRule="exact"/>
        <w:rPr>
          <w:sz w:val="20"/>
          <w:szCs w:val="20"/>
          <w:color w:val="auto"/>
        </w:rPr>
      </w:pPr>
    </w:p>
    <w:p>
      <w:pPr>
        <w:jc w:val="center"/>
        <w:ind w:right="433"/>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7"/>
          </w:cols>
          <w:pgMar w:left="773" w:top="580" w:right="339" w:bottom="1440" w:gutter="0" w:footer="0" w:header="0"/>
        </w:sectPr>
      </w:pPr>
    </w:p>
    <w:bookmarkStart w:id="64" w:name="page65"/>
    <w:bookmarkEnd w:id="64"/>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59" w:lineRule="exact"/>
        <w:rPr>
          <w:sz w:val="20"/>
          <w:szCs w:val="20"/>
          <w:color w:val="auto"/>
        </w:rPr>
      </w:pPr>
    </w:p>
    <w:p>
      <w:pPr>
        <w:jc w:val="both"/>
        <w:ind w:firstLine="738"/>
        <w:spacing w:after="0" w:line="256" w:lineRule="auto"/>
        <w:rPr>
          <w:sz w:val="20"/>
          <w:szCs w:val="20"/>
          <w:color w:val="auto"/>
        </w:rPr>
      </w:pPr>
      <w:r>
        <w:rPr>
          <w:rFonts w:ascii="Times New Roman" w:cs="Times New Roman" w:eastAsia="Times New Roman" w:hAnsi="Times New Roman"/>
          <w:sz w:val="18"/>
          <w:szCs w:val="18"/>
          <w:color w:val="auto"/>
        </w:rPr>
        <w:t>Goodwill, intangible and other long-lived assets comprise a significant portion of our total assets. As of February 28, 2023, our goodwill and intangible assets totaled $2.01 billion and $994.3 million, respectively. We assess or test goodwill for impairment in accordance with Generally Accepted Accounting Principles in the U.S. (“GAAP”), while our other long-lived assets, including our finite-lived intangible assets, are tested for impairment when circumstances indicate that the carrying amount may not be recoverable. A decrease in our market capitalization or profitability, or unfavorable changes in market, economic or industry conditions could increase the risk of additional impairment. Any resulting additional impairments could have a negative impact on our stock price.</w:t>
      </w:r>
    </w:p>
    <w:p>
      <w:pPr>
        <w:spacing w:after="0" w:line="187" w:lineRule="exact"/>
        <w:rPr>
          <w:sz w:val="20"/>
          <w:szCs w:val="20"/>
          <w:color w:val="auto"/>
        </w:rPr>
      </w:pPr>
    </w:p>
    <w:p>
      <w:pPr>
        <w:jc w:val="both"/>
        <w:ind w:firstLine="73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February 28, 2023, the Company recognized non-cash impairment charges of $603.5 million in cannabis goodwill and $15 million in wellness goodwill, $205 million in intangible assets and $104 million in capital assets. These non-cash impairment charges were a result of a decline in the Company's market value which was determined to be other than temporary, as well as increased borrowing rates which forced the Company to adjust the company specific risk premium.</w:t>
      </w:r>
    </w:p>
    <w:p>
      <w:pPr>
        <w:spacing w:after="0" w:line="180" w:lineRule="exact"/>
        <w:rPr>
          <w:sz w:val="20"/>
          <w:szCs w:val="20"/>
          <w:color w:val="auto"/>
        </w:rPr>
      </w:pPr>
    </w:p>
    <w:p>
      <w:pPr>
        <w:jc w:val="both"/>
        <w:ind w:firstLine="738"/>
        <w:spacing w:after="0" w:line="261" w:lineRule="auto"/>
        <w:rPr>
          <w:sz w:val="20"/>
          <w:szCs w:val="20"/>
          <w:color w:val="auto"/>
        </w:rPr>
      </w:pPr>
      <w:r>
        <w:rPr>
          <w:rFonts w:ascii="Times New Roman" w:cs="Times New Roman" w:eastAsia="Times New Roman" w:hAnsi="Times New Roman"/>
          <w:sz w:val="18"/>
          <w:szCs w:val="18"/>
          <w:color w:val="auto"/>
        </w:rPr>
        <w:t>We will continue to monitor key assumptions and other factors utilized in our goodwill, intangible and other long-lived assets impairment analysis, and if business or other market conditions develop that are materially different than we currently anticipate, we will conduct an additional impairment evaluation. Any reduction in or impairment of the value of goodwill, intangible assets and long-lived assets will result in a charge against earnings, which could have a material adverse impact on our reported financial results.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closing the Arrangement and integrating Tilray and HEXO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and realizing the expected benefits of the Arrangement.</w:t>
      </w:r>
    </w:p>
    <w:p>
      <w:pPr>
        <w:spacing w:after="0" w:line="159" w:lineRule="exact"/>
        <w:rPr>
          <w:sz w:val="20"/>
          <w:szCs w:val="20"/>
          <w:color w:val="auto"/>
        </w:rPr>
      </w:pPr>
    </w:p>
    <w:p>
      <w:pPr>
        <w:jc w:val="both"/>
        <w:ind w:firstLine="738"/>
        <w:spacing w:after="0" w:line="258" w:lineRule="auto"/>
        <w:rPr>
          <w:sz w:val="20"/>
          <w:szCs w:val="20"/>
          <w:color w:val="auto"/>
        </w:rPr>
      </w:pPr>
      <w:r>
        <w:rPr>
          <w:rFonts w:ascii="Times New Roman" w:cs="Times New Roman" w:eastAsia="Times New Roman" w:hAnsi="Times New Roman"/>
          <w:sz w:val="18"/>
          <w:szCs w:val="18"/>
          <w:color w:val="auto"/>
        </w:rPr>
        <w:t>The success of the Arrangement will depend in part on our ability to realize the expected operational efficiencies and associated cost synergies and anticipated business opportunities and growth prospects from combining Tilray and HEXO in an efficient and effective manner. We may not be able to fully realize the operational efficiencies and associated cost synergies or leverage the potential business opportunities and growth prospects to the extent anticipated or at all. Additionally, closing of the Arrangement transactions remains subject to the satisfaction of various closing conditions set forth in the Arrangement Agreement.</w:t>
      </w:r>
    </w:p>
    <w:p>
      <w:pPr>
        <w:spacing w:after="0" w:line="183" w:lineRule="exact"/>
        <w:rPr>
          <w:sz w:val="20"/>
          <w:szCs w:val="20"/>
          <w:color w:val="auto"/>
        </w:rPr>
      </w:pPr>
    </w:p>
    <w:p>
      <w:pPr>
        <w:jc w:val="both"/>
        <w:ind w:firstLine="738"/>
        <w:spacing w:after="0" w:line="256" w:lineRule="auto"/>
        <w:rPr>
          <w:sz w:val="20"/>
          <w:szCs w:val="20"/>
          <w:color w:val="auto"/>
        </w:rPr>
      </w:pPr>
      <w:r>
        <w:rPr>
          <w:rFonts w:ascii="Times New Roman" w:cs="Times New Roman" w:eastAsia="Times New Roman" w:hAnsi="Times New Roman"/>
          <w:sz w:val="18"/>
          <w:szCs w:val="18"/>
          <w:color w:val="auto"/>
        </w:rPr>
        <w:t>The Arrangement Agreement was entered into on April 10, 2023, and we are in the early stages of preparing for our anticipated integration efforts assuming the Arrangement is successfully completed. If so, the integration of operations and corporate and administrative infrastructures may require substantial resources and divert management attention. Challenges associated with the integration may include those related to retaining and motivating executives and other key employees, blending corporate cultures, eliminating duplicative operations, and making necessary modifications to internal control over financial reporting and other policies and procedures in accordance with applicable laws. Some of these factors are outside our control, and any of them could delay or increase the cost of our integration efforts.</w:t>
      </w:r>
    </w:p>
    <w:p>
      <w:pPr>
        <w:spacing w:after="0" w:line="187" w:lineRule="exact"/>
        <w:rPr>
          <w:sz w:val="20"/>
          <w:szCs w:val="20"/>
          <w:color w:val="auto"/>
        </w:rPr>
      </w:pPr>
    </w:p>
    <w:p>
      <w:pPr>
        <w:jc w:val="both"/>
        <w:ind w:firstLine="738"/>
        <w:spacing w:after="0" w:line="254" w:lineRule="auto"/>
        <w:rPr>
          <w:sz w:val="20"/>
          <w:szCs w:val="20"/>
          <w:color w:val="auto"/>
        </w:rPr>
      </w:pPr>
      <w:r>
        <w:rPr>
          <w:rFonts w:ascii="Times New Roman" w:cs="Times New Roman" w:eastAsia="Times New Roman" w:hAnsi="Times New Roman"/>
          <w:sz w:val="18"/>
          <w:szCs w:val="18"/>
          <w:color w:val="auto"/>
        </w:rPr>
        <w:t>The integration process could take longer than anticipated and could result in the loss of key employees, the disruption of each company’s ongoing businesses, increased tax costs, inefficiencies, and inconsistencies in standards, controls, information technology systems, policies and procedures, any of which could adversely affect our ability to maintain relationships with employees, customers or other third parties, or our ability to achieve the anticipated benefits of the transaction, and could harm our financial performance. If we are unable to successfully integrate certain aspects of the operations of Tilray and HEXO or experience delays, we may incur unanticipated liabilities and be unable to fully realize the potential benefit of the revenue growth, synergies and other anticipated benefits resulting from the arrangement, and our business, results of operations and financial condition could be adversely affected. Even if we are able to successfully close the Arrangement transactions, the foregoing risks for the Company would still exist.</w:t>
      </w:r>
    </w:p>
    <w:p>
      <w:pPr>
        <w:spacing w:after="0" w:line="19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7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December 5, 2022, the Company issued 1,979,541 shares of Tilray's Class 2 common stock to Double Diamond Holdings Ltd. ("Double Diamond") in connection with the assignment from Double Diamond to the Company of a promissory note payable by 1974568 Ontario Limited.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21, 2023, the Company issued (i) 2,208,739 shares of Tilray's Class 2 common stock and (ii) 120,000 shares of Tilray Series A preferred stock to Double Diamond in connection with the assignment from Double Diamond to the Company of a promissory note payable by 1974568 Ontario Limited.</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Each of the foregoing issuances of Tilray’s Class 2 common stock was made in reliance on the exemption provided by Section 4(a)(2) of the Securities Act of 1933, as amended, for the offer and sale of securities not involving a public offering. No underwriter participated in the offer and sale of the shares issued pursuant to the foregoing issuances, and no commission or other remuneration was paid or given directly or indirectly in connection therewith. Additionally, each of the foregoing issuance of Tilray's Class 2 common stock was reported on a Form 8-K filed by the Company with the U.S. Securities and Exchange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6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Third Amended and Restated Certificate of Incorporation, dated as of March 16, 2023.</w:t>
            </w:r>
          </w:p>
        </w:tc>
        <w:tc>
          <w:tcPr>
            <w:tcW w:w="4080" w:type="dxa"/>
            <w:vAlign w:val="bottom"/>
            <w:gridSpan w:val="5"/>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Certificate of Designation of Series A Preferred Stock, dated February 21, 2023 (incorporated by reference to Exhibit 3.1 to the Company’s</w:t>
              </w:r>
            </w:hyperlink>
          </w:p>
        </w:tc>
        <w:tc>
          <w:tcPr>
            <w:tcW w:w="28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Current Report on Form 8-K filed with the SEC on February 21, 2023).</w:t>
              </w:r>
            </w:hyperlink>
          </w:p>
        </w:tc>
        <w:tc>
          <w:tcPr>
            <w:tcW w:w="518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62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 xml:space="preserve">Promissory note in the amount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9,264,249.68 payable by 1974568 Ontario Limited.</w:t>
            </w:r>
          </w:p>
        </w:tc>
        <w:tc>
          <w:tcPr>
            <w:tcW w:w="4080" w:type="dxa"/>
            <w:vAlign w:val="bottom"/>
            <w:gridSpan w:val="5"/>
          </w:tcPr>
          <w:p>
            <w:pPr>
              <w:spacing w:after="0"/>
              <w:rPr>
                <w:sz w:val="24"/>
                <w:szCs w:val="24"/>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 xml:space="preserve">Promissory note in the amount of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6,648,304 payable by 1974568 Ontario Limited.</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Voting Agreement, dated as of February 21, 2023, by and between the Company and Double Diamond Holdings Ltd. (incorporated by</w:t>
              </w:r>
            </w:hyperlink>
          </w:p>
        </w:tc>
        <w:tc>
          <w:tcPr>
            <w:tcW w:w="66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reference to Exhibit 10.1 to the Company’s Current Report on Form 8-K filed with the SEC on February 21, 2023).</w:t>
              </w:r>
            </w:hyperlink>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60" w:type="dxa"/>
            <w:vAlign w:val="bottom"/>
            <w:gridSpan w:val="4"/>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6000" w:type="dxa"/>
            <w:vAlign w:val="bottom"/>
            <w:gridSpan w:val="8"/>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 Adopted</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60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Pr>
          <w:p>
            <w:pPr>
              <w:spacing w:after="0"/>
              <w:rPr>
                <w:sz w:val="17"/>
                <w:szCs w:val="17"/>
                <w:color w:val="auto"/>
              </w:rPr>
            </w:pPr>
          </w:p>
        </w:tc>
      </w:tr>
      <w:tr>
        <w:trPr>
          <w:trHeight w:val="453"/>
        </w:trPr>
        <w:tc>
          <w:tcPr>
            <w:tcW w:w="8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jc w:val="both"/>
        <w:ind w:left="920" w:right="2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 of 2002.</w:t>
      </w:r>
    </w:p>
    <w:p>
      <w:pPr>
        <w:spacing w:after="0" w:line="162" w:lineRule="exact"/>
        <w:rPr>
          <w:sz w:val="20"/>
          <w:szCs w:val="20"/>
          <w:color w:val="auto"/>
        </w:rPr>
      </w:pPr>
    </w:p>
    <w:p>
      <w:pPr>
        <w:jc w:val="both"/>
        <w:ind w:left="920" w:hanging="919"/>
        <w:spacing w:after="0" w:line="261" w:lineRule="auto"/>
        <w:tabs>
          <w:tab w:leader="none" w:pos="9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statements from the Company's Quarterly Report on Form 10-Q for the quarter ended February 28, 2023, formatted in Inline XBRL: (i) Consolidated Statements of Financial Position, (ii) Consolidated Statements of Loss and Comprehensive Loss , (iii) Consolidated Statements of Stockholders' Equity, (iv) Consolidated Statements of Cash Flows, and (v) Notes to Condensed Interim Consolidated Financial Statements, tagged as blocks of text and including detailed tags.</w:t>
      </w:r>
    </w:p>
    <w:p>
      <w:pPr>
        <w:spacing w:after="0" w:line="18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540" w:right="5280" w:hanging="5532"/>
        <w:spacing w:after="0" w:line="511" w:lineRule="auto"/>
        <w:tabs>
          <w:tab w:leader="none" w:pos="5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207" w:lineRule="exact"/>
        <w:rPr>
          <w:sz w:val="20"/>
          <w:szCs w:val="20"/>
          <w:color w:val="auto"/>
        </w:rPr>
      </w:pPr>
    </w:p>
    <w:p>
      <w:pPr>
        <w:spacing w:after="0"/>
        <w:tabs>
          <w:tab w:leader="none" w:pos="5700" w:val="left"/>
          <w:tab w:leader="none" w:pos="626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57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D. Simon, certify that:</w:t>
      </w:r>
    </w:p>
    <w:p>
      <w:pPr>
        <w:spacing w:after="0" w:line="225"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Merton, certify that:</w:t>
      </w:r>
    </w:p>
    <w:p>
      <w:pPr>
        <w:spacing w:after="0" w:line="225"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Tilray Brands, Inc.;</w:t>
      </w:r>
    </w:p>
    <w:p>
      <w:pPr>
        <w:spacing w:after="0" w:line="225"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hanging="256"/>
        <w:spacing w:after="0" w:line="266"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hanging="256"/>
        <w:spacing w:after="0" w:line="282"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20" w:hanging="256"/>
        <w:spacing w:after="0" w:line="282" w:lineRule="auto"/>
        <w:tabs>
          <w:tab w:leader="none" w:pos="5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Tilray Brands, Inc. (the “Company”) on Form 10-Q for the period ending February 28, 2023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520" w:hanging="25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20" w:hanging="256"/>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Times New Roman" w:cs="Times New Roman" w:eastAsia="Times New Roman" w:hAnsi="Times New Roman"/>
          <w:sz w:val="18"/>
          <w:szCs w:val="18"/>
          <w:color w:val="auto"/>
        </w:rPr>
        <w:t>Date: April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A.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Carl A. Merton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EAST\201610137.2</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March 20, 2023</w:t>
      </w:r>
    </w:p>
    <w:p>
      <w:pPr>
        <w:spacing w:after="0" w:line="203" w:lineRule="exact"/>
        <w:rPr>
          <w:sz w:val="20"/>
          <w:szCs w:val="20"/>
          <w:color w:val="auto"/>
        </w:rPr>
      </w:pPr>
    </w:p>
    <w:p>
      <w:pPr>
        <w:ind w:left="160" w:right="40" w:firstLine="360"/>
        <w:spacing w:after="0" w:line="286" w:lineRule="auto"/>
        <w:rPr>
          <w:sz w:val="20"/>
          <w:szCs w:val="20"/>
          <w:color w:val="auto"/>
        </w:rPr>
      </w:pPr>
      <w:r>
        <w:rPr>
          <w:rFonts w:ascii="Times New Roman" w:cs="Times New Roman" w:eastAsia="Times New Roman" w:hAnsi="Times New Roman"/>
          <w:sz w:val="18"/>
          <w:szCs w:val="18"/>
          <w:color w:val="auto"/>
        </w:rPr>
        <w:t>The undersigned, for the purposes of amending and restating the certificate of incorporation of Tilray Brands,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that:</w:t>
      </w:r>
    </w:p>
    <w:p>
      <w:pPr>
        <w:spacing w:after="0" w:line="155" w:lineRule="exact"/>
        <w:rPr>
          <w:sz w:val="20"/>
          <w:szCs w:val="20"/>
          <w:color w:val="auto"/>
        </w:rPr>
      </w:pPr>
    </w:p>
    <w:p>
      <w:pPr>
        <w:ind w:left="160" w:right="4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present name of the Corporation is Tilray Brands, Inc. The Corporation was originally incorporated under the name “Tilray, Inc.,”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filing of 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with the Secretary of State of the State of Delaware on January 24, 2018, thereby causing the Corporation to become organized and existing under and by virtue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0" w:right="1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First Amended and Restated Certificate</w:t>
      </w:r>
      <w:r>
        <w:rPr>
          <w:rFonts w:ascii="Times New Roman" w:cs="Times New Roman" w:eastAsia="Times New Roman" w:hAnsi="Times New Roman"/>
          <w:sz w:val="18"/>
          <w:szCs w:val="18"/>
          <w:color w:val="auto"/>
        </w:rPr>
        <w:t>”), which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in its entirety the Original Certificate, was filed with the Secretary of State of the State of Delaware on July 23, 2018.</w:t>
      </w:r>
    </w:p>
    <w:p>
      <w:pPr>
        <w:spacing w:after="0" w:line="155" w:lineRule="exact"/>
        <w:rPr>
          <w:sz w:val="20"/>
          <w:szCs w:val="20"/>
          <w:color w:val="auto"/>
        </w:rPr>
      </w:pPr>
    </w:p>
    <w:p>
      <w:pPr>
        <w:ind w:left="160" w:right="50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amended and restated certificate of incorporation of the Corporation (the “</w:t>
      </w:r>
      <w:r>
        <w:rPr>
          <w:rFonts w:ascii="Times New Roman" w:cs="Times New Roman" w:eastAsia="Times New Roman" w:hAnsi="Times New Roman"/>
          <w:sz w:val="18"/>
          <w:szCs w:val="18"/>
          <w:b w:val="1"/>
          <w:bCs w:val="1"/>
          <w:i w:val="1"/>
          <w:iCs w:val="1"/>
          <w:color w:val="auto"/>
        </w:rPr>
        <w:t>Second Amended and Restated Certificate</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in its entirety the First Amended and Restated Certificate, was filed with the Secretary of State of the State of Delaware on December 12, 2019.</w:t>
      </w:r>
    </w:p>
    <w:p>
      <w:pPr>
        <w:spacing w:after="0" w:line="171" w:lineRule="exact"/>
        <w:rPr>
          <w:sz w:val="20"/>
          <w:szCs w:val="20"/>
          <w:color w:val="auto"/>
        </w:rPr>
      </w:pPr>
    </w:p>
    <w:p>
      <w:pPr>
        <w:ind w:left="160" w:right="620"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FOUR: </w:t>
      </w:r>
      <w:r>
        <w:rPr>
          <w:rFonts w:ascii="Times New Roman" w:cs="Times New Roman" w:eastAsia="Times New Roman" w:hAnsi="Times New Roman"/>
          <w:sz w:val="17"/>
          <w:szCs w:val="17"/>
          <w:color w:val="auto"/>
        </w:rPr>
        <w:t>The certificate of retirement of Class 1 common stock of the Corporation (the “</w:t>
      </w:r>
      <w:r>
        <w:rPr>
          <w:rFonts w:ascii="Times New Roman" w:cs="Times New Roman" w:eastAsia="Times New Roman" w:hAnsi="Times New Roman"/>
          <w:sz w:val="17"/>
          <w:szCs w:val="17"/>
          <w:b w:val="1"/>
          <w:bCs w:val="1"/>
          <w:i w:val="1"/>
          <w:iCs w:val="1"/>
          <w:color w:val="auto"/>
        </w:rPr>
        <w:t>Certificate of Retirement</w:t>
      </w:r>
      <w:r>
        <w:rPr>
          <w:rFonts w:ascii="Times New Roman" w:cs="Times New Roman" w:eastAsia="Times New Roman" w:hAnsi="Times New Roman"/>
          <w:sz w:val="17"/>
          <w:szCs w:val="17"/>
          <w:color w:val="auto"/>
        </w:rPr>
        <w:t>”), which amended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Second Amended and Restated Certificate, was filed with the Secretary of State of the State of Delaware on October 1, 2020.</w:t>
      </w:r>
    </w:p>
    <w:p>
      <w:pPr>
        <w:spacing w:after="0" w:line="132" w:lineRule="exact"/>
        <w:rPr>
          <w:sz w:val="20"/>
          <w:szCs w:val="20"/>
          <w:color w:val="auto"/>
        </w:rPr>
      </w:pPr>
    </w:p>
    <w:p>
      <w:pPr>
        <w:ind w:left="160" w:right="48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The certificate of amendment (the “</w:t>
      </w:r>
      <w:r>
        <w:rPr>
          <w:rFonts w:ascii="Times New Roman" w:cs="Times New Roman" w:eastAsia="Times New Roman" w:hAnsi="Times New Roman"/>
          <w:sz w:val="18"/>
          <w:szCs w:val="18"/>
          <w:b w:val="1"/>
          <w:bCs w:val="1"/>
          <w:i w:val="1"/>
          <w:iCs w:val="1"/>
          <w:color w:val="auto"/>
        </w:rPr>
        <w:t>First Certificate of Amendment</w:t>
      </w:r>
      <w:r>
        <w:rPr>
          <w:rFonts w:ascii="Times New Roman" w:cs="Times New Roman" w:eastAsia="Times New Roman" w:hAnsi="Times New Roman"/>
          <w:sz w:val="18"/>
          <w:szCs w:val="18"/>
          <w:color w:val="auto"/>
        </w:rPr>
        <w:t>”), which amended certain provisions of the 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Certificate, was filed with the Secretary of State of the State of Delaware on September 10, 2021.</w:t>
      </w:r>
    </w:p>
    <w:p>
      <w:pPr>
        <w:spacing w:after="0" w:line="155" w:lineRule="exact"/>
        <w:rPr>
          <w:sz w:val="20"/>
          <w:szCs w:val="20"/>
          <w:color w:val="auto"/>
        </w:rPr>
      </w:pPr>
    </w:p>
    <w:p>
      <w:pPr>
        <w:ind w:left="160"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SIX: </w:t>
      </w:r>
      <w:r>
        <w:rPr>
          <w:rFonts w:ascii="Times New Roman" w:cs="Times New Roman" w:eastAsia="Times New Roman" w:hAnsi="Times New Roman"/>
          <w:sz w:val="18"/>
          <w:szCs w:val="18"/>
          <w:color w:val="auto"/>
        </w:rPr>
        <w:t>The second certificate of amendment (the “</w:t>
      </w:r>
      <w:r>
        <w:rPr>
          <w:rFonts w:ascii="Times New Roman" w:cs="Times New Roman" w:eastAsia="Times New Roman" w:hAnsi="Times New Roman"/>
          <w:sz w:val="18"/>
          <w:szCs w:val="18"/>
          <w:b w:val="1"/>
          <w:bCs w:val="1"/>
          <w:i w:val="1"/>
          <w:iCs w:val="1"/>
          <w:color w:val="auto"/>
        </w:rPr>
        <w:t>Second Certificate of Amendment</w:t>
      </w:r>
      <w:r>
        <w:rPr>
          <w:rFonts w:ascii="Times New Roman" w:cs="Times New Roman" w:eastAsia="Times New Roman" w:hAnsi="Times New Roman"/>
          <w:sz w:val="18"/>
          <w:szCs w:val="18"/>
          <w:color w:val="auto"/>
        </w:rPr>
        <w:t>”), which amended certain provisions of the Second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Restated Certificate, was filed with the Secretary of State of the State of Delaware on January 10, 2022, and a Certificate of Designation of Series A Preferred Stock (the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 and together with the Second Amended and Restated Certificate, as amended by the Certificate of Retirement, the First Certificate of Amendment and the Second Certificate of Amendment, the “</w:t>
      </w:r>
      <w:r>
        <w:rPr>
          <w:rFonts w:ascii="Times New Roman" w:cs="Times New Roman" w:eastAsia="Times New Roman" w:hAnsi="Times New Roman"/>
          <w:sz w:val="18"/>
          <w:szCs w:val="18"/>
          <w:b w:val="1"/>
          <w:bCs w:val="1"/>
          <w:i w:val="1"/>
          <w:iCs w:val="1"/>
          <w:color w:val="auto"/>
        </w:rPr>
        <w:t>Existing Certificate</w:t>
      </w:r>
      <w:r>
        <w:rPr>
          <w:rFonts w:ascii="Times New Roman" w:cs="Times New Roman" w:eastAsia="Times New Roman" w:hAnsi="Times New Roman"/>
          <w:sz w:val="18"/>
          <w:szCs w:val="18"/>
          <w:color w:val="auto"/>
        </w:rPr>
        <w:t>”),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12, 2023.</w:t>
      </w:r>
    </w:p>
    <w:p>
      <w:pPr>
        <w:spacing w:after="0" w:line="182" w:lineRule="exact"/>
        <w:rPr>
          <w:sz w:val="20"/>
          <w:szCs w:val="20"/>
          <w:color w:val="auto"/>
        </w:rPr>
      </w:pPr>
    </w:p>
    <w:p>
      <w:pPr>
        <w:ind w:left="160" w:right="4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SEVEN</w:t>
      </w:r>
      <w:r>
        <w:rPr>
          <w:rFonts w:ascii="Times New Roman" w:cs="Times New Roman" w:eastAsia="Times New Roman" w:hAnsi="Times New Roman"/>
          <w:sz w:val="18"/>
          <w:szCs w:val="18"/>
          <w:color w:val="auto"/>
        </w:rPr>
        <w:t>: This third amended and restated certificate of incorporation (this “</w:t>
      </w:r>
      <w:r>
        <w:rPr>
          <w:rFonts w:ascii="Times New Roman" w:cs="Times New Roman" w:eastAsia="Times New Roman" w:hAnsi="Times New Roman"/>
          <w:sz w:val="18"/>
          <w:szCs w:val="18"/>
          <w:b w:val="1"/>
          <w:bCs w:val="1"/>
          <w:i w:val="1"/>
          <w:iCs w:val="1"/>
          <w:color w:val="auto"/>
        </w:rPr>
        <w:t>Amended and Restated 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Existing Certificate in its entirety, was duly adopted in accordance with Sections 242 and 245 of the DGCL,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by the Corporation’s stockholders in accordance with Section 212 of the DGCL.</w:t>
      </w:r>
    </w:p>
    <w:p>
      <w:pPr>
        <w:spacing w:after="0" w:line="171" w:lineRule="exact"/>
        <w:rPr>
          <w:sz w:val="20"/>
          <w:szCs w:val="20"/>
          <w:color w:val="auto"/>
        </w:rPr>
      </w:pPr>
    </w:p>
    <w:p>
      <w:pPr>
        <w:ind w:left="160" w:right="44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EIGHT: </w:t>
      </w:r>
      <w:r>
        <w:rPr>
          <w:rFonts w:ascii="Times New Roman" w:cs="Times New Roman" w:eastAsia="Times New Roman" w:hAnsi="Times New Roman"/>
          <w:sz w:val="18"/>
          <w:szCs w:val="18"/>
          <w:color w:val="auto"/>
        </w:rPr>
        <w:t>This Amended and Restated Certificate of Incorporation shall become effective upon filing with the Secretary of State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 xml:space="preserve">NINE: </w:t>
      </w:r>
      <w:r>
        <w:rPr>
          <w:rFonts w:ascii="Times New Roman" w:cs="Times New Roman" w:eastAsia="Times New Roman" w:hAnsi="Times New Roman"/>
          <w:sz w:val="18"/>
          <w:szCs w:val="18"/>
          <w:color w:val="auto"/>
        </w:rPr>
        <w:t>The Existing Certificate is hereby amended and restated to read as follows: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name of this corporation shall be </w:t>
      </w:r>
      <w:r>
        <w:rPr>
          <w:rFonts w:ascii="Times New Roman" w:cs="Times New Roman" w:eastAsia="Times New Roman" w:hAnsi="Times New Roman"/>
          <w:sz w:val="18"/>
          <w:szCs w:val="18"/>
          <w:b w:val="1"/>
          <w:bCs w:val="1"/>
          <w:color w:val="auto"/>
        </w:rPr>
        <w:t>Tilray Brands, Inc.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left="160" w:right="20" w:firstLine="360"/>
        <w:spacing w:after="0" w:line="282"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4" w:name="page75"/>
    <w:bookmarkEnd w:id="74"/>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DGCL.</w:t>
      </w:r>
    </w:p>
    <w:p>
      <w:pPr>
        <w:spacing w:after="0" w:line="221"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ind w:left="492" w:right="160" w:hanging="492"/>
        <w:spacing w:after="0" w:line="258" w:lineRule="auto"/>
        <w:tabs>
          <w:tab w:leader="none" w:pos="49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two classes of stock to be designated, respectively, “Common Stock” and “Preferred Stock.” The total number of shares that the Company is authorized to issue is Nine Hundred Ninety Million (990,000,000) shares of which Nine Hundred Eighty Million (980,000,000) shares shall be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Ten Million (10,000,000)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pacing w:after="0" w:line="183" w:lineRule="exact"/>
        <w:rPr>
          <w:sz w:val="20"/>
          <w:szCs w:val="20"/>
          <w:color w:val="auto"/>
        </w:rPr>
      </w:pPr>
    </w:p>
    <w:p>
      <w:pPr>
        <w:ind w:left="152" w:right="280"/>
        <w:spacing w:after="0" w:line="266" w:lineRule="auto"/>
        <w:rPr>
          <w:sz w:val="20"/>
          <w:szCs w:val="20"/>
          <w:color w:val="auto"/>
        </w:rPr>
      </w:pPr>
      <w:r>
        <w:rPr>
          <w:rFonts w:ascii="Times New Roman" w:cs="Times New Roman" w:eastAsia="Times New Roman" w:hAnsi="Times New Roman"/>
          <w:sz w:val="18"/>
          <w:szCs w:val="18"/>
          <w:color w:val="auto"/>
        </w:rPr>
        <w:t>Immediately upon the Effective Time, and without any further action on the part of the Company or its stockholders, each share of Class 2 common stock, par value $0.0001 per share, of the Company issued and outstanding prior to the Effective Time, shall automatically be reclassified as one fully paid and nonassessable share of Common Stock.</w:t>
      </w:r>
    </w:p>
    <w:p>
      <w:pPr>
        <w:spacing w:after="0" w:line="176" w:lineRule="exact"/>
        <w:rPr>
          <w:sz w:val="20"/>
          <w:szCs w:val="20"/>
          <w:color w:val="auto"/>
        </w:rPr>
      </w:pPr>
    </w:p>
    <w:p>
      <w:pPr>
        <w:ind w:left="492" w:right="40" w:hanging="492"/>
        <w:spacing w:after="0" w:line="258" w:lineRule="auto"/>
        <w:tabs>
          <w:tab w:leader="none" w:pos="4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cs="Times New Roman" w:eastAsia="Times New Roman" w:hAnsi="Times New Roman"/>
          <w:sz w:val="18"/>
          <w:szCs w:val="18"/>
          <w:b w:val="1"/>
          <w:bCs w:val="1"/>
          <w:i w:val="1"/>
          <w:iCs w:val="1"/>
          <w:color w:val="auto"/>
        </w:rPr>
        <w:t>Certificate of Designation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b w:val="1"/>
          <w:bCs w:val="1"/>
          <w:color w:val="auto"/>
        </w:rPr>
      </w:pPr>
    </w:p>
    <w:p>
      <w:pPr>
        <w:ind w:left="492" w:hanging="492"/>
        <w:spacing w:after="0" w:line="254" w:lineRule="auto"/>
        <w:tabs>
          <w:tab w:leader="none" w:pos="49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Stock authorized by this Amended and Restated Certificate of Incorporation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76" w:right="359" w:bottom="1440" w:gutter="0" w:footer="0" w:header="0"/>
        </w:sectPr>
      </w:pPr>
    </w:p>
    <w:bookmarkStart w:id="75" w:name="page76"/>
    <w:bookmarkEnd w:id="75"/>
    <w:p>
      <w:pPr>
        <w:ind w:left="492" w:hanging="492"/>
        <w:spacing w:after="0"/>
        <w:tabs>
          <w:tab w:leader="none" w:pos="49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above, the rights, preferences, privileges, restrictions and other matters relating to the Common Stock are as follows:</w:t>
      </w:r>
    </w:p>
    <w:p>
      <w:pPr>
        <w:spacing w:after="0" w:line="221" w:lineRule="exact"/>
        <w:rPr>
          <w:sz w:val="20"/>
          <w:szCs w:val="20"/>
          <w:color w:val="auto"/>
        </w:rPr>
      </w:pPr>
    </w:p>
    <w:p>
      <w:pPr>
        <w:ind w:left="612" w:hanging="612"/>
        <w:spacing w:after="0"/>
        <w:tabs>
          <w:tab w:leader="none" w:pos="61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Article IV(D), the following definitions shall apply:</w:t>
      </w:r>
    </w:p>
    <w:p>
      <w:pPr>
        <w:spacing w:after="0" w:line="225" w:lineRule="exact"/>
        <w:rPr>
          <w:sz w:val="20"/>
          <w:szCs w:val="20"/>
          <w:color w:val="auto"/>
        </w:rPr>
      </w:pPr>
    </w:p>
    <w:p>
      <w:pPr>
        <w:ind w:left="492" w:right="80" w:hanging="499"/>
        <w:spacing w:after="0" w:line="254" w:lineRule="auto"/>
        <w:tabs>
          <w:tab w:leader="none" w:pos="472"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color w:val="auto"/>
        </w:rPr>
        <w:t>” means (i) the sale, lease, exchange, or other disposition (other than liens and encumbrances created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w:t>
      </w:r>
    </w:p>
    <w:p>
      <w:pPr>
        <w:spacing w:after="0" w:line="189" w:lineRule="exact"/>
        <w:rPr>
          <w:sz w:val="20"/>
          <w:szCs w:val="20"/>
          <w:color w:val="auto"/>
        </w:rPr>
      </w:pPr>
    </w:p>
    <w:p>
      <w:pPr>
        <w:ind w:left="152" w:right="220"/>
        <w:spacing w:after="0" w:line="254" w:lineRule="auto"/>
        <w:rPr>
          <w:sz w:val="20"/>
          <w:szCs w:val="20"/>
          <w:color w:val="auto"/>
        </w:rPr>
      </w:pPr>
      <w:r>
        <w:rPr>
          <w:rFonts w:ascii="Times New Roman" w:cs="Times New Roman" w:eastAsia="Times New Roman" w:hAnsi="Times New Roman"/>
          <w:sz w:val="18"/>
          <w:szCs w:val="18"/>
          <w:color w:val="auto"/>
        </w:rPr>
        <w:t>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w:t>
      </w:r>
    </w:p>
    <w:p>
      <w:pPr>
        <w:spacing w:after="0" w:line="3" w:lineRule="exact"/>
        <w:rPr>
          <w:sz w:val="20"/>
          <w:szCs w:val="20"/>
          <w:color w:val="auto"/>
        </w:rPr>
      </w:pPr>
    </w:p>
    <w:p>
      <w:pPr>
        <w:ind w:left="152" w:hanging="8"/>
        <w:spacing w:after="0" w:line="268" w:lineRule="auto"/>
        <w:tabs>
          <w:tab w:leader="none" w:pos="46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175" w:lineRule="exact"/>
        <w:rPr>
          <w:rFonts w:ascii="Times New Roman" w:cs="Times New Roman" w:eastAsia="Times New Roman" w:hAnsi="Times New Roman"/>
          <w:sz w:val="17"/>
          <w:szCs w:val="17"/>
          <w:color w:val="auto"/>
        </w:rPr>
      </w:pPr>
    </w:p>
    <w:p>
      <w:pPr>
        <w:ind w:left="492" w:right="120" w:hanging="492"/>
        <w:spacing w:after="0" w:line="286" w:lineRule="auto"/>
        <w:tabs>
          <w:tab w:leader="none" w:pos="49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means (i) any dividend or distribution of cash, property or shares of the Company’s capital stock; and (ii) any distribution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in connection with any liquidation, dissolution, or winding up of the Company, whether voluntary or involuntary.</w:t>
      </w:r>
    </w:p>
    <w:p>
      <w:pPr>
        <w:spacing w:after="0" w:line="154" w:lineRule="exact"/>
        <w:rPr>
          <w:rFonts w:ascii="Times New Roman" w:cs="Times New Roman" w:eastAsia="Times New Roman" w:hAnsi="Times New Roman"/>
          <w:sz w:val="18"/>
          <w:szCs w:val="18"/>
          <w:b w:val="1"/>
          <w:bCs w:val="1"/>
          <w:color w:val="auto"/>
        </w:rPr>
      </w:pPr>
    </w:p>
    <w:p>
      <w:pPr>
        <w:ind w:left="492" w:right="400" w:hanging="492"/>
        <w:spacing w:after="0" w:line="286" w:lineRule="auto"/>
        <w:tabs>
          <w:tab w:leader="none" w:pos="49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means the Company’s first firmly underwritten public offering pursuant to an effective registration statement under the Securities Act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1933, as amended, covering the offer and sale of Common Stock for the account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76" w:name="page77"/>
    <w:bookmarkEnd w:id="76"/>
    <w:p>
      <w:pPr>
        <w:ind w:left="580" w:hanging="572"/>
        <w:spacing w:after="0"/>
        <w:tabs>
          <w:tab w:leader="none" w:pos="5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Distributions, Subdivisions, Combinations and Change of Control.</w:t>
      </w:r>
    </w:p>
    <w:p>
      <w:pPr>
        <w:spacing w:after="0" w:line="229" w:lineRule="exact"/>
        <w:rPr>
          <w:sz w:val="20"/>
          <w:szCs w:val="20"/>
          <w:color w:val="auto"/>
        </w:rPr>
      </w:pPr>
    </w:p>
    <w:p>
      <w:pPr>
        <w:ind w:left="500" w:right="20" w:hanging="492"/>
        <w:spacing w:after="0" w:line="258" w:lineRule="auto"/>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 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w:t>
      </w:r>
    </w:p>
    <w:p>
      <w:pPr>
        <w:spacing w:after="0" w:line="183" w:lineRule="exact"/>
        <w:rPr>
          <w:rFonts w:ascii="Times New Roman" w:cs="Times New Roman" w:eastAsia="Times New Roman" w:hAnsi="Times New Roman"/>
          <w:sz w:val="18"/>
          <w:szCs w:val="18"/>
          <w:b w:val="1"/>
          <w:bCs w:val="1"/>
          <w:color w:val="auto"/>
        </w:rPr>
      </w:pPr>
    </w:p>
    <w:p>
      <w:pPr>
        <w:ind w:left="500" w:right="260" w:hanging="492"/>
        <w:spacing w:after="0" w:line="266" w:lineRule="auto"/>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w:t>
      </w:r>
    </w:p>
    <w:p>
      <w:pPr>
        <w:spacing w:after="0" w:line="172" w:lineRule="exact"/>
        <w:rPr>
          <w:sz w:val="20"/>
          <w:szCs w:val="20"/>
          <w:color w:val="auto"/>
        </w:rPr>
      </w:pPr>
    </w:p>
    <w:p>
      <w:pPr>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Voting Rights.</w:t>
      </w:r>
    </w:p>
    <w:p>
      <w:pPr>
        <w:spacing w:after="0" w:line="225"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holder of shares of Common Stock shall be entitled to one (1) vote for each share thereof held.</w:t>
      </w:r>
    </w:p>
    <w:p>
      <w:pPr>
        <w:spacing w:after="0" w:line="225" w:lineRule="exact"/>
        <w:rPr>
          <w:rFonts w:ascii="Times New Roman" w:cs="Times New Roman" w:eastAsia="Times New Roman" w:hAnsi="Times New Roman"/>
          <w:sz w:val="18"/>
          <w:szCs w:val="18"/>
          <w:b w:val="1"/>
          <w:bCs w:val="1"/>
          <w:color w:val="auto"/>
        </w:rPr>
      </w:pPr>
    </w:p>
    <w:p>
      <w:pPr>
        <w:ind w:left="500" w:right="40" w:hanging="492"/>
        <w:spacing w:after="0" w:line="263" w:lineRule="auto"/>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Except as otherwise expressly provided herein or as required by law, the holders of Preferred Stock and Common Stock shall vote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 as separate series or classes.</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9"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w:t>
      </w:r>
    </w:p>
    <w:p>
      <w:pPr>
        <w:spacing w:after="0" w:line="206" w:lineRule="exact"/>
        <w:rPr>
          <w:rFonts w:ascii="Times New Roman" w:cs="Times New Roman" w:eastAsia="Times New Roman" w:hAnsi="Times New Roman"/>
          <w:sz w:val="18"/>
          <w:szCs w:val="18"/>
          <w:b w:val="1"/>
          <w:bCs w:val="1"/>
          <w:color w:val="auto"/>
        </w:rPr>
      </w:pPr>
    </w:p>
    <w:p>
      <w:pPr>
        <w:ind w:left="500" w:right="40" w:hanging="492"/>
        <w:spacing w:after="0" w:line="255" w:lineRule="auto"/>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188" w:lineRule="exact"/>
        <w:rPr>
          <w:rFonts w:ascii="Times New Roman" w:cs="Times New Roman" w:eastAsia="Times New Roman" w:hAnsi="Times New Roman"/>
          <w:sz w:val="18"/>
          <w:szCs w:val="18"/>
          <w:b w:val="1"/>
          <w:bCs w:val="1"/>
          <w:color w:val="auto"/>
        </w:rPr>
      </w:pPr>
    </w:p>
    <w:p>
      <w:pPr>
        <w:ind w:left="500" w:right="80" w:hanging="492"/>
        <w:spacing w:after="0" w:line="312" w:lineRule="auto"/>
        <w:tabs>
          <w:tab w:leader="none" w:pos="5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139" w:lineRule="exact"/>
        <w:rPr>
          <w:rFonts w:ascii="Times New Roman" w:cs="Times New Roman" w:eastAsia="Times New Roman" w:hAnsi="Times New Roman"/>
          <w:sz w:val="17"/>
          <w:szCs w:val="17"/>
          <w:b w:val="1"/>
          <w:bCs w:val="1"/>
          <w:color w:val="auto"/>
        </w:rPr>
      </w:pPr>
    </w:p>
    <w:p>
      <w:pPr>
        <w:ind w:left="500" w:hanging="492"/>
        <w:spacing w:after="0" w:line="254" w:lineRule="auto"/>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7" w:name="page78"/>
    <w:bookmarkEnd w:id="7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ind w:left="160" w:right="400"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Board of Directors.</w:t>
      </w:r>
    </w:p>
    <w:p>
      <w:pPr>
        <w:spacing w:after="0" w:line="225" w:lineRule="exact"/>
        <w:rPr>
          <w:sz w:val="20"/>
          <w:szCs w:val="20"/>
          <w:color w:val="auto"/>
        </w:rPr>
      </w:pPr>
    </w:p>
    <w:p>
      <w:pPr>
        <w:ind w:left="500" w:right="140" w:hanging="492"/>
        <w:spacing w:after="0" w:line="268" w:lineRule="auto"/>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Generally. </w:t>
      </w:r>
      <w:r>
        <w:rPr>
          <w:rFonts w:ascii="Times New Roman" w:cs="Times New Roman" w:eastAsia="Times New Roman" w:hAnsi="Times New Roman"/>
          <w:sz w:val="18"/>
          <w:szCs w:val="18"/>
          <w:color w:val="auto"/>
        </w:rPr>
        <w:t>The management of the business and the conduct of the affairs of the Company shall be vested in its Board of Directors.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that shall constitute the Board of Directors shall be fixed exclusively by resolutions adopted by a majority of the authorized number of directors constituting the Board of Directors.</w:t>
      </w:r>
    </w:p>
    <w:p>
      <w:pPr>
        <w:spacing w:after="0" w:line="171"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Election.</w:t>
      </w:r>
    </w:p>
    <w:p>
      <w:pPr>
        <w:spacing w:after="0" w:line="229" w:lineRule="exact"/>
        <w:rPr>
          <w:sz w:val="20"/>
          <w:szCs w:val="20"/>
          <w:color w:val="auto"/>
        </w:rPr>
      </w:pPr>
    </w:p>
    <w:p>
      <w:pPr>
        <w:ind w:left="500" w:right="80" w:hanging="492"/>
        <w:spacing w:after="0" w:line="254" w:lineRule="auto"/>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8" w:lineRule="exact"/>
        <w:rPr>
          <w:rFonts w:ascii="Times New Roman" w:cs="Times New Roman" w:eastAsia="Times New Roman" w:hAnsi="Times New Roman"/>
          <w:sz w:val="18"/>
          <w:szCs w:val="18"/>
          <w:b w:val="1"/>
          <w:bCs w:val="1"/>
          <w:color w:val="auto"/>
        </w:rPr>
      </w:pPr>
    </w:p>
    <w:p>
      <w:pPr>
        <w:ind w:left="500" w:right="100" w:hanging="492"/>
        <w:spacing w:after="0" w:line="266" w:lineRule="auto"/>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175" w:lineRule="exact"/>
        <w:rPr>
          <w:rFonts w:ascii="Times New Roman" w:cs="Times New Roman" w:eastAsia="Times New Roman" w:hAnsi="Times New Roman"/>
          <w:sz w:val="18"/>
          <w:szCs w:val="18"/>
          <w:b w:val="1"/>
          <w:bCs w:val="1"/>
          <w:color w:val="auto"/>
        </w:rPr>
      </w:pPr>
    </w:p>
    <w:p>
      <w:pPr>
        <w:ind w:left="500" w:right="40" w:hanging="492"/>
        <w:spacing w:after="0" w:line="254" w:lineRule="auto"/>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8" w:lineRule="exact"/>
        <w:rPr>
          <w:rFonts w:ascii="Times New Roman" w:cs="Times New Roman" w:eastAsia="Times New Roman" w:hAnsi="Times New Roman"/>
          <w:sz w:val="18"/>
          <w:szCs w:val="18"/>
          <w:b w:val="1"/>
          <w:bCs w:val="1"/>
          <w:color w:val="auto"/>
        </w:rPr>
      </w:pPr>
    </w:p>
    <w:p>
      <w:pPr>
        <w:ind w:left="500" w:right="80" w:hanging="492"/>
        <w:spacing w:after="0" w:line="266" w:lineRule="auto"/>
        <w:tabs>
          <w:tab w:leader="none" w:pos="5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2" w:lineRule="exact"/>
        <w:rPr>
          <w:sz w:val="20"/>
          <w:szCs w:val="20"/>
          <w:color w:val="auto"/>
        </w:rPr>
      </w:pPr>
    </w:p>
    <w:p>
      <w:pPr>
        <w:ind w:left="500" w:hanging="492"/>
        <w:spacing w:after="0" w:line="262" w:lineRule="auto"/>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Removal of Directors. </w:t>
      </w:r>
      <w:r>
        <w:rPr>
          <w:rFonts w:ascii="Times New Roman" w:cs="Times New Roman" w:eastAsia="Times New Roman" w:hAnsi="Times New Roman"/>
          <w:sz w:val="18"/>
          <w:szCs w:val="18"/>
          <w:color w:val="auto"/>
        </w:rPr>
        <w:t>Subject to any limitations imposed by applicable law, any individual director or directors may be removed (a) with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by the affirmative vote of the holders of a majority of the voting power of all then-outstanding shares of capital stock of the Company entitled to vote generally at an election of directors, or (b) with cause by the affirmative vote of the holders of at least 66 2/3% of the voting power of all then-outstanding shares of capital stock of the Company entitled to vote generally at an election of directors.</w:t>
      </w:r>
    </w:p>
    <w:p>
      <w:pPr>
        <w:spacing w:after="0" w:line="176" w:lineRule="exact"/>
        <w:rPr>
          <w:rFonts w:ascii="Times New Roman" w:cs="Times New Roman" w:eastAsia="Times New Roman" w:hAnsi="Times New Roman"/>
          <w:sz w:val="18"/>
          <w:szCs w:val="18"/>
          <w:b w:val="1"/>
          <w:bCs w:val="1"/>
          <w:color w:val="auto"/>
        </w:rPr>
      </w:pPr>
    </w:p>
    <w:p>
      <w:pPr>
        <w:ind w:left="500" w:right="20" w:hanging="492"/>
        <w:spacing w:after="0" w:line="256" w:lineRule="auto"/>
        <w:tabs>
          <w:tab w:leader="none" w:pos="5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Vacancies.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8" w:name="page79"/>
    <w:bookmarkEnd w:id="78"/>
    <w:p>
      <w:pPr>
        <w:ind w:left="492" w:right="120" w:hanging="492"/>
        <w:spacing w:after="0" w:line="262" w:lineRule="auto"/>
        <w:tabs>
          <w:tab w:leader="none" w:pos="49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Actions. </w:t>
      </w:r>
      <w:r>
        <w:rPr>
          <w:rFonts w:ascii="Times New Roman" w:cs="Times New Roman" w:eastAsia="Times New Roman" w:hAnsi="Times New Roman"/>
          <w:sz w:val="18"/>
          <w:szCs w:val="18"/>
          <w:color w:val="auto"/>
        </w:rPr>
        <w:t>No action shall be taken by the stockholders of the Company except at an annual or special meeting of stockholders called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76" w:lineRule="exact"/>
        <w:rPr>
          <w:rFonts w:ascii="Times New Roman" w:cs="Times New Roman" w:eastAsia="Times New Roman" w:hAnsi="Times New Roman"/>
          <w:sz w:val="18"/>
          <w:szCs w:val="18"/>
          <w:b w:val="1"/>
          <w:bCs w:val="1"/>
          <w:color w:val="auto"/>
        </w:rPr>
      </w:pPr>
    </w:p>
    <w:p>
      <w:pPr>
        <w:ind w:left="492" w:right="60" w:hanging="492"/>
        <w:spacing w:after="0" w:line="257" w:lineRule="auto"/>
        <w:tabs>
          <w:tab w:leader="none" w:pos="49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Bylaws. </w:t>
      </w:r>
      <w:r>
        <w:rPr>
          <w:rFonts w:ascii="Times New Roman" w:cs="Times New Roman" w:eastAsia="Times New Roman" w:hAnsi="Times New Roman"/>
          <w:sz w:val="18"/>
          <w:szCs w:val="18"/>
          <w:color w:val="auto"/>
        </w:rPr>
        <w:t>The Board of Directors is expressly empowered to adopt, amend or repeal the Bylaws of the Company. Any adoption, amendment or repeal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Bylaws of the Company by the Board of Directors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86" w:lineRule="exact"/>
        <w:rPr>
          <w:sz w:val="20"/>
          <w:szCs w:val="20"/>
          <w:color w:val="auto"/>
        </w:rPr>
      </w:pPr>
    </w:p>
    <w:p>
      <w:pPr>
        <w:ind w:left="492" w:hanging="492"/>
        <w:spacing w:after="0" w:line="269" w:lineRule="auto"/>
        <w:tabs>
          <w:tab w:leader="none" w:pos="492"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w:t>
      </w:r>
    </w:p>
    <w:p>
      <w:pPr>
        <w:spacing w:after="0" w:line="2" w:lineRule="exact"/>
        <w:rPr>
          <w:rFonts w:ascii="Times New Roman" w:cs="Times New Roman" w:eastAsia="Times New Roman" w:hAnsi="Times New Roman"/>
          <w:sz w:val="17"/>
          <w:szCs w:val="17"/>
          <w:b w:val="1"/>
          <w:bCs w:val="1"/>
          <w:color w:val="auto"/>
        </w:rPr>
      </w:pPr>
    </w:p>
    <w:p>
      <w:pPr>
        <w:jc w:val="both"/>
        <w:ind w:left="492" w:right="400" w:hanging="6"/>
        <w:spacing w:after="0" w:line="265" w:lineRule="auto"/>
        <w:tabs>
          <w:tab w:leader="none" w:pos="707"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communicate or offer to the Company or any of its Affiliated Companies any Dual Opportunity that such Dual Role Person has communicated or offered to the Investment Fund or (ii) the communication or offer to the Investment Fund of any Dual Opportunity, so long as</w:t>
      </w:r>
    </w:p>
    <w:p>
      <w:pPr>
        <w:ind w:left="492" w:right="240" w:hanging="6"/>
        <w:spacing w:after="0" w:line="255" w:lineRule="auto"/>
        <w:tabs>
          <w:tab w:leader="none" w:pos="74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185" w:lineRule="exact"/>
        <w:rPr>
          <w:rFonts w:ascii="Times New Roman" w:cs="Times New Roman" w:eastAsia="Times New Roman" w:hAnsi="Times New Roman"/>
          <w:sz w:val="18"/>
          <w:szCs w:val="18"/>
          <w:color w:val="auto"/>
        </w:rPr>
      </w:pPr>
    </w:p>
    <w:p>
      <w:pPr>
        <w:ind w:left="492" w:right="160" w:hanging="492"/>
        <w:spacing w:after="0" w:line="258" w:lineRule="auto"/>
        <w:tabs>
          <w:tab w:leader="none" w:pos="49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183" w:lineRule="exact"/>
        <w:rPr>
          <w:rFonts w:ascii="Times New Roman" w:cs="Times New Roman" w:eastAsia="Times New Roman" w:hAnsi="Times New Roman"/>
          <w:sz w:val="18"/>
          <w:szCs w:val="18"/>
          <w:b w:val="1"/>
          <w:bCs w:val="1"/>
          <w:color w:val="auto"/>
        </w:rPr>
      </w:pPr>
    </w:p>
    <w:p>
      <w:pPr>
        <w:ind w:left="1292" w:hanging="1292"/>
        <w:spacing w:after="0"/>
        <w:tabs>
          <w:tab w:leader="none" w:pos="129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Article VII:</w:t>
      </w:r>
    </w:p>
    <w:p>
      <w:pPr>
        <w:spacing w:after="0" w:line="221" w:lineRule="exact"/>
        <w:rPr>
          <w:sz w:val="20"/>
          <w:szCs w:val="20"/>
          <w:color w:val="auto"/>
        </w:rPr>
      </w:pPr>
    </w:p>
    <w:p>
      <w:pPr>
        <w:ind w:left="152" w:right="8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176" w:lineRule="exact"/>
        <w:rPr>
          <w:sz w:val="20"/>
          <w:szCs w:val="20"/>
          <w:color w:val="auto"/>
        </w:rPr>
      </w:pPr>
    </w:p>
    <w:p>
      <w:pPr>
        <w:ind w:left="152" w:right="4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“Affiliated Company</w:t>
      </w:r>
      <w:r>
        <w:rPr>
          <w:rFonts w:ascii="Times New Roman" w:cs="Times New Roman" w:eastAsia="Times New Roman" w:hAnsi="Times New Roman"/>
          <w:sz w:val="18"/>
          <w:szCs w:val="18"/>
          <w:color w:val="auto"/>
        </w:rPr>
        <w:t>” means (i) with respect to the Company, any Person controlled by the Company and (ii) with respect to an Investment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176" w:lineRule="exact"/>
        <w:rPr>
          <w:sz w:val="20"/>
          <w:szCs w:val="20"/>
          <w:color w:val="auto"/>
        </w:rPr>
      </w:pPr>
    </w:p>
    <w:p>
      <w:pPr>
        <w:ind w:left="152" w:right="1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Opportunity</w:t>
      </w:r>
      <w:r>
        <w:rPr>
          <w:rFonts w:ascii="Times New Roman" w:cs="Times New Roman" w:eastAsia="Times New Roman" w:hAnsi="Times New Roman"/>
          <w:sz w:val="18"/>
          <w:szCs w:val="18"/>
          <w:color w:val="auto"/>
        </w:rPr>
        <w:t>” means any potential transaction or matter which may be a corporate opportunity for both the Investment Fund or its Affiliated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on the one hand, and the Company or any of its Affiliated Companies, on the other hand.</w:t>
      </w:r>
    </w:p>
    <w:p>
      <w:pPr>
        <w:spacing w:after="0" w:line="155" w:lineRule="exact"/>
        <w:rPr>
          <w:sz w:val="20"/>
          <w:szCs w:val="20"/>
          <w:color w:val="auto"/>
        </w:rPr>
      </w:pPr>
    </w:p>
    <w:p>
      <w:pPr>
        <w:ind w:left="152" w:right="4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“Dual Role Person</w:t>
      </w:r>
      <w:r>
        <w:rPr>
          <w:rFonts w:ascii="Times New Roman" w:cs="Times New Roman" w:eastAsia="Times New Roman" w:hAnsi="Times New Roman"/>
          <w:sz w:val="18"/>
          <w:szCs w:val="18"/>
          <w:color w:val="auto"/>
        </w:rPr>
        <w:t>” means any individual who is an officer or director of the Company and an officer, director, or general partner of the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335280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79" w:name="page80"/>
    <w:bookmarkEnd w:id="79"/>
    <w:p>
      <w:pPr>
        <w:jc w:val="both"/>
        <w:ind w:left="152" w:right="140"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“Investment Fund</w:t>
      </w:r>
      <w:r>
        <w:rPr>
          <w:rFonts w:ascii="Times New Roman" w:cs="Times New Roman" w:eastAsia="Times New Roman" w:hAnsi="Times New Roman"/>
          <w:sz w:val="18"/>
          <w:szCs w:val="18"/>
          <w:color w:val="auto"/>
        </w:rPr>
        <w:t>” means one or more Persons (other than the Company and any Affiliated Company of the Company) which a Dual Role Person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171" w:lineRule="exact"/>
        <w:rPr>
          <w:sz w:val="20"/>
          <w:szCs w:val="20"/>
          <w:color w:val="auto"/>
        </w:rPr>
      </w:pPr>
    </w:p>
    <w:p>
      <w:pPr>
        <w:ind w:left="152" w:right="60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an unincorporated organization and a governmental entity or any department, agency or political subdivision thereof.</w:t>
      </w:r>
    </w:p>
    <w:p>
      <w:pPr>
        <w:spacing w:after="0" w:line="159" w:lineRule="exact"/>
        <w:rPr>
          <w:sz w:val="20"/>
          <w:szCs w:val="20"/>
          <w:color w:val="auto"/>
        </w:rPr>
      </w:pPr>
    </w:p>
    <w:p>
      <w:pPr>
        <w:ind w:left="492" w:right="60" w:hanging="492"/>
        <w:spacing w:after="0" w:line="258" w:lineRule="auto"/>
        <w:tabs>
          <w:tab w:leader="none" w:pos="49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w:t>
      </w:r>
    </w:p>
    <w:p>
      <w:pPr>
        <w:spacing w:after="0" w:line="183" w:lineRule="exact"/>
        <w:rPr>
          <w:sz w:val="20"/>
          <w:szCs w:val="20"/>
          <w:color w:val="auto"/>
        </w:rPr>
      </w:pPr>
    </w:p>
    <w:p>
      <w:pPr>
        <w:ind w:left="152" w:right="660"/>
        <w:spacing w:after="0" w:line="282" w:lineRule="auto"/>
        <w:rPr>
          <w:sz w:val="20"/>
          <w:szCs w:val="20"/>
          <w:color w:val="auto"/>
        </w:rPr>
      </w:pPr>
      <w:r>
        <w:rPr>
          <w:rFonts w:ascii="Times New Roman" w:cs="Times New Roman" w:eastAsia="Times New Roman" w:hAnsi="Times New Roman"/>
          <w:sz w:val="18"/>
          <w:szCs w:val="18"/>
          <w:color w:val="auto"/>
        </w:rPr>
        <w:t>Investment Fund, on the other hand, that was entered into before such time or any transaction entered into in the performance of such agreement, arrangement or other understanding, whether entered into before or after such time.</w:t>
      </w:r>
    </w:p>
    <w:p>
      <w:pPr>
        <w:spacing w:after="0" w:line="162" w:lineRule="exact"/>
        <w:rPr>
          <w:sz w:val="20"/>
          <w:szCs w:val="20"/>
          <w:color w:val="auto"/>
        </w:rPr>
      </w:pPr>
    </w:p>
    <w:p>
      <w:pPr>
        <w:ind w:left="492" w:right="60" w:hanging="492"/>
        <w:spacing w:after="0" w:line="282" w:lineRule="auto"/>
        <w:tabs>
          <w:tab w:leader="none" w:pos="49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161" w:lineRule="exact"/>
        <w:rPr>
          <w:rFonts w:ascii="Times New Roman" w:cs="Times New Roman" w:eastAsia="Times New Roman" w:hAnsi="Times New Roman"/>
          <w:sz w:val="18"/>
          <w:szCs w:val="18"/>
          <w:b w:val="1"/>
          <w:bCs w:val="1"/>
          <w:color w:val="auto"/>
        </w:rPr>
      </w:pPr>
    </w:p>
    <w:p>
      <w:pPr>
        <w:ind w:left="492" w:hanging="492"/>
        <w:spacing w:after="0" w:line="282" w:lineRule="auto"/>
        <w:tabs>
          <w:tab w:leader="none" w:pos="49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162" w:lineRule="exact"/>
        <w:rPr>
          <w:sz w:val="20"/>
          <w:szCs w:val="20"/>
          <w:color w:val="auto"/>
        </w:rPr>
      </w:pPr>
    </w:p>
    <w:p>
      <w:pPr>
        <w:jc w:val="both"/>
        <w:ind w:left="492" w:hanging="492"/>
        <w:spacing w:after="0" w:line="266" w:lineRule="auto"/>
        <w:tabs>
          <w:tab w:leader="none" w:pos="49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175" w:lineRule="exact"/>
        <w:rPr>
          <w:rFonts w:ascii="Times New Roman" w:cs="Times New Roman" w:eastAsia="Times New Roman" w:hAnsi="Times New Roman"/>
          <w:sz w:val="18"/>
          <w:szCs w:val="18"/>
          <w:b w:val="1"/>
          <w:bCs w:val="1"/>
          <w:color w:val="auto"/>
        </w:rPr>
      </w:pPr>
    </w:p>
    <w:p>
      <w:pPr>
        <w:ind w:left="492" w:right="80" w:hanging="492"/>
        <w:spacing w:after="0" w:line="253" w:lineRule="auto"/>
        <w:tabs>
          <w:tab w:leader="none" w:pos="49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5" w:lineRule="exact"/>
        <w:rPr>
          <w:rFonts w:ascii="Times New Roman" w:cs="Times New Roman" w:eastAsia="Times New Roman" w:hAnsi="Times New Roman"/>
          <w:sz w:val="18"/>
          <w:szCs w:val="18"/>
          <w:b w:val="1"/>
          <w:bCs w:val="1"/>
          <w:color w:val="auto"/>
        </w:rPr>
      </w:pPr>
    </w:p>
    <w:p>
      <w:pPr>
        <w:ind w:left="54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3"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 xml:space="preserve">TEN: </w:t>
      </w:r>
      <w:r>
        <w:rPr>
          <w:rFonts w:ascii="Times New Roman" w:cs="Times New Roman" w:eastAsia="Times New Roman" w:hAnsi="Times New Roman"/>
          <w:sz w:val="18"/>
          <w:szCs w:val="18"/>
          <w:color w:val="auto"/>
        </w:rPr>
        <w:t>This Amended and Restated Certificate of Incorporation has been duly approved by the Board of Directors of this Corporation.</w:t>
      </w:r>
    </w:p>
    <w:p>
      <w:pPr>
        <w:spacing w:after="0" w:line="225" w:lineRule="exact"/>
        <w:rPr>
          <w:sz w:val="20"/>
          <w:szCs w:val="20"/>
          <w:color w:val="auto"/>
        </w:rPr>
      </w:pPr>
    </w:p>
    <w:p>
      <w:pPr>
        <w:ind w:left="152" w:right="80"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ELEVEN: </w:t>
      </w:r>
      <w:r>
        <w:rPr>
          <w:rFonts w:ascii="Times New Roman" w:cs="Times New Roman" w:eastAsia="Times New Roman" w:hAnsi="Times New Roman"/>
          <w:sz w:val="18"/>
          <w:szCs w:val="18"/>
          <w:color w:val="auto"/>
        </w:rPr>
        <w:t>This Amended and Restated Certificate of Incorporation was approved by the holders of the requisite number of shares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175" w:lineRule="exact"/>
        <w:rPr>
          <w:sz w:val="20"/>
          <w:szCs w:val="20"/>
          <w:color w:val="auto"/>
        </w:rPr>
      </w:pPr>
    </w:p>
    <w:p>
      <w:pPr>
        <w:ind w:left="152" w:right="100" w:firstLine="360"/>
        <w:spacing w:after="0" w:line="282" w:lineRule="auto"/>
        <w:rPr>
          <w:sz w:val="20"/>
          <w:szCs w:val="20"/>
          <w:color w:val="auto"/>
        </w:rPr>
      </w:pPr>
      <w:r>
        <w:rPr>
          <w:rFonts w:ascii="Times New Roman" w:cs="Times New Roman" w:eastAsia="Times New Roman" w:hAnsi="Times New Roman"/>
          <w:sz w:val="18"/>
          <w:szCs w:val="18"/>
          <w:color w:val="auto"/>
        </w:rPr>
        <w:t>Tilray Brands, Inc. has caused this Amended and Restated Certificate of Incorporation to be duly executed and acknowledged in its name and on its behalf by the undersigned officer, thereunto duly authorized, as of the date first set forth above.</w:t>
      </w:r>
    </w:p>
    <w:p>
      <w:pPr>
        <w:spacing w:after="0" w:line="158"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color w:val="auto"/>
        </w:rPr>
        <w:t>/s/ Mitchell Gendel</w:t>
      </w:r>
    </w:p>
    <w:p>
      <w:pPr>
        <w:spacing w:after="0" w:line="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color w:val="auto"/>
        </w:rPr>
        <w:t>Name: Mitchell Gendel</w:t>
      </w:r>
    </w:p>
    <w:p>
      <w:pPr>
        <w:spacing w:after="0" w:line="9" w:lineRule="exact"/>
        <w:rPr>
          <w:sz w:val="20"/>
          <w:szCs w:val="20"/>
          <w:color w:val="auto"/>
        </w:rPr>
      </w:pPr>
    </w:p>
    <w:p>
      <w:pPr>
        <w:ind w:left="152"/>
        <w:spacing w:after="0"/>
        <w:rPr>
          <w:sz w:val="20"/>
          <w:szCs w:val="20"/>
          <w:color w:val="auto"/>
        </w:rPr>
      </w:pPr>
      <w:r>
        <w:rPr>
          <w:rFonts w:ascii="Times New Roman" w:cs="Times New Roman" w:eastAsia="Times New Roman" w:hAnsi="Times New Roman"/>
          <w:sz w:val="18"/>
          <w:szCs w:val="18"/>
          <w:color w:val="auto"/>
        </w:rPr>
        <w:t>Title: Global General Counsel and Corporate Secretary</w:t>
      </w:r>
    </w:p>
    <w:p>
      <w:pPr>
        <w:sectPr>
          <w:pgSz w:w="11900" w:h="16838" w:orient="portrait"/>
          <w:cols w:equalWidth="0" w:num="1">
            <w:col w:w="11232"/>
          </w:cols>
          <w:pgMar w:left="328" w:top="57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 INTEREST-BEARING DEMAND</w:t>
      </w:r>
    </w:p>
    <w:p>
      <w:pPr>
        <w:spacing w:after="0" w:line="9"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18"/>
          <w:szCs w:val="18"/>
          <w:color w:val="auto"/>
        </w:rPr>
        <w:t>Amount: USD $9,264,249.68</w:t>
      </w:r>
      <w:r>
        <w:rPr>
          <w:sz w:val="20"/>
          <w:szCs w:val="20"/>
          <w:color w:val="auto"/>
        </w:rPr>
        <w:tab/>
      </w:r>
      <w:r>
        <w:rPr>
          <w:rFonts w:ascii="Times New Roman" w:cs="Times New Roman" w:eastAsia="Times New Roman" w:hAnsi="Times New Roman"/>
          <w:sz w:val="18"/>
          <w:szCs w:val="18"/>
          <w:color w:val="auto"/>
        </w:rPr>
        <w:t>Due: On Demand</w:t>
      </w:r>
    </w:p>
    <w:p>
      <w:pPr>
        <w:spacing w:after="0" w:line="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undersigned, 1974568 Ontario Limited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acknowledges itself indebted to and unconditionally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promises to pay to the order of ‎Double Diamond Holdings Ltd.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the principal amount of USD $9,264,249.68 without interest, ON DEMAND.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Corporation may at any time, without notice, bonus or penalty, pay all or part of the amount outstanding under the promissory note. This promissory note is non-assignable and non-transferable without the prior written consent of the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promissory note is issued pursuant to and shall be interpreted and enforced in accordance with,‎ and the obligations of the Corporation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governed by, the laws of the Province of Ontario‎ and the federal laws of Canada applicable therein.‎</w:t>
      </w:r>
    </w:p>
    <w:p>
      <w:pPr>
        <w:spacing w:after="0" w:line="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Corporation hereby waives presentment for payment, notice of dishonour, protest and notice of protest, bringing of suit and diligence in taking any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duly executed and delivered this promissory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as of the December 5, 2022.</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‎1974568 ONTARIO LIMITED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Authorized Signing Officer</w:t>
      </w:r>
    </w:p>
    <w:p>
      <w:pPr>
        <w:sectPr>
          <w:pgSz w:w="11900" w:h="16838" w:orient="portrait"/>
          <w:cols w:equalWidth="0" w:num="1">
            <w:col w:w="11000"/>
          </w:cols>
          <w:pgMar w:left="480" w:top="117" w:right="4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 INTEREST-BEARING DEMAND</w:t>
      </w:r>
    </w:p>
    <w:p>
      <w:pPr>
        <w:spacing w:after="0" w:line="9"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18"/>
          <w:szCs w:val="18"/>
          <w:color w:val="auto"/>
        </w:rPr>
        <w:t>Amount: USD $6,648,304</w:t>
      </w:r>
      <w:r>
        <w:rPr>
          <w:sz w:val="20"/>
          <w:szCs w:val="20"/>
          <w:color w:val="auto"/>
        </w:rPr>
        <w:tab/>
      </w:r>
      <w:r>
        <w:rPr>
          <w:rFonts w:ascii="Times New Roman" w:cs="Times New Roman" w:eastAsia="Times New Roman" w:hAnsi="Times New Roman"/>
          <w:sz w:val="18"/>
          <w:szCs w:val="18"/>
          <w:color w:val="auto"/>
        </w:rPr>
        <w:t>Due: On Demand</w:t>
      </w:r>
    </w:p>
    <w:p>
      <w:pPr>
        <w:spacing w:after="0" w:line="9"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the undersigned, 1974568 Ontario Limited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acknowledges itself indebted to and unconditionally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promises to pay to the order of ‎Double Diamond Holdings Ltd. (the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the principal amount of USD $6,648,304 without interest, ON DEMAND.</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Corporation may at any time, without notice, bonus or penalty, pay all or part of the amount outstanding under the promissory note. This promissory note is non-assignable and non-transferable without the prior written consent of the Corporation.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promissory note is issued pursuant to and shall be interpreted and enforced in accordance with,‎ and the obligations of the Corporation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governed by, the laws of the Province of Ontario‎ and the federal laws of Canada applicable therein.‎</w:t>
      </w:r>
    </w:p>
    <w:p>
      <w:pPr>
        <w:spacing w:after="0" w:line="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Corporation hereby waives presentment for payment, notice of dishonour, protest and notice of protest, bringing of suit and diligence in taking any 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Corporation has duly executed and delivered this promissory note.</w:t>
      </w:r>
    </w:p>
    <w:p>
      <w:pPr>
        <w:spacing w:after="0" w:line="181" w:lineRule="auto"/>
        <w:rPr>
          <w:sz w:val="20"/>
          <w:szCs w:val="20"/>
          <w:color w:val="auto"/>
        </w:rPr>
      </w:pPr>
      <w:r>
        <w:rPr>
          <w:rFonts w:ascii="Times New Roman" w:cs="Times New Roman" w:eastAsia="Times New Roman" w:hAnsi="Times New Roman"/>
          <w:sz w:val="16"/>
          <w:szCs w:val="16"/>
          <w:b w:val="1"/>
          <w:bCs w:val="1"/>
          <w:color w:val="auto"/>
        </w:rPr>
        <w:t xml:space="preserve">DATED </w:t>
      </w:r>
      <w:r>
        <w:rPr>
          <w:rFonts w:ascii="Times New Roman" w:cs="Times New Roman" w:eastAsia="Times New Roman" w:hAnsi="Times New Roman"/>
          <w:sz w:val="16"/>
          <w:szCs w:val="16"/>
          <w:color w:val="auto"/>
        </w:rPr>
        <w:t>as of the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February, 2023.</w:t>
      </w:r>
    </w:p>
    <w:p>
      <w:pPr>
        <w:spacing w:after="0" w:line="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‎1974568 ONTARIO LIMITED</w:t>
      </w: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Authorized Signing Officer</w:t>
      </w:r>
    </w:p>
    <w:sectPr>
      <w:pgSz w:w="11900" w:h="16838" w:orient="portrait"/>
      <w:cols w:equalWidth="0" w:num="1">
        <w:col w:w="11000"/>
      </w:cols>
      <w:pgMar w:left="480" w:top="11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upperLetter"/>
      <w:start w:val="1"/>
    </w:lvl>
    <w:lvl w:ilvl="1">
      <w:lvlJc w:val="left"/>
      <w:lvlText w:val="%2"/>
      <w:numFmt w:val="upperLetter"/>
      <w:start w:val="29"/>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lvl w:ilvl="1">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lvl w:ilvl="1">
      <w:lvlJc w:val="left"/>
      <w:lvlText w:val="(%2)"/>
      <w:numFmt w:val="lowerLetter"/>
      <w:start w:val="1"/>
    </w:lvl>
  </w:abstractNum>
  <w:abstractNum w:abstractNumId="26">
    <w:nsid w:val="5C482A97"/>
    <w:multiLevelType w:val="hybridMultilevel"/>
    <w:lvl w:ilvl="0">
      <w:lvlJc w:val="left"/>
      <w:lvlText w:val="%1."/>
      <w:numFmt w:val="decimal"/>
      <w:start w:val="1"/>
    </w:lvl>
    <w:lvl w:ilvl="1">
      <w:lvlJc w:val="left"/>
      <w:lvlText w:val="(%2)"/>
      <w:numFmt w:val="lowerLetter"/>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upperLetter"/>
      <w:start w:val="1"/>
    </w:lvl>
  </w:abstractNum>
  <w:abstractNum w:abstractNumId="30">
    <w:nsid w:val="2D517796"/>
    <w:multiLevelType w:val="hybridMultilevel"/>
    <w:lvl w:ilvl="0">
      <w:lvlJc w:val="left"/>
      <w:lvlText w:val="%1."/>
      <w:numFmt w:val="upperLetter"/>
      <w:start w:val="2"/>
    </w:lvl>
  </w:abstractNum>
  <w:abstractNum w:abstractNumId="31">
    <w:nsid w:val="580BD78F"/>
    <w:multiLevelType w:val="hybridMultilevel"/>
    <w:lvl w:ilvl="0">
      <w:lvlJc w:val="left"/>
      <w:lvlText w:val="%1."/>
      <w:numFmt w:val="upperLetter"/>
      <w:start w:val="4"/>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lowerLetter"/>
      <w:start w:val="1"/>
    </w:lvl>
    <w:lvl w:ilvl="1">
      <w:lvlJc w:val="left"/>
      <w:lvlText w:val="(%2)"/>
      <w:numFmt w:val="lowerLetter"/>
      <w:start w:val="61"/>
    </w:lvl>
  </w:abstractNum>
  <w:abstractNum w:abstractNumId="34">
    <w:nsid w:val="70A64E2A"/>
    <w:multiLevelType w:val="hybridMultilevel"/>
    <w:lvl w:ilvl="0">
      <w:lvlJc w:val="left"/>
      <w:lvlText w:val="(%1)"/>
      <w:numFmt w:val="lowerLetter"/>
      <w:start w:val="2"/>
    </w:lvl>
    <w:lvl w:ilvl="1">
      <w:lvlJc w:val="left"/>
      <w:lvlText w:val="%2"/>
      <w:numFmt w:val="lowerLetter"/>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upp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3"/>
    </w:lvl>
  </w:abstractNum>
  <w:abstractNum w:abstractNumId="42">
    <w:nsid w:val="4B588F54"/>
    <w:multiLevelType w:val="hybridMultilevel"/>
    <w:lvl w:ilvl="0">
      <w:lvlJc w:val="left"/>
      <w:lvlText w:val="%1."/>
      <w:numFmt w:val="upperLetter"/>
      <w:start w:val="2"/>
    </w:lvl>
  </w:abstractNum>
  <w:abstractNum w:abstractNumId="43">
    <w:nsid w:val="542289EC"/>
    <w:multiLevelType w:val="hybridMultilevel"/>
    <w:lvl w:ilvl="0">
      <w:lvlJc w:val="left"/>
      <w:lvlText w:val="%1."/>
      <w:numFmt w:val="upperLetter"/>
      <w:start w:val="1"/>
    </w:lvl>
    <w:lvl w:ilvl="1">
      <w:lvlJc w:val="left"/>
      <w:lvlText w:val="(%2)"/>
      <w:numFmt w:val="lowerRoman"/>
      <w:start w:val="1"/>
    </w:lvl>
  </w:abstractNum>
  <w:abstractNum w:abstractNumId="44">
    <w:nsid w:val="6DE91B18"/>
    <w:multiLevelType w:val="hybridMultilevel"/>
    <w:lvl w:ilvl="0">
      <w:lvlJc w:val="left"/>
      <w:lvlText w:val="%1"/>
      <w:numFmt w:val="upperLetter"/>
      <w:start w:val="1"/>
    </w:lvl>
    <w:lvl w:ilvl="1">
      <w:lvlJc w:val="left"/>
      <w:lvlText w:val="(%2)"/>
      <w:numFmt w:val="lowerRoman"/>
      <w:start w:val="10"/>
    </w:lvl>
  </w:abstractNum>
  <w:abstractNum w:abstractNumId="45">
    <w:nsid w:val="38437FDB"/>
    <w:multiLevelType w:val="hybridMultilevel"/>
    <w:lvl w:ilvl="0">
      <w:lvlJc w:val="left"/>
      <w:lvlText w:val="%1."/>
      <w:numFmt w:val="upperLetter"/>
      <w:start w:val="2"/>
    </w:lvl>
    <w:lvl w:ilvl="1">
      <w:lvlJc w:val="left"/>
      <w:lvlText w:val="%2"/>
      <w:numFmt w:val="lowerRoman"/>
      <w:start w:val="1"/>
    </w:lvl>
  </w:abstractNum>
  <w:abstractNum w:abstractNumId="46">
    <w:nsid w:val="7644A45C"/>
    <w:multiLevelType w:val="hybridMultilevel"/>
    <w:lvl w:ilvl="0">
      <w:lvlJc w:val="left"/>
      <w:lvlText w:val="%1."/>
      <w:numFmt w:val="upperLetter"/>
      <w:start w:val="4"/>
    </w:lvl>
  </w:abstractNum>
  <w:abstractNum w:abstractNumId="47">
    <w:nsid w:val="32FFF902"/>
    <w:multiLevelType w:val="hybridMultilevel"/>
    <w:lvl w:ilvl="0">
      <w:lvlJc w:val="left"/>
      <w:lvlText w:val="%1."/>
      <w:numFmt w:val="upperLetter"/>
      <w:start w:val="5"/>
    </w:lvl>
  </w:abstractNum>
  <w:abstractNum w:abstractNumId="48">
    <w:nsid w:val="684A481A"/>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77" Type="http://schemas.openxmlformats.org/officeDocument/2006/relationships/hyperlink" Target="http://www.sec.gov/Archives/edgar/data/1731348/000114036123007736/ny20007663x2_ex3-1.htm" TargetMode="External"/><Relationship Id="rId78" Type="http://schemas.openxmlformats.org/officeDocument/2006/relationships/hyperlink" Target="http://www.sec.gov/Archives/edgar/data/1731348/000114036123007736/ny20007663x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2023-04-10T16:17:09Z</dcterms:created>
  <dcterms:modified xsi:type="dcterms:W3CDTF">2023-04-10T16:17:09Z</dcterms:modified>
</cp:coreProperties>
</file>