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80" w:right="1620" w:hanging="3672"/>
        <w:spacing w:after="0" w:line="354" w:lineRule="auto"/>
        <w:tabs>
          <w:tab w:leader="none" w:pos="46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February 28, 2022</w:t>
      </w:r>
    </w:p>
    <w:p>
      <w:pPr>
        <w:spacing w:after="0" w:line="11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6" w:lineRule="exact"/>
        <w:rPr>
          <w:sz w:val="24"/>
          <w:szCs w:val="24"/>
          <w:color w:val="auto"/>
        </w:rPr>
      </w:pPr>
    </w:p>
    <w:p>
      <w:pPr>
        <w:ind w:left="4120"/>
        <w:spacing w:after="0"/>
        <w:tabs>
          <w:tab w:leader="none" w:pos="69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135"/>
        </w:trPr>
        <w:tc>
          <w:tcPr>
            <w:tcW w:w="4120" w:type="dxa"/>
            <w:vAlign w:val="bottom"/>
          </w:tcPr>
          <w:p>
            <w:pPr>
              <w:jc w:val="center"/>
              <w:ind w:right="198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20" w:type="dxa"/>
            <w:vAlign w:val="bottom"/>
          </w:tcPr>
          <w:p>
            <w:pPr>
              <w:jc w:val="center"/>
              <w:ind w:left="196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33"/>
        </w:trPr>
        <w:tc>
          <w:tcPr>
            <w:tcW w:w="4120" w:type="dxa"/>
            <w:vAlign w:val="bottom"/>
          </w:tcPr>
          <w:p>
            <w:pPr>
              <w:jc w:val="center"/>
              <w:ind w:right="1964"/>
              <w:spacing w:after="0" w:line="133"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line="133"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16"/>
        </w:trPr>
        <w:tc>
          <w:tcPr>
            <w:tcW w:w="4120" w:type="dxa"/>
            <w:vAlign w:val="bottom"/>
          </w:tcPr>
          <w:p>
            <w:pPr>
              <w:jc w:val="center"/>
              <w:ind w:right="1984"/>
              <w:spacing w:after="0"/>
              <w:rPr>
                <w:sz w:val="20"/>
                <w:szCs w:val="20"/>
                <w:color w:val="auto"/>
              </w:rPr>
            </w:pPr>
            <w:r>
              <w:rPr>
                <w:rFonts w:ascii="Times New Roman" w:cs="Times New Roman" w:eastAsia="Times New Roman" w:hAnsi="Times New Roman"/>
                <w:sz w:val="18"/>
                <w:szCs w:val="18"/>
                <w:b w:val="1"/>
                <w:bCs w:val="1"/>
                <w:color w:val="auto"/>
                <w:w w:val="98"/>
              </w:rPr>
              <w:t>265 Talbot Street West,</w:t>
            </w:r>
          </w:p>
        </w:tc>
        <w:tc>
          <w:tcPr>
            <w:tcW w:w="3020" w:type="dxa"/>
            <w:vAlign w:val="bottom"/>
          </w:tcPr>
          <w:p>
            <w:pPr>
              <w:spacing w:after="0"/>
              <w:rPr>
                <w:sz w:val="18"/>
                <w:szCs w:val="18"/>
                <w:color w:val="auto"/>
              </w:rPr>
            </w:pPr>
          </w:p>
        </w:tc>
      </w:tr>
      <w:tr>
        <w:trPr>
          <w:trHeight w:val="21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9"/>
              </w:rPr>
              <w:t>Leamington, ON</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845-7291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gridSpan w:val="2"/>
            <w:vMerge w:val="continue"/>
          </w:tcPr>
          <w:p>
            <w:pPr>
              <w:spacing w:after="0"/>
              <w:rPr>
                <w:sz w:val="15"/>
                <w:szCs w:val="15"/>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5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Class 2 Common Stock, $0.0001 par value per share</w:t>
            </w:r>
          </w:p>
        </w:tc>
        <w:tc>
          <w:tcPr>
            <w:tcW w:w="120" w:type="dxa"/>
            <w:vAlign w:val="bottom"/>
          </w:tcPr>
          <w:p>
            <w:pPr>
              <w:spacing w:after="0"/>
              <w:rPr>
                <w:sz w:val="17"/>
                <w:szCs w:val="17"/>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TLRY</w:t>
            </w:r>
          </w:p>
        </w:tc>
        <w:tc>
          <w:tcPr>
            <w:tcW w:w="120" w:type="dxa"/>
            <w:vAlign w:val="bottom"/>
          </w:tcPr>
          <w:p>
            <w:pPr>
              <w:spacing w:after="0"/>
              <w:rPr>
                <w:sz w:val="17"/>
                <w:szCs w:val="17"/>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262" w:lineRule="exact"/>
        <w:rPr>
          <w:sz w:val="24"/>
          <w:szCs w:val="24"/>
          <w:color w:val="auto"/>
        </w:rPr>
      </w:pPr>
    </w:p>
    <w:p>
      <w:pPr>
        <w:jc w:val="both"/>
        <w:ind w:firstLine="51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jc w:val="both"/>
        <w:ind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5" w:lineRule="exact"/>
        <w:rPr>
          <w:sz w:val="24"/>
          <w:szCs w:val="24"/>
          <w:color w:val="auto"/>
        </w:rPr>
      </w:pPr>
    </w:p>
    <w:p>
      <w:pPr>
        <w:ind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ind w:left="520"/>
        <w:spacing w:after="0" w:line="184" w:lineRule="exact"/>
        <w:tabs>
          <w:tab w:leader="none" w:pos="8060" w:val="left"/>
          <w:tab w:leader="none" w:pos="86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2" w:lineRule="exact"/>
        <w:rPr>
          <w:sz w:val="24"/>
          <w:szCs w:val="24"/>
          <w:color w:val="auto"/>
        </w:rPr>
      </w:pPr>
    </w:p>
    <w:p>
      <w:pPr>
        <w:ind w:right="2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April 5 2022, the registrant had 497,708,464 shares of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8"/>
            <w:vMerge w:val="restart"/>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FINANCIAL INFORMATION</w:t>
              </w:r>
            </w:hyperlink>
          </w:p>
        </w:tc>
        <w:tc>
          <w:tcPr>
            <w:tcW w:w="7340" w:type="dxa"/>
            <w:vAlign w:val="bottom"/>
            <w:gridSpan w:val="11"/>
            <w:vMerge w:val="restart"/>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8"/>
        </w:trPr>
        <w:tc>
          <w:tcPr>
            <w:tcW w:w="114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8"/>
            <w:vMerge w:val="continue"/>
          </w:tcPr>
          <w:p>
            <w:pPr>
              <w:spacing w:after="0"/>
              <w:rPr>
                <w:sz w:val="15"/>
                <w:szCs w:val="15"/>
                <w:color w:val="auto"/>
              </w:rPr>
            </w:pPr>
          </w:p>
        </w:tc>
        <w:tc>
          <w:tcPr>
            <w:tcW w:w="7340" w:type="dxa"/>
            <w:vAlign w:val="bottom"/>
            <w:gridSpan w:val="11"/>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00" w:type="dxa"/>
            <w:vAlign w:val="bottom"/>
            <w:gridSpan w:val="1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 (Unaudited)</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0" w:type="dxa"/>
            <w:vAlign w:val="bottom"/>
            <w:gridSpan w:val="1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Financial Position (Unaudited)</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0" w:type="dxa"/>
            <w:vAlign w:val="bottom"/>
            <w:gridSpan w:val="1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Income (Loss) and Comprehensive Loss (Unaudited)</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4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Statements of Stockholders' Equity (Unaudited)</w:t>
              </w:r>
            </w:hyperlink>
          </w:p>
        </w:tc>
        <w:tc>
          <w:tcPr>
            <w:tcW w:w="1400" w:type="dxa"/>
            <w:vAlign w:val="bottom"/>
            <w:tcBorders>
              <w:top w:val="single" w:sz="8" w:color="0000EE"/>
            </w:tcBorders>
          </w:tcPr>
          <w:p>
            <w:pPr>
              <w:spacing w:after="0"/>
              <w:rPr>
                <w:sz w:val="18"/>
                <w:szCs w:val="18"/>
                <w:color w:val="auto"/>
              </w:rPr>
            </w:pPr>
          </w:p>
        </w:tc>
        <w:tc>
          <w:tcPr>
            <w:tcW w:w="376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0" w:type="dxa"/>
            <w:vAlign w:val="bottom"/>
            <w:gridSpan w:val="19"/>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Cash Flows (Unaudited)</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0" w:type="dxa"/>
            <w:vAlign w:val="bottom"/>
            <w:gridSpan w:val="19"/>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Consolidated Financial Statements (Unaudited)</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Quantitative and Qualitative Disclosures About Market Risk</w:t>
              </w:r>
            </w:hyperlink>
          </w:p>
        </w:tc>
        <w:tc>
          <w:tcPr>
            <w:tcW w:w="5240" w:type="dxa"/>
            <w:vAlign w:val="bottom"/>
            <w:gridSpan w:val="4"/>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Controls and Procedures</w:t>
              </w:r>
            </w:hyperlink>
          </w:p>
        </w:tc>
        <w:tc>
          <w:tcPr>
            <w:tcW w:w="7800" w:type="dxa"/>
            <w:vAlign w:val="bottom"/>
            <w:gridSpan w:val="13"/>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00" w:type="dxa"/>
            <w:vAlign w:val="bottom"/>
            <w:gridSpan w:val="19"/>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OTHER INFORMATION</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45">
              <w:r>
                <w:rPr>
                  <w:rFonts w:ascii="Times New Roman" w:cs="Times New Roman" w:eastAsia="Times New Roman" w:hAnsi="Times New Roman"/>
                  <w:sz w:val="18"/>
                  <w:szCs w:val="18"/>
                  <w:color w:val="0000EE"/>
                  <w:w w:val="98"/>
                </w:rPr>
                <w:t>Legal Proceedings</w:t>
              </w:r>
            </w:hyperlink>
          </w:p>
        </w:tc>
        <w:tc>
          <w:tcPr>
            <w:tcW w:w="540" w:type="dxa"/>
            <w:vAlign w:val="bottom"/>
            <w:tcBorders>
              <w:top w:val="single" w:sz="8" w:color="0000EE"/>
            </w:tcBorders>
            <w:gridSpan w:val="3"/>
          </w:tcPr>
          <w:p>
            <w:pPr>
              <w:spacing w:after="0"/>
              <w:rPr>
                <w:sz w:val="18"/>
                <w:szCs w:val="18"/>
                <w:color w:val="auto"/>
              </w:rPr>
            </w:pPr>
          </w:p>
        </w:tc>
        <w:tc>
          <w:tcPr>
            <w:tcW w:w="7720" w:type="dxa"/>
            <w:vAlign w:val="bottom"/>
            <w:gridSpan w:val="12"/>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600" w:type="dxa"/>
            <w:vAlign w:val="bottom"/>
            <w:gridSpan w:val="19"/>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Risk Factors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00" w:type="dxa"/>
            <w:vAlign w:val="bottom"/>
            <w:gridSpan w:val="19"/>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Defaults Upon Senior Securities</w:t>
              </w:r>
            </w:hyperlink>
          </w:p>
        </w:tc>
        <w:tc>
          <w:tcPr>
            <w:tcW w:w="5260" w:type="dxa"/>
            <w:vAlign w:val="bottom"/>
            <w:gridSpan w:val="5"/>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Mine Safety Disclosures</w:t>
              </w:r>
            </w:hyperlink>
          </w:p>
        </w:tc>
        <w:tc>
          <w:tcPr>
            <w:tcW w:w="540" w:type="dxa"/>
            <w:vAlign w:val="bottom"/>
            <w:tcBorders>
              <w:top w:val="single" w:sz="8" w:color="0000EE"/>
            </w:tcBorders>
            <w:gridSpan w:val="4"/>
          </w:tcPr>
          <w:p>
            <w:pPr>
              <w:spacing w:after="0"/>
              <w:rPr>
                <w:sz w:val="18"/>
                <w:szCs w:val="18"/>
                <w:color w:val="auto"/>
              </w:rPr>
            </w:pPr>
          </w:p>
        </w:tc>
        <w:tc>
          <w:tcPr>
            <w:tcW w:w="7280" w:type="dxa"/>
            <w:vAlign w:val="bottom"/>
            <w:gridSpan w:val="10"/>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48">
              <w:r>
                <w:rPr>
                  <w:rFonts w:ascii="Times New Roman" w:cs="Times New Roman" w:eastAsia="Times New Roman" w:hAnsi="Times New Roman"/>
                  <w:sz w:val="18"/>
                  <w:szCs w:val="18"/>
                  <w:color w:val="0000EE"/>
                  <w:w w:val="98"/>
                </w:rPr>
                <w:t>Other Information</w:t>
              </w:r>
            </w:hyperlink>
          </w:p>
        </w:tc>
        <w:tc>
          <w:tcPr>
            <w:tcW w:w="8280" w:type="dxa"/>
            <w:vAlign w:val="bottom"/>
            <w:gridSpan w:val="16"/>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600" w:type="dxa"/>
            <w:vAlign w:val="bottom"/>
            <w:gridSpan w:val="19"/>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Exhibits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 the quarter ended February 28, 2022 (the “Form 10-Q”) contains forward-looking statements within the meaning of safe harbor provisions of the Private Securities Litigation Reform Act of 1995. Such statements involve risks, uncertainties and assumptions. If the risks or uncertainties ever materialize or the assumptions prove incorrect, our results may differ materially from those expressed or implied by such forward-looking statements. The words “anticipate,” “believe,” “continue,” “could,” “estimate,” “expect,” “intend,” “may,”” might,” “plan,” “project,” “will,” “would” ”seek,” or “should,” or the negative or plural of these words or similar expressions or variations are intended to identify such forward-looking statements. Forward-looking statements include, among other things, our beliefs or expectations relating to our future performance, results of operations and financial condition; our strategic initiatives, business strategy, supply chain, brand portfolio and product performance; the COVID-19 pandemic; current or future macroeconomic trends; and future corporate acquisitions and strategic transactions.</w:t>
      </w:r>
    </w:p>
    <w:p>
      <w:pPr>
        <w:spacing w:after="0" w:line="84"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Risks and uncertainties that may cause actual results to differ materially from forward-looking statements include: our ability to successfully complete the integration of the businesses of Tilray and Aphria; our ability to successfully complete the proposed HEXO transaction and achieve the expected production efficiencies and cost savings; challenges and uncertainty resulting from the COVID-19 pandemic; the highly regulated environment in which we operate and our dependence on regulatory approvals and licenses; our ability to manage our supply chain effectively; disruption of operations at our cultivation and manufacturing facilities; challenges and uncertainty resulting from the impact of competition; our ability to manage risks associated with our international sales and operations; our ability to successfully develop and commercialize new products; our ability to execute our strategic plan and other initiatives, including our ability to achieve $4 billion of revenue by the end of our fiscal year 2024; our dependency on significant customers, which generate a significant amount of our revenue; input cost inflation; disruptions to information technology systems; pending and future litigation; volatility in our stock; our ability to raise funds; and other risks and matters described in our most recent Annual Report on Form 10-K, this Form 10-Q and our other filings from time to time with the U.S. Securities and Exchange Commission and in our Canadian securities filings.</w:t>
      </w:r>
    </w:p>
    <w:p>
      <w:pPr>
        <w:spacing w:after="0" w:line="86"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Forward looking statements are based on information available to us as of the date of this Quarterly Report on Form 10-Q and, while we believe that information provides a reasonable basis for these statements, these statements are inherently uncertain, and investors are cautioned not to unduly rely on these statements. You should not rely upon forward-looking statements or forward-looking information as predictions of future events.</w:t>
      </w:r>
    </w:p>
    <w:p>
      <w:pPr>
        <w:spacing w:after="0" w:line="68"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forward-looking statements to reflect actual results or changes in assumptions or circumstances, except as required by applicable law.</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320" w:type="dxa"/>
            <w:vAlign w:val="bottom"/>
          </w:tcPr>
          <w:p>
            <w:pPr>
              <w:spacing w:after="0"/>
              <w:rPr>
                <w:sz w:val="13"/>
                <w:szCs w:val="13"/>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May 31,</w:t>
            </w:r>
          </w:p>
        </w:tc>
      </w:tr>
      <w:tr>
        <w:trPr>
          <w:trHeight w:val="173"/>
        </w:trPr>
        <w:tc>
          <w:tcPr>
            <w:tcW w:w="77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279,214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488,466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89,895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273,292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256,429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695,785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883,609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Capital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603,472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650,698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1,528,962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1,605,918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2,835,100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2,832,794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 equity investees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133,155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5,819,436</w:t>
            </w:r>
          </w:p>
        </w:tc>
        <w:tc>
          <w:tcPr>
            <w:tcW w:w="2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6,025,362</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Bank indebtedness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137,094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212,813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60,657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78,168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70,176</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282,427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401,241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 term liabilities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53,946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121,210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167,486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Convertible debentures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501,075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667,624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237,208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265,845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1,158,423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1,560,049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(refer to Note 17)</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($0.0001 par value; 990,000,000 shares authorized; 480,737,533 and 446,440,641</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5,110,892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4,792,406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152,668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(484,710)</w:t>
            </w:r>
          </w:p>
        </w:tc>
        <w:tc>
          <w:tcPr>
            <w:tcW w:w="3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(486,050)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Tilray Brands, Inc. stockholders' equity</w:t>
            </w: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4,627,240</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4,459,070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33,773</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4,661,013</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4,465,313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5,819,436</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6,025,362</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share and per share data,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48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60" w:type="dxa"/>
            <w:vAlign w:val="bottom"/>
          </w:tcPr>
          <w:p>
            <w:pPr>
              <w:spacing w:after="0"/>
              <w:rPr>
                <w:sz w:val="15"/>
                <w:szCs w:val="15"/>
                <w:color w:val="auto"/>
              </w:rPr>
            </w:pPr>
          </w:p>
        </w:tc>
        <w:tc>
          <w:tcPr>
            <w:tcW w:w="248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February 28,</w:t>
            </w:r>
          </w:p>
        </w:tc>
      </w:tr>
      <w:tr>
        <w:trPr>
          <w:trHeight w:val="155"/>
        </w:trPr>
        <w:tc>
          <w:tcPr>
            <w:tcW w:w="58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151,871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475,047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370,849</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112,042</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93,444</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351,497</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270,165</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123,550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100,684</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38,445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121,401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78,736</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84,345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19,121</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Marketing and promotion</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(29,065)</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(29,065)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Transaction costs</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30,352</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59,591</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54,506</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266,528</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159,168</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(142,978)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(58,484)</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(2,312)</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(7,943)</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(18,511)</w:t>
            </w: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72,719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(220,340)</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186,329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(306,348)</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50,645</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(252,333)</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(383,343)</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taxes (recovery)</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(1,830)</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(2,739)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(13,707)</w:t>
            </w:r>
          </w:p>
        </w:tc>
      </w:tr>
      <w:tr>
        <w:trPr>
          <w:trHeight w:val="263"/>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52,475</w:t>
            </w: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(258,643)</w:t>
            </w: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(369,636)</w:t>
            </w:r>
          </w:p>
        </w:tc>
        <w:tc>
          <w:tcPr>
            <w:tcW w:w="100" w:type="dxa"/>
            <w:vAlign w:val="bottom"/>
            <w:tcBorders>
              <w:bottom w:val="single" w:sz="8" w:color="CFF0FC"/>
            </w:tcBorders>
          </w:tcPr>
          <w:p>
            <w:pPr>
              <w:spacing w:after="0"/>
              <w:rPr>
                <w:sz w:val="22"/>
                <w:szCs w:val="22"/>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income (loss) attributable to:</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Stockholders of Tilray Brands, Inc.</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(273,519)</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(407,762)</w:t>
            </w: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38,126</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(4,706)</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(114,641)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(4,231)</w:t>
            </w: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loss on convertible notes receivable</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(2,647)</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(2,647)</w:t>
            </w: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long-term investments</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(39,244)</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(55,601)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(170,891)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31,677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(265,996)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(147,223)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(376,514)</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 attributable to:</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Stockholders of Tilray Brands, Inc.</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(280,872)</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(150,318)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(414,640)</w:t>
            </w: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(2,928)</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38,126</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485,668,750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265,401,924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470,303,170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250,701,376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diluted</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488,546,790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265,401,924</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478,050,130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250,701,376</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share data, 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interests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6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May 31, 2020</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240,132,635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1,366,736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(5,434)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(113,352)</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26,957</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1,274,931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Share issuance - legal settlement</w:t>
            </w: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20" w:type="dxa"/>
            <w:vAlign w:val="bottom"/>
            <w:vMerge w:val="continue"/>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1,389,884</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7,018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 issuance - options exercised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41,065</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 issuance - RSUs exercised</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429,280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Comprehensive income (loss) for the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(34,343)</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(20,359)</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period</w:t>
            </w: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August 31, 2020</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241,992,864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1,377,237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(4,049)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(147,695)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39,556</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1,265,073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Share issuance - legal settlement</w:t>
            </w: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20" w:type="dxa"/>
            <w:vAlign w:val="bottom"/>
            <w:vMerge w:val="continue"/>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503,974</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3,436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3,436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 issuance - equity financing</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14,610,496</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103,594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103,596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 issuance - SweetWater acquisition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8,232,810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69,189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 issuance - options exercised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74,337</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 issuance - RSUs exercised</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Comprehensive income (loss) for the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(99,900)</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(90,159)</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period</w:t>
            </w: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November 30, 2020</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265,423,304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1,554,865</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(4,959)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(247,595)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50,207</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1,352,545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Share issuance - options exercised</w:t>
            </w: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20" w:type="dxa"/>
            <w:vAlign w:val="bottom"/>
            <w:vMerge w:val="continue"/>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79,489</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 issuance - RSUs exercised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3,450</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2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Comprehensive income (loss) for the</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(7,353)</w:t>
            </w:r>
          </w:p>
        </w:tc>
        <w:tc>
          <w:tcPr>
            <w:tcW w:w="10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(273,519)</w:t>
            </w:r>
          </w:p>
        </w:tc>
        <w:tc>
          <w:tcPr>
            <w:tcW w:w="12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14,876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(265,996)</w:t>
            </w:r>
          </w:p>
        </w:tc>
        <w:tc>
          <w:tcPr>
            <w:tcW w:w="0" w:type="dxa"/>
            <w:vAlign w:val="bottom"/>
          </w:tcPr>
          <w:p>
            <w:pPr>
              <w:spacing w:after="0"/>
              <w:rPr>
                <w:sz w:val="1"/>
                <w:szCs w:val="1"/>
                <w:color w:val="auto"/>
              </w:rPr>
            </w:pPr>
          </w:p>
        </w:tc>
      </w:tr>
      <w:tr>
        <w:trPr>
          <w:trHeight w:val="171"/>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period</w:t>
            </w:r>
          </w:p>
        </w:tc>
        <w:tc>
          <w:tcPr>
            <w:tcW w:w="10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February 28, 2021</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265,506,243</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1,557,994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(12,312)</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(521,114)</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65,083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1,089,678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2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May 31, 2021</w:t>
            </w: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446,440,641</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46</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4,792,406</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152,668</w:t>
            </w: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(486,050)</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6,243</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4,465,313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line="160" w:lineRule="exact"/>
              <w:rPr>
                <w:sz w:val="20"/>
                <w:szCs w:val="20"/>
                <w:color w:val="auto"/>
              </w:rPr>
            </w:pPr>
            <w:r>
              <w:rPr>
                <w:rFonts w:ascii="Times New Roman" w:cs="Times New Roman" w:eastAsia="Times New Roman" w:hAnsi="Times New Roman"/>
                <w:sz w:val="14"/>
                <w:szCs w:val="14"/>
                <w:color w:val="auto"/>
              </w:rPr>
              <w:t>Third party contribution to Superhero</w:t>
            </w: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620" w:type="dxa"/>
            <w:vAlign w:val="bottom"/>
            <w:vMerge w:val="continue"/>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52,995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52,995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Acquisition LP</w:t>
            </w: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 issuance - options exercised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417,489</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 issuance - RSUs exercised</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3,665,337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62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Shares effectively repurchased for</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(5,944)</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(5,944)</w:t>
            </w:r>
          </w:p>
        </w:tc>
        <w:tc>
          <w:tcPr>
            <w:tcW w:w="0" w:type="dxa"/>
            <w:vAlign w:val="bottom"/>
          </w:tcPr>
          <w:p>
            <w:pPr>
              <w:spacing w:after="0"/>
              <w:rPr>
                <w:sz w:val="1"/>
                <w:szCs w:val="1"/>
                <w:color w:val="auto"/>
              </w:rPr>
            </w:pPr>
          </w:p>
        </w:tc>
      </w:tr>
      <w:tr>
        <w:trPr>
          <w:trHeight w:val="171"/>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withholding tax</w:t>
            </w:r>
          </w:p>
        </w:tc>
        <w:tc>
          <w:tcPr>
            <w:tcW w:w="10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2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Comprehensive income (loss) for the</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(101,421)</w:t>
            </w:r>
          </w:p>
        </w:tc>
        <w:tc>
          <w:tcPr>
            <w:tcW w:w="10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(41,649)</w:t>
            </w:r>
          </w:p>
        </w:tc>
        <w:tc>
          <w:tcPr>
            <w:tcW w:w="12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7,045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(136,025)</w:t>
            </w:r>
          </w:p>
        </w:tc>
        <w:tc>
          <w:tcPr>
            <w:tcW w:w="0" w:type="dxa"/>
            <w:vAlign w:val="bottom"/>
          </w:tcPr>
          <w:p>
            <w:pPr>
              <w:spacing w:after="0"/>
              <w:rPr>
                <w:sz w:val="1"/>
                <w:szCs w:val="1"/>
                <w:color w:val="auto"/>
              </w:rPr>
            </w:pPr>
          </w:p>
        </w:tc>
      </w:tr>
      <w:tr>
        <w:trPr>
          <w:trHeight w:val="171"/>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period</w:t>
            </w:r>
          </w:p>
        </w:tc>
        <w:tc>
          <w:tcPr>
            <w:tcW w:w="10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62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Balance at August 31, 2021</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450,523,467</w:t>
            </w:r>
          </w:p>
        </w:tc>
        <w:tc>
          <w:tcPr>
            <w:tcW w:w="2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w:t>
            </w:r>
          </w:p>
        </w:tc>
        <w:tc>
          <w:tcPr>
            <w:tcW w:w="2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4,795,879</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51,247</w:t>
            </w:r>
          </w:p>
        </w:tc>
        <w:tc>
          <w:tcPr>
            <w:tcW w:w="20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(527,699)</w:t>
            </w:r>
          </w:p>
        </w:tc>
        <w:tc>
          <w:tcPr>
            <w:tcW w:w="2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66,283</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4,385,756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Share issuance - Superhero Acquisition LP</w:t>
            </w:r>
          </w:p>
        </w:tc>
        <w:tc>
          <w:tcPr>
            <w:tcW w:w="10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9,817,061</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117,804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117,804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 issuance - DDH note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2,677,596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28,560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(28,560)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 issuance - options exercised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98,044</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4,623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 issuance - RSUs exercised</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470,324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62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Shares effectively repurchased for</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(2,742)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(2,742)</w:t>
            </w:r>
          </w:p>
        </w:tc>
        <w:tc>
          <w:tcPr>
            <w:tcW w:w="0" w:type="dxa"/>
            <w:vAlign w:val="bottom"/>
          </w:tcPr>
          <w:p>
            <w:pPr>
              <w:spacing w:after="0"/>
              <w:rPr>
                <w:sz w:val="1"/>
                <w:szCs w:val="1"/>
                <w:color w:val="auto"/>
              </w:rPr>
            </w:pPr>
          </w:p>
        </w:tc>
      </w:tr>
      <w:tr>
        <w:trPr>
          <w:trHeight w:val="171"/>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withholding tax</w:t>
            </w:r>
          </w:p>
        </w:tc>
        <w:tc>
          <w:tcPr>
            <w:tcW w:w="10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 issuance - legal settlement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215,901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8,253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Comprehensive income (loss) for the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(41,652)</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(1,022)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(42,875)</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period</w:t>
            </w: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November 30, 2021</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463,802,393</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4,954,547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9,595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(527,900)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36,701</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4,472,989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Share issuance - Breckenridge Acquisition</w:t>
            </w: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20" w:type="dxa"/>
            <w:vAlign w:val="bottom"/>
            <w:vMerge w:val="continue"/>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12,540,479</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114,066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114,068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 issuance - legal settlement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2,743,485</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 issuance - options exercised</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190,620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 issuance - RSUs exercised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170,928</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6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Share issuance - purchase of capital and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1,289,628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9,355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Comprehensive income (loss) for the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(8,585)</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43,190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(2,928)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31,677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period</w:t>
            </w: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February 28, 2022</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480,737,533</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5,110,892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1,010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(484,710)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33,773</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4,661,013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unaudited)</w:t>
      </w:r>
    </w:p>
    <w:p>
      <w:pPr>
        <w:spacing w:after="0" w:line="119"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ind w:left="8820"/>
        <w:spacing w:after="0"/>
        <w:rPr>
          <w:sz w:val="20"/>
          <w:szCs w:val="20"/>
          <w:color w:val="auto"/>
        </w:rPr>
      </w:pPr>
      <w:r>
        <w:rPr>
          <w:rFonts w:ascii="Times New Roman" w:cs="Times New Roman" w:eastAsia="Times New Roman" w:hAnsi="Times New Roman"/>
          <w:sz w:val="14"/>
          <w:szCs w:val="14"/>
          <w:b w:val="1"/>
          <w:bCs w:val="1"/>
          <w:color w:val="auto"/>
        </w:rPr>
        <w:t>ended February 28,</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used in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(369,636)</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for: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 recovery</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(17,296)</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(35,444)</w:t>
            </w: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Unrealized foreign exchange loss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Gain on sale of capital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(631)</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 valuation write down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non-cash items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(gain) on long-term investments &amp; equity investments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(gain) on derivative instruments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(210,653)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283,878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(29,065)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Transaction costs associated with business acquisitions</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non-cash working capital:</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(17,048)</w:t>
            </w: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(953)</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(16,512)</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(15,829)</w:t>
            </w: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(57,947)</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(9,114)</w:t>
            </w:r>
          </w:p>
        </w:tc>
      </w:tr>
      <w:tr>
        <w:trPr>
          <w:trHeight w:val="22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(156,738)</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in capital and intangible assets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(28,470)</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(33,931)</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disposal of capital and intangible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Promissory notes advances</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(2,419)</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Repayment of notes receivable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disposal of long-term investments and equity investees</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acquired (paid) on business acquisitions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(285,800)</w:t>
            </w:r>
          </w:p>
        </w:tc>
      </w:tr>
      <w:tr>
        <w:trPr>
          <w:trHeight w:val="22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(16,618)</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(303,082)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(used in) provided by financing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 capital issued, net of cash issuance costs</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(payment) from warrants and options exercised</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(3,149)</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(34,570)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(5,271)</w:t>
            </w: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(4,672)</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(749)</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Increase in bank indebtedness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(433)</w:t>
            </w: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 paid to NCI</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(11,855)</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(33,612)</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187,184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Effect of foreign exchange on cash and cash equivalents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(209,252)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(150,055)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488,466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360,646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279,214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210,591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2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Tilray Brands, Inc., and its wholly owned subsidiaries (collectively “Tilray”, the “Company”, “we”, or “us”) is a leading global cannabis-lifestyle and consumer packaged goods company headquartered in Leamington, Ontario, Canada, with operations in Canada, the United States, Europe, Australia, New Zealand and Latin America that is changing people’s lives for the better – one person at a time – by inspiring and empowering the worldwide community to live their very best life by providing them with products that meet the needs of their mind, body, and soul and invoke a sense of wellbeing. Tilray’s mission is to be the trusted partner for its patients and consumers by providing them with a cultivated experience and health and wellbeing through high-quality, differentiated brands and innovative products. A pioneer in cannabis research, cultivation and distribution, Tilray’s production platform supports over 20 brands in over 20 countries, including comprehensive cannabis offerings, hemp-based foods, and alcoholic beverages.</w:t>
      </w:r>
    </w:p>
    <w:p>
      <w:pPr>
        <w:spacing w:after="0" w:line="18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On April 30, 2021, Tilray acquired all of the issued and outstanding common shares of Aphria Inc. (“Aphria”), an international organization focused on building a global cannabis-lifestyle consumer packaged goods company in addition to its businesses in the marketing and manufacturing beverage alcohol products in the United States, and in the distribution of (non-Cannabis) pharmaceutical products in Germany and Argentina, pursuant to a plan of arrangement (the “Arrangement”) under the Business Corporations Act (Ontario).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12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(the “financial statements”) reflect the accounts of the Company. The financial statements were prepared in accordance with generally accepted accounting principles in the United States of America (“GAAP”) and pursuant to the rules and regulations of the United States Securities and Exchange Commission (“SEC”) for interim financial information. The information included in this Form 10-Q should be read in conjunction with the audited consolidated financial statements included in the Company’s Annual Report on Form 10-K for the year ended May 31, 2021 (the “Annual Financial Statements”). These financial statements reflect all adjustments, which, in the opinion of management, are necessary for a fair presentation of the results for the interim periods presented. Interim results are not necessarily indicative of results for a full year. The Company’s balance sheet in these interim financial statements was derived from the audited Annual Financial Statements but does not contain all of the footnote disclosures from the Annual Financial Statements.</w:t>
      </w:r>
    </w:p>
    <w:p>
      <w:pPr>
        <w:spacing w:after="0" w:line="8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the going concern basis which assumes that the Company will continue in operation for the foreseeable future and, accordingly, will be able to realize its assets and discharge its liabilities in the normal course of operations as they come due, under the historical cost convention except for certain financial instruments that are measured at fair value, as detailed in the Company’s accounting policies.</w:t>
      </w:r>
    </w:p>
    <w:p>
      <w:pPr>
        <w:spacing w:after="0" w:line="18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As a result of the April 30, 2021 business combination with Aphria, the reported results do not include the results of operations of Tilray and its subsidiaries on and prior to April 30, 2021, in accordance with the accounting treatment applicable to the Arrangement. Accordingly, comparisons between the Company's results for the three and nine months ended February 28, 2022 and prior periods may not be meaningful.</w:t>
      </w:r>
    </w:p>
    <w:p>
      <w:pPr>
        <w:spacing w:after="0" w:line="6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Information about the accounting treatment of the Arrangement including details of the transaction, determination of the total fair value consideration, and allocation of the purchase price, are included in the Company's Annual Report for the year ended May 31, 2021 filed in Form 10-K with the SEC on July 28, 2021 (“Annual Report”).</w:t>
      </w:r>
    </w:p>
    <w:p>
      <w:pPr>
        <w:spacing w:after="0" w:line="176"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purchase price allocation for the Arrangement is open for adjustments and has been allocated based on estimated fair values of the assets acquired and liabilities assumed at the acquisition date. In the event that more information is obtained, the purchase price allocation may change. Any future adjustments to the purchase price allocation, including changes within identifiable intangible assets or estimation uncertainty impacted by market conditions, may impact future net earnings. The purchase price allocation adjustments can be made through the end of the measurement period, which is not to exceed one year from the acquisition date.</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11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Subsidiaries are entities controlled by the Company. Control exists when the Company either has a controlling voting interest or is the primary beneficiary of a variable interest entity. The financial statements of subsidiaries are included in the consolidated financial statements from the date that control commences until the date that control ceases. A complete list of our subsidiaries that existed prior to our most recent year end is included in the Annual Report.</w:t>
      </w:r>
    </w:p>
    <w:p>
      <w:pPr>
        <w:spacing w:after="0" w:line="207"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On August 13, 2021, the Company and other unrelated persons formed Superhero Acquisition L.P., a Delaware limited partnership (“SH Acquisition”), for the purpose of acquiring certain senior secured convertible notes in the principal amount of approximately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$165.8 million (the “MM Notes”) originally issued by MedMen Enterprises Inc. (“MedMen”) together with certain associated warrants (the “MM Warrants”) to acquire Class B subordinate voting shares of Medmen (the “MedMen Shares”) from certain funds affiliated with Gotham Green Partners (the “MM Transaction”). The MM Notes mature on August 17, 2028. On August 17, 2021, SH Acquisition completed the MM Transaction and issued </w:t>
      </w:r>
      <w:r>
        <w:rPr>
          <w:rFonts w:ascii="Times New Roman" w:cs="Times New Roman" w:eastAsia="Times New Roman" w:hAnsi="Times New Roman"/>
          <w:sz w:val="18"/>
          <w:szCs w:val="18"/>
          <w:color w:val="auto"/>
          <w:highlight w:val="white"/>
        </w:rPr>
        <w:t>9,817,061 shares of its common stock as partial consideration for the MM Transaction. The balance of the consideration for the MM Transaction was paid in cash by the other unrelated investors of SH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6588760</wp:posOffset>
            </wp:positionH>
            <wp:positionV relativeFrom="paragraph">
              <wp:posOffset>-419735</wp:posOffset>
            </wp:positionV>
            <wp:extent cx="54864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8640" cy="128905"/>
                    </a:xfrm>
                    <a:prstGeom prst="rect">
                      <a:avLst/>
                    </a:prstGeom>
                    <a:noFill/>
                  </pic:spPr>
                </pic:pic>
              </a:graphicData>
            </a:graphic>
          </wp:anchor>
        </w:drawing>
      </w:r>
    </w:p>
    <w:p>
      <w:pPr>
        <w:spacing w:after="0" w:line="20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In connection with its issuance of 9,817,061 shares of its common stock, the Company’s received an interest in SH Acquisition equal to approximately 68% of the interests in SH Acquisition and, therefore, indirectly acquired a right to 68% of the MM Notes and related MM Warrants, which were convertible into approximately 21% of the MedMen Shares outstanding (if such MM Notes and MM Warrants were converted and exercised upon closing the MM Transaction). In addition, interest on the principal amount of the MM Notes shall accrue at an interest rate of LIBOR plus 6%, with a LIBOR floor of 2.5% and, any accrued interest shall be payment-in-kind at a price equal to the trailing 30-day volume weighted average price of the MedMen Shares, as and when such payment-in-kind interest becomes due and payable. SH Acquisition was also granted “top-up” rights enabling it (and its limited partners) to maintain its percentage ownership (on an “as-converted” basis) in the event that MedMen issues equity securities upon conversion of convertible securities that may be issued by MedMen. Tilray’s ability to convert the Notes and exercise the Warrants is dependent upon U.S. federal legalization of cannabis (a “Triggering Event”) or Tilray’s waiver of such requirement as well as any additional regulatory approvals.</w:t>
      </w:r>
    </w:p>
    <w:p>
      <w:pPr>
        <w:spacing w:after="0" w:line="21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 xml:space="preserve">Under the SH Acquisition partnership agreement, certain material events described therein require the approval of the Company, and, upon a Triggering Event, the Company has the ability to appoint two of the three members of the board of directors of the general partner of SH Acquisition. As a result, we consolidated SH Acquisition as a subsidiary of Tilray beginning on August 17, 2021. Additional information about the MM Transaction is included in Note 7 </w:t>
      </w:r>
      <w:r>
        <w:rPr>
          <w:rFonts w:ascii="Times New Roman" w:cs="Times New Roman" w:eastAsia="Times New Roman" w:hAnsi="Times New Roman"/>
          <w:sz w:val="18"/>
          <w:szCs w:val="18"/>
          <w:i w:val="1"/>
          <w:iCs w:val="1"/>
          <w:color w:val="auto"/>
        </w:rPr>
        <w:t>Long-term investments.</w:t>
      </w:r>
    </w:p>
    <w:p>
      <w:pPr>
        <w:spacing w:after="0" w:line="26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On December 1, 2021, the Company acquired all the membership interests in Cheese Grits, LLC, a Georgia limited liability company that owns the SweetWater Brewing Company brewery and taproom in Atlanta, Georgia (the “SW Acquisition”), which facility was previously leased to the Company. Cheese Grits, LLC, was owned by certain former equity holders of SweetWater and current employees. As consideration for the SW Acquisition, the Company paid a purchase price at closing equal to $30,665, which purchase price was satisfied through the assumption of outstanding debt as well as the issuance of 843,687 shares of Tilray Class 2 common stock with a fair value of $8,606. On December 17, 2021, the Company issued an additional 82,224 Class 2 common shares with a fair value at issuance of $776 to satisfy its contractual obligations under the SW Acquisition. As a result of the SW Acquisition, Cheese Grits, LLC has been consolidated as a subsidiary of Tilray beginning on December 1, 2021. The SW Acquisition did not meet the definition of a business under US GAAP and has been treated as an asset acquisition.</w:t>
      </w:r>
    </w:p>
    <w:p>
      <w:pPr>
        <w:spacing w:after="0" w:line="259"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 xml:space="preserve">On December 7, 2021 the Company acquired all the membership interests in Double Diamond Distillery LLC (d/b/a Breckenridge Distillery), a Colorado limited liability company and a leading distilled spirits brand located in Breckenridge, Colorado, known for its award-winning bourbon whiskey collection and innovative craft spirits portfolio (the “Breckenridge Acquisition”). As consideration for the Breckenridge Acquisition, the Company paid a purchase price in an aggregate amount equal to $114,068, which purchase price was satisfied through the issuance of 12,540,479 shares of Tilray’s Class 2 common shares. As a result, we consolidated Double Diamond Distillery LLC as a subsidiary of Tilray beginning December 7, 2021. Additional information about the Breckenridge Acquisition is included in Note 6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Long-term investments</w:t>
      </w:r>
    </w:p>
    <w:p>
      <w:pPr>
        <w:spacing w:after="0" w:line="227"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Debt securities are classified as available-for-sale and are recorded at fair value and are subject to impairment testing. Other than impairment losses, unrealized gains and losses during the period, net of the related tax effect, are excluded from income and reflected in other comprehensive income (loss), and the cumulative effect is reported as a separate component of stockholders’ equity until realized. Upon sale, realized gain and losses are reported in net income. Debt securities are impaired when a decline in fair value is determined to be other-than-temporary. If the cost of an investment exceeds its fair value, the Company evaluates, among other factors, general market conditions, credit quality of debt instrument issuers, and the duration and extent to which the fair value is less than cost. Once a decline in fair value is determined to be other-than-temporary, an impairment charge is recorded in the statements of net loss and a new cost basis for the investment is established. The Company also evaluates whether there is a plan to sell the security or it is more likely than not that the Company will be required to sell the security before recovery. If neither of the conditions exist, then only the portion of the impairment loss attributable to credit loss is recorded in the statements of net loss and the remaining amount is recorded in other comprehensive income (loss).</w:t>
      </w:r>
    </w:p>
    <w:p>
      <w:pPr>
        <w:spacing w:after="0" w:line="194"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Investments in equity securities of entities over which the Company does not have a controlling financial interest or significant influence are accounted for at fair value. Equity investments without readily determinable fair values are measured at cost with adjustments for observable changes in price or impairments (referred to as the “measurement alternative”). In applying the measurement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alternative, the Company performs a qualitative assessment on a quarterly basis and recognizes an impairment if there are sufficient indicators that the fair value of the equity investments are less than carrying values. Changes in value are recorded in the statement of net loss and comprehensive loss, within the line, “Non-operating income (expense)”.</w:t>
      </w:r>
    </w:p>
    <w:p>
      <w:pPr>
        <w:spacing w:after="0" w:line="176"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Investments in entities over which the Company does not have a controlling financial interest but has significant influence, are accounted for using the equity method, with the Company’s share of earnings or losses reported in earnings or losses from equity method investments on the statements of net loss and comprehensive loss. Equity method investments are recorded at cost, plus the Company’s share of undistributed earnings or losses, and impairment, if any, within “Interest in equity investees” on the balance sheets. The Company assesses investments in equity method investments when events or circumstances indicate that the carrying amount of the investment may be impaired. If it is determined that the current fair value of an equity method investment is less than the carrying value of the investment, the Company will assess if the shortfall is other than temporary (OTTI). Evidence of a loss in value might include, but would not necessarily be limited to, absence of an ability to recover the carrying amount of the investment or inability of the equity investee to sustain an earnings capacity that would justify the carrying amount of the investment. Once a determination is made that an OTTI exists, the investment is written down to its fair value in accordance with ASC 820 at the reporting date, which establishes a new cost basis.</w:t>
      </w:r>
    </w:p>
    <w:p>
      <w:pPr>
        <w:spacing w:after="0" w:line="2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computed by dividing reported net income (loss) by the weighted average number of common shares outstanding during the period. Diluted earnings (loss) per share is computed by dividing reported net income (loss) by the sum of the weighted average number of common shares and the number of dilutive potential common share equivalents outstanding during the period. Potential dilutive common share equivalents consist of the incremental common shares issuable upon the exercise of vested share options, warrants and RSUs and the incremental shares issuable upon conversion of the convertible debentures and similar instruments.</w:t>
      </w:r>
    </w:p>
    <w:p>
      <w:pPr>
        <w:spacing w:after="0" w:line="183"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In computing diluted earnings (loss) per share, common share equivalents are not considered in periods in which a net loss is reported, as the inclusion of the common share equivalents would be anti-dilutive. For the three and nine-months ended February 28, 2022, the dilutive potential common share equivalents outstanding consist of the following:1,870,386 and 2,256,567 common shares from RSUs, nil and 901,781 common shares from share options, 1,007,654 and 3,119,734 common shares from warrants and nil and 1,468,878 common shares from convertible debentures, respectively.</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117"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Debt—Debt with Conversion and Other Options (Subtopic 470-20) and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amends and simplifies existing guidance in an effort to reduce the complexity of accounting for convertible instruments and to provide financial statement users with more meaningful information. ASU 2020-06 is effective for the Company beginning June 1, 2022. This update may be applied retrospectively or on a modified retrospective basis with the cumulative effect recognized as an adjustment to the opening balance of retained earnings on the date of adoption. The Company is currently evaluating the effect of adopting this ASU.</w:t>
      </w:r>
    </w:p>
    <w:p>
      <w:pPr>
        <w:spacing w:after="0" w:line="7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Modifications and Extinguishments (Subtopic 470-50), Compensation—Stock Compensation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718), and Derivatives and Hedging—Contracts in Entity’s Own Equity (Subtopic 815-40) </w:t>
      </w:r>
      <w:r>
        <w:rPr>
          <w:rFonts w:ascii="Times New Roman" w:cs="Times New Roman" w:eastAsia="Times New Roman" w:hAnsi="Times New Roman"/>
          <w:sz w:val="18"/>
          <w:szCs w:val="18"/>
          <w:color w:val="auto"/>
        </w:rPr>
        <w:t>(“ASU 2021-04”), which amends existing guidance for earnings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share (EPS) in accordance with Topic 260. ASU 2021-04 is effective for the Company beginning June 1, 2022. This update should be applied prospectively on or after the effective date of the amendments. The Company is currently evaluating the effect of adopting this ASU.</w:t>
      </w:r>
    </w:p>
    <w:p>
      <w:pPr>
        <w:spacing w:after="0" w:line="72"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(Subtopic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(“ASU 2021-08”), which is intended to improve the accounting for acquired revenue contracts with customers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by addressing diversity in practice and inconsistency. ASU 2021-08 is effective for the Company beginning June 1, 2023. This update should be applied prospectively on or after the effective date of the amendments. The Company is currently evaluating the effect of adopting this ASU.</w:t>
      </w:r>
    </w:p>
    <w:p>
      <w:pPr>
        <w:spacing w:after="0" w:line="72"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w:t>
      </w:r>
      <w:r>
        <w:rPr>
          <w:rFonts w:ascii="Times New Roman" w:cs="Times New Roman" w:eastAsia="Times New Roman" w:hAnsi="Times New Roman"/>
          <w:sz w:val="18"/>
          <w:szCs w:val="18"/>
          <w:i w:val="1"/>
          <w:iCs w:val="1"/>
          <w:color w:val="auto"/>
        </w:rPr>
        <w:t>Government Assistance (Topic 832), Disclosures by Business Entities about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Assistance, </w:t>
      </w:r>
      <w:r>
        <w:rPr>
          <w:rFonts w:ascii="Times New Roman" w:cs="Times New Roman" w:eastAsia="Times New Roman" w:hAnsi="Times New Roman"/>
          <w:sz w:val="18"/>
          <w:szCs w:val="18"/>
          <w:color w:val="auto"/>
        </w:rPr>
        <w:t>which is intended to increase the transparency of government assistance including the disclosure of (1) the types of assistance, (2) an entity’s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the assistance, and (3) the effect of the assistance on an entity’s financial statements. ASU 2021-10 is effective for the Company beginning June 1, 2022. This update should be applied prospectively on or after the effective date of the amendments. The Company is currently evaluating the effect of adopting this ASU.</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i w:val="1"/>
          <w:iCs w:val="1"/>
          <w:color w:val="auto"/>
        </w:rPr>
        <w:t>New accounting pronouncements recently adopted</w:t>
      </w:r>
    </w:p>
    <w:p>
      <w:pPr>
        <w:spacing w:after="0" w:line="117"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Income Taxes (Topic 740)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The standard is effective for annual reporting periods beginning after December 15, 2020 and including interim periods within those fiscal years. The Company adopted the ASU beginning June 1, 2021 and the adoption of ASU 2019-12 did not have a material impact on our consolidated financial statements.</w:t>
      </w:r>
    </w:p>
    <w:p>
      <w:pPr>
        <w:spacing w:after="0" w:line="183"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 xml:space="preserve">In January 2020, the FASB issued ASU 2020-01, </w:t>
      </w:r>
      <w:r>
        <w:rPr>
          <w:rFonts w:ascii="Times New Roman" w:cs="Times New Roman" w:eastAsia="Times New Roman" w:hAnsi="Times New Roman"/>
          <w:sz w:val="18"/>
          <w:szCs w:val="18"/>
          <w:i w:val="1"/>
          <w:iCs w:val="1"/>
          <w:color w:val="auto"/>
        </w:rPr>
        <w:t>Investments – Equity Securities (Topic 321), Investments - Equity Method and Joint Ventures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323), and Derivatives and Hedging (Topic 815) </w:t>
      </w:r>
      <w:r>
        <w:rPr>
          <w:rFonts w:ascii="Times New Roman" w:cs="Times New Roman" w:eastAsia="Times New Roman" w:hAnsi="Times New Roman"/>
          <w:sz w:val="18"/>
          <w:szCs w:val="18"/>
          <w:color w:val="auto"/>
        </w:rPr>
        <w:t>(“ASU 2020-01”), which is intended to clarify the interaction of the accounting for 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Topic 321 and investments accounted for under the equity method of accounting in Topic 323 and the accounting for certain forward contracts and purchased options accounted for under Topic 815. The Company adopted the ASU beginning June 1, 2021 and the adoption of ASU 2020-01 did not have a material impact on our consolidated financial statements.</w:t>
      </w: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3. 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320" w:type="dxa"/>
            <w:vAlign w:val="bottom"/>
          </w:tcPr>
          <w:p>
            <w:pPr>
              <w:spacing w:after="0"/>
              <w:rPr>
                <w:sz w:val="13"/>
                <w:szCs w:val="13"/>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May 31,</w:t>
            </w:r>
          </w:p>
        </w:tc>
      </w:tr>
      <w:tr>
        <w:trPr>
          <w:trHeight w:val="173"/>
        </w:trPr>
        <w:tc>
          <w:tcPr>
            <w:tcW w:w="77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r>
      <w:tr>
        <w:trPr>
          <w:trHeight w:val="22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23,083</w:t>
            </w: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Dried cannabis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118,269</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Cannabis trim</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Cannabis derivatives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24,158</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Cannabis vapes</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Packaging and other inventory items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31,462</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Wellness inventory</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15,171</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Beverage alcohol inventory</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 inventory</w:t>
            </w: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24,409</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32,162</w:t>
            </w:r>
          </w:p>
        </w:tc>
        <w:tc>
          <w:tcPr>
            <w:tcW w:w="100" w:type="dxa"/>
            <w:vAlign w:val="bottom"/>
            <w:shd w:val="clear" w:color="auto" w:fill="CFF0FC"/>
          </w:tcPr>
          <w:p>
            <w:pPr>
              <w:spacing w:after="0"/>
              <w:rPr>
                <w:sz w:val="19"/>
                <w:szCs w:val="19"/>
                <w:color w:val="auto"/>
              </w:rPr>
            </w:pP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273,292</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256,429</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February 28, 2022, the Company recorded $0 and $12,000 in our cannabis segment of charges related to inventory write downs as a component of cost of goods sold (February 28, 2021-$0 and $0).</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4. Capital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Capital assets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320" w:type="dxa"/>
            <w:vAlign w:val="bottom"/>
          </w:tcPr>
          <w:p>
            <w:pPr>
              <w:spacing w:after="0"/>
              <w:rPr>
                <w:sz w:val="13"/>
                <w:szCs w:val="13"/>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0" w:type="dxa"/>
            <w:vAlign w:val="bottom"/>
          </w:tcPr>
          <w:p>
            <w:pPr>
              <w:spacing w:after="0"/>
              <w:rPr>
                <w:sz w:val="1"/>
                <w:szCs w:val="1"/>
                <w:color w:val="auto"/>
              </w:rPr>
            </w:pPr>
          </w:p>
        </w:tc>
      </w:tr>
      <w:tr>
        <w:trPr>
          <w:trHeight w:val="173"/>
        </w:trPr>
        <w:tc>
          <w:tcPr>
            <w:tcW w:w="3940" w:type="dxa"/>
            <w:vAlign w:val="bottom"/>
            <w:tcBorders>
              <w:bottom w:val="single" w:sz="8" w:color="CFF0FC"/>
            </w:tcBorders>
          </w:tcPr>
          <w:p>
            <w:pPr>
              <w:spacing w:after="0"/>
              <w:rPr>
                <w:sz w:val="15"/>
                <w:szCs w:val="15"/>
                <w:color w:val="auto"/>
              </w:rPr>
            </w:pPr>
          </w:p>
        </w:tc>
        <w:tc>
          <w:tcPr>
            <w:tcW w:w="37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37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Production facility</w:t>
            </w: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441,593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w:t>
            </w:r>
          </w:p>
        </w:tc>
        <w:tc>
          <w:tcPr>
            <w:tcW w:w="3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258,747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ROU-assets under finance lease</w:t>
            </w:r>
          </w:p>
        </w:tc>
        <w:tc>
          <w:tcPr>
            <w:tcW w:w="3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spacing w:after="0"/>
              <w:rPr>
                <w:sz w:val="19"/>
                <w:szCs w:val="19"/>
                <w:color w:val="auto"/>
              </w:rPr>
            </w:pPr>
          </w:p>
        </w:tc>
        <w:tc>
          <w:tcPr>
            <w:tcW w:w="37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750,550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727,574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(147,078)</w:t>
            </w:r>
          </w:p>
        </w:tc>
        <w:tc>
          <w:tcPr>
            <w:tcW w:w="3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(76,876)</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7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603,472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650,698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78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94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5.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consisted of the following items: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Intellectual</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property,</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2"/>
        </w:trPr>
        <w:tc>
          <w:tcPr>
            <w:tcW w:w="4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&amp; distribution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permits &amp;</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compete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know how</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intangible</w:t>
            </w:r>
          </w:p>
        </w:tc>
      </w:tr>
      <w:tr>
        <w:trPr>
          <w:trHeight w:val="173"/>
        </w:trPr>
        <w:tc>
          <w:tcPr>
            <w:tcW w:w="4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channel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applications</w:t>
            </w: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brands</w:t>
            </w:r>
          </w:p>
        </w:tc>
        <w:tc>
          <w:tcPr>
            <w:tcW w:w="16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assets</w:t>
            </w: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At May 31, 2021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239,810</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414,930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990,917</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1,658,110</w:t>
            </w:r>
          </w:p>
        </w:tc>
        <w:tc>
          <w:tcPr>
            <w:tcW w:w="100" w:type="dxa"/>
            <w:vAlign w:val="bottom"/>
          </w:tcPr>
          <w:p>
            <w:pPr>
              <w:spacing w:after="0"/>
              <w:rPr>
                <w:sz w:val="19"/>
                <w:szCs w:val="19"/>
                <w:color w:val="auto"/>
              </w:rPr>
            </w:pPr>
          </w:p>
        </w:tc>
      </w:tr>
      <w:tr>
        <w:trPr>
          <w:trHeight w:val="229"/>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Additions</w:t>
            </w: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FF0FC"/>
          </w:tcPr>
          <w:p>
            <w:pPr>
              <w:spacing w:after="0"/>
              <w:rPr>
                <w:sz w:val="19"/>
                <w:szCs w:val="19"/>
                <w:color w:val="auto"/>
              </w:rPr>
            </w:pPr>
          </w:p>
        </w:tc>
      </w:tr>
      <w:tr>
        <w:trPr>
          <w:trHeight w:val="230"/>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foreign exchange</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(17,346)</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(51,738)</w:t>
            </w: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(79,043)</w:t>
            </w: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August 31, 2021</w:t>
            </w:r>
          </w:p>
        </w:tc>
        <w:tc>
          <w:tcPr>
            <w:tcW w:w="1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230,510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397,766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940,035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1,580,105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r>
      <w:tr>
        <w:trPr>
          <w:trHeight w:val="229"/>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Effect of foreign exchange</w:t>
            </w: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(6,240)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(11,776)</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(10,099)</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(28,115)</w:t>
            </w:r>
          </w:p>
        </w:tc>
      </w:tr>
      <w:tr>
        <w:trPr>
          <w:trHeight w:val="223"/>
        </w:trPr>
        <w:tc>
          <w:tcPr>
            <w:tcW w:w="404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8"/>
                <w:szCs w:val="18"/>
                <w:color w:val="auto"/>
              </w:rPr>
              <w:t>At November 30, 2021</w:t>
            </w:r>
          </w:p>
        </w:tc>
        <w:tc>
          <w:tcPr>
            <w:tcW w:w="1160" w:type="dxa"/>
            <w:vAlign w:val="bottom"/>
            <w:tcBorders>
              <w:bottom w:val="single" w:sz="8" w:color="CCEC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224,270</w:t>
            </w:r>
          </w:p>
        </w:tc>
        <w:tc>
          <w:tcPr>
            <w:tcW w:w="140" w:type="dxa"/>
            <w:vAlign w:val="bottom"/>
            <w:tcBorders>
              <w:bottom w:val="single" w:sz="8" w:color="CCECFF"/>
            </w:tcBorders>
          </w:tcPr>
          <w:p>
            <w:pPr>
              <w:spacing w:after="0"/>
              <w:rPr>
                <w:sz w:val="19"/>
                <w:szCs w:val="19"/>
                <w:color w:val="auto"/>
              </w:rPr>
            </w:pPr>
          </w:p>
        </w:tc>
        <w:tc>
          <w:tcPr>
            <w:tcW w:w="80" w:type="dxa"/>
            <w:vAlign w:val="bottom"/>
            <w:tcBorders>
              <w:bottom w:val="single" w:sz="8" w:color="CCEC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386,016</w:t>
            </w:r>
          </w:p>
        </w:tc>
        <w:tc>
          <w:tcPr>
            <w:tcW w:w="200" w:type="dxa"/>
            <w:vAlign w:val="bottom"/>
            <w:tcBorders>
              <w:bottom w:val="single" w:sz="8" w:color="CCEC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140" w:type="dxa"/>
            <w:vAlign w:val="bottom"/>
            <w:tcBorders>
              <w:bottom w:val="single" w:sz="8" w:color="CCECFF"/>
            </w:tcBorders>
          </w:tcPr>
          <w:p>
            <w:pPr>
              <w:spacing w:after="0"/>
              <w:rPr>
                <w:sz w:val="19"/>
                <w:szCs w:val="19"/>
                <w:color w:val="auto"/>
              </w:rPr>
            </w:pPr>
          </w:p>
        </w:tc>
        <w:tc>
          <w:tcPr>
            <w:tcW w:w="80" w:type="dxa"/>
            <w:vAlign w:val="bottom"/>
            <w:tcBorders>
              <w:bottom w:val="single" w:sz="8" w:color="CCEC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930,033</w:t>
            </w:r>
          </w:p>
        </w:tc>
        <w:tc>
          <w:tcPr>
            <w:tcW w:w="220" w:type="dxa"/>
            <w:vAlign w:val="bottom"/>
            <w:tcBorders>
              <w:bottom w:val="single" w:sz="8" w:color="CCEC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1,552,113</w:t>
            </w:r>
          </w:p>
        </w:tc>
        <w:tc>
          <w:tcPr>
            <w:tcW w:w="100" w:type="dxa"/>
            <w:vAlign w:val="bottom"/>
            <w:tcBorders>
              <w:bottom w:val="single" w:sz="8" w:color="CCECFF"/>
            </w:tcBorders>
          </w:tcPr>
          <w:p>
            <w:pPr>
              <w:spacing w:after="0"/>
              <w:rPr>
                <w:sz w:val="19"/>
                <w:szCs w:val="19"/>
                <w:color w:val="auto"/>
              </w:rPr>
            </w:pPr>
          </w:p>
        </w:tc>
      </w:tr>
      <w:tr>
        <w:trPr>
          <w:trHeight w:val="223"/>
        </w:trPr>
        <w:tc>
          <w:tcPr>
            <w:tcW w:w="40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8"/>
                <w:szCs w:val="18"/>
                <w:color w:val="auto"/>
              </w:rPr>
              <w:t>Additions</w:t>
            </w:r>
          </w:p>
        </w:tc>
        <w:tc>
          <w:tcPr>
            <w:tcW w:w="11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2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shd w:val="clear" w:color="auto" w:fill="CCECFF"/>
          </w:tcPr>
          <w:p>
            <w:pPr>
              <w:spacing w:after="0"/>
              <w:rPr>
                <w:sz w:val="19"/>
                <w:szCs w:val="19"/>
                <w:color w:val="auto"/>
              </w:rPr>
            </w:pPr>
          </w:p>
        </w:tc>
      </w:tr>
      <w:tr>
        <w:trPr>
          <w:trHeight w:val="230"/>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Business acquisition</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89,200</w:t>
            </w:r>
          </w:p>
        </w:tc>
        <w:tc>
          <w:tcPr>
            <w:tcW w:w="100" w:type="dxa"/>
            <w:vAlign w:val="bottom"/>
          </w:tcPr>
          <w:p>
            <w:pPr>
              <w:spacing w:after="0"/>
              <w:rPr>
                <w:sz w:val="19"/>
                <w:szCs w:val="19"/>
                <w:color w:val="auto"/>
              </w:rPr>
            </w:pPr>
          </w:p>
        </w:tc>
      </w:tr>
      <w:tr>
        <w:trPr>
          <w:trHeight w:val="229"/>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Effect of foreign exchange</w:t>
            </w:r>
          </w:p>
        </w:tc>
        <w:tc>
          <w:tcPr>
            <w:tcW w:w="1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100" w:type="dxa"/>
            <w:vAlign w:val="bottom"/>
            <w:shd w:val="clear" w:color="auto" w:fill="CFF0FC"/>
          </w:tcPr>
          <w:p>
            <w:pPr>
              <w:spacing w:after="0"/>
              <w:rPr>
                <w:sz w:val="19"/>
                <w:szCs w:val="19"/>
                <w:color w:val="auto"/>
              </w:rPr>
            </w:pPr>
          </w:p>
        </w:tc>
      </w:tr>
      <w:tr>
        <w:trPr>
          <w:trHeight w:val="223"/>
        </w:trPr>
        <w:tc>
          <w:tcPr>
            <w:tcW w:w="4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At February 28, 2022</w:t>
            </w:r>
          </w:p>
        </w:tc>
        <w:tc>
          <w:tcPr>
            <w:tcW w:w="1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236,960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390,322</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1,016,264</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1,655,354</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At May 31, 2021</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52,192</w:t>
            </w:r>
          </w:p>
        </w:tc>
        <w:tc>
          <w:tcPr>
            <w:tcW w:w="100" w:type="dxa"/>
            <w:vAlign w:val="bottom"/>
          </w:tcPr>
          <w:p>
            <w:pPr>
              <w:spacing w:after="0"/>
              <w:rPr>
                <w:sz w:val="19"/>
                <w:szCs w:val="19"/>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1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14,684</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25,099</w:t>
            </w:r>
          </w:p>
        </w:tc>
        <w:tc>
          <w:tcPr>
            <w:tcW w:w="100" w:type="dxa"/>
            <w:vAlign w:val="bottom"/>
            <w:shd w:val="clear" w:color="auto" w:fill="CFF0FC"/>
          </w:tcPr>
          <w:p>
            <w:pPr>
              <w:spacing w:after="0"/>
              <w:rPr>
                <w:sz w:val="19"/>
                <w:szCs w:val="19"/>
                <w:color w:val="auto"/>
              </w:rPr>
            </w:pPr>
          </w:p>
        </w:tc>
      </w:tr>
      <w:tr>
        <w:trPr>
          <w:trHeight w:val="223"/>
        </w:trPr>
        <w:tc>
          <w:tcPr>
            <w:tcW w:w="4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At August 31, 2021</w:t>
            </w:r>
          </w:p>
        </w:tc>
        <w:tc>
          <w:tcPr>
            <w:tcW w:w="1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77,291</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1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24,807</w:t>
            </w:r>
          </w:p>
        </w:tc>
        <w:tc>
          <w:tcPr>
            <w:tcW w:w="100" w:type="dxa"/>
            <w:vAlign w:val="bottom"/>
            <w:shd w:val="clear" w:color="auto" w:fill="CFF0FC"/>
          </w:tcPr>
          <w:p>
            <w:pPr>
              <w:spacing w:after="0"/>
              <w:rPr>
                <w:sz w:val="19"/>
                <w:szCs w:val="19"/>
                <w:color w:val="auto"/>
              </w:rPr>
            </w:pPr>
          </w:p>
        </w:tc>
      </w:tr>
      <w:tr>
        <w:trPr>
          <w:trHeight w:val="223"/>
        </w:trPr>
        <w:tc>
          <w:tcPr>
            <w:tcW w:w="4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At November 30, 2021</w:t>
            </w:r>
          </w:p>
        </w:tc>
        <w:tc>
          <w:tcPr>
            <w:tcW w:w="1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55,701</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102,098</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1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24,294</w:t>
            </w:r>
          </w:p>
        </w:tc>
        <w:tc>
          <w:tcPr>
            <w:tcW w:w="100" w:type="dxa"/>
            <w:vAlign w:val="bottom"/>
            <w:shd w:val="clear" w:color="auto" w:fill="CFF0FC"/>
          </w:tcPr>
          <w:p>
            <w:pPr>
              <w:spacing w:after="0"/>
              <w:rPr>
                <w:sz w:val="19"/>
                <w:szCs w:val="19"/>
                <w:color w:val="auto"/>
              </w:rPr>
            </w:pPr>
          </w:p>
        </w:tc>
      </w:tr>
      <w:tr>
        <w:trPr>
          <w:trHeight w:val="223"/>
        </w:trPr>
        <w:tc>
          <w:tcPr>
            <w:tcW w:w="4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At February 28, 2022</w:t>
            </w:r>
          </w:p>
        </w:tc>
        <w:tc>
          <w:tcPr>
            <w:tcW w:w="1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68,269</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126,392</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book value at May 31, 2021</w:t>
            </w:r>
          </w:p>
        </w:tc>
        <w:tc>
          <w:tcPr>
            <w:tcW w:w="1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413,763</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962,493</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1,605,918</w:t>
            </w:r>
          </w:p>
        </w:tc>
        <w:tc>
          <w:tcPr>
            <w:tcW w:w="100" w:type="dxa"/>
            <w:vAlign w:val="bottom"/>
            <w:shd w:val="clear" w:color="auto" w:fill="CFF0FC"/>
          </w:tcPr>
          <w:p>
            <w:pPr>
              <w:spacing w:after="0"/>
              <w:rPr>
                <w:sz w:val="19"/>
                <w:szCs w:val="19"/>
                <w:color w:val="auto"/>
              </w:rPr>
            </w:pPr>
          </w:p>
        </w:tc>
      </w:tr>
      <w:tr>
        <w:trPr>
          <w:trHeight w:val="223"/>
        </w:trPr>
        <w:tc>
          <w:tcPr>
            <w:tcW w:w="4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book value at August 31, 2021</w:t>
            </w:r>
          </w:p>
        </w:tc>
        <w:tc>
          <w:tcPr>
            <w:tcW w:w="1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202,742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396,483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896,927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1,502,814</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book value at November 30, 2021</w:t>
            </w:r>
          </w:p>
        </w:tc>
        <w:tc>
          <w:tcPr>
            <w:tcW w:w="1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384,611</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874,332</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1,450,015</w:t>
            </w:r>
          </w:p>
        </w:tc>
        <w:tc>
          <w:tcPr>
            <w:tcW w:w="100" w:type="dxa"/>
            <w:vAlign w:val="bottom"/>
            <w:shd w:val="clear" w:color="auto" w:fill="CFF0FC"/>
          </w:tcPr>
          <w:p>
            <w:pPr>
              <w:spacing w:after="0"/>
              <w:rPr>
                <w:sz w:val="19"/>
                <w:szCs w:val="19"/>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 at February 28, 2022</w:t>
            </w:r>
          </w:p>
        </w:tc>
        <w:tc>
          <w:tcPr>
            <w:tcW w:w="1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388,774</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947,995</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1,528,962</w:t>
            </w:r>
          </w:p>
        </w:tc>
        <w:tc>
          <w:tcPr>
            <w:tcW w:w="10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February 28, 2022, included in Licenses, permits &amp; applications is $388,360 of indefinite-lived intangible assets (May 31, 2021 - $412,000).</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carrying amount of goodwill:</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0" w:type="dxa"/>
            <w:vAlign w:val="bottom"/>
          </w:tcPr>
          <w:p>
            <w:pPr>
              <w:spacing w:after="0"/>
              <w:rPr>
                <w:sz w:val="1"/>
                <w:szCs w:val="1"/>
                <w:color w:val="auto"/>
              </w:rPr>
            </w:pPr>
          </w:p>
        </w:tc>
      </w:tr>
      <w:tr>
        <w:trPr>
          <w:trHeight w:val="173"/>
        </w:trPr>
        <w:tc>
          <w:tcPr>
            <w:tcW w:w="4000" w:type="dxa"/>
            <w:vAlign w:val="bottom"/>
            <w:tcBorders>
              <w:bottom w:val="single" w:sz="8" w:color="CFF0FC"/>
            </w:tcBorders>
          </w:tcPr>
          <w:p>
            <w:pPr>
              <w:spacing w:after="0"/>
              <w:rPr>
                <w:sz w:val="15"/>
                <w:szCs w:val="15"/>
                <w:color w:val="auto"/>
              </w:rPr>
            </w:pPr>
          </w:p>
        </w:tc>
        <w:tc>
          <w:tcPr>
            <w:tcW w:w="40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Broken Coast Cannabis Ltd.</w:t>
            </w:r>
          </w:p>
        </w:tc>
        <w:tc>
          <w:tcPr>
            <w:tcW w:w="4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Cannabis business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105,963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Nuuvera Corp.</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 business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273,606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LATAM Holdings Inc.</w:t>
            </w:r>
          </w:p>
        </w:tc>
        <w:tc>
          <w:tcPr>
            <w:tcW w:w="4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Cannabis business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63,239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CC Pharma GmbH</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Distribution business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SweetWater</w:t>
            </w:r>
          </w:p>
        </w:tc>
        <w:tc>
          <w:tcPr>
            <w:tcW w:w="4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Beverage alcohol business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100,202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Tilray-provisional</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 business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2,155,471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Tilray-provisional</w:t>
            </w:r>
          </w:p>
        </w:tc>
        <w:tc>
          <w:tcPr>
            <w:tcW w:w="4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Wellness business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77,470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Breckenridge-provisional</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Beverage alcohol business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exchange</w:t>
            </w:r>
          </w:p>
        </w:tc>
        <w:tc>
          <w:tcPr>
            <w:tcW w:w="4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2,835,100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Arrangement agreement between Tilray Inc. and Aphria Inc.</w:t>
      </w:r>
    </w:p>
    <w:p>
      <w:pPr>
        <w:spacing w:after="0" w:line="119"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Arrangement, as described in Note 1, the Company is within the measurement period of the business acquisition. As of February 28, 2022, the fair values of assets and liabilities acquired have been prepared on a provisional basis and are subject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further adjustments as the Company completes its analysis. The Company will finalize the amounts recognized by April 30, 2022. The fair value adjustments made during the three and nine months ended February 28, 2022 are reflected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460" w:type="dxa"/>
            <w:vAlign w:val="bottom"/>
          </w:tcPr>
          <w:p>
            <w:pPr>
              <w:spacing w:after="0"/>
              <w:rPr>
                <w:sz w:val="13"/>
                <w:szCs w:val="13"/>
                <w:color w:val="auto"/>
              </w:rPr>
            </w:pPr>
          </w:p>
        </w:tc>
        <w:tc>
          <w:tcPr>
            <w:tcW w:w="18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May 31,</w:t>
            </w:r>
          </w:p>
        </w:tc>
      </w:tr>
      <w:tr>
        <w:trPr>
          <w:trHeight w:val="173"/>
        </w:trPr>
        <w:tc>
          <w:tcPr>
            <w:tcW w:w="644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FF0FC"/>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375,673</w:t>
            </w:r>
          </w:p>
        </w:tc>
        <w:tc>
          <w:tcPr>
            <w:tcW w:w="3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375,673</w:t>
            </w:r>
          </w:p>
        </w:tc>
        <w:tc>
          <w:tcPr>
            <w:tcW w:w="12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28,054</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28,054</w:t>
            </w:r>
          </w:p>
        </w:tc>
        <w:tc>
          <w:tcPr>
            <w:tcW w:w="120" w:type="dxa"/>
            <w:vAlign w:val="bottom"/>
            <w:shd w:val="clear" w:color="auto" w:fill="CFF0FC"/>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68,547</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76,547</w:t>
            </w:r>
          </w:p>
        </w:tc>
        <w:tc>
          <w:tcPr>
            <w:tcW w:w="12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8,960</w:t>
            </w:r>
          </w:p>
        </w:tc>
        <w:tc>
          <w:tcPr>
            <w:tcW w:w="12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Capital assets</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136,637</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136,637</w:t>
            </w:r>
          </w:p>
        </w:tc>
        <w:tc>
          <w:tcPr>
            <w:tcW w:w="12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3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12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Definite-lived intangible assets (estimated useful life)</w:t>
            </w:r>
          </w:p>
        </w:tc>
        <w:tc>
          <w:tcPr>
            <w:tcW w:w="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Distribution channel (15 years)</w:t>
            </w:r>
          </w:p>
        </w:tc>
        <w:tc>
          <w:tcPr>
            <w:tcW w:w="3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404,000</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404,000</w:t>
            </w:r>
          </w:p>
        </w:tc>
        <w:tc>
          <w:tcPr>
            <w:tcW w:w="120" w:type="dxa"/>
            <w:vAlign w:val="bottom"/>
            <w:shd w:val="clear" w:color="auto" w:fill="CFF0FC"/>
          </w:tcPr>
          <w:p>
            <w:pPr>
              <w:spacing w:after="0"/>
              <w:rPr>
                <w:sz w:val="19"/>
                <w:szCs w:val="19"/>
                <w:color w:val="auto"/>
              </w:rPr>
            </w:pPr>
          </w:p>
        </w:tc>
      </w:tr>
      <w:tr>
        <w:trPr>
          <w:trHeight w:val="229"/>
        </w:trPr>
        <w:tc>
          <w:tcPr>
            <w:tcW w:w="6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Customer relationships (15 years)</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120" w:type="dxa"/>
            <w:vAlign w:val="bottom"/>
          </w:tcPr>
          <w:p>
            <w:pPr>
              <w:spacing w:after="0"/>
              <w:rPr>
                <w:sz w:val="19"/>
                <w:szCs w:val="19"/>
                <w:color w:val="auto"/>
              </w:rPr>
            </w:pPr>
          </w:p>
        </w:tc>
      </w:tr>
      <w:tr>
        <w:trPr>
          <w:trHeight w:val="230"/>
        </w:trPr>
        <w:tc>
          <w:tcPr>
            <w:tcW w:w="6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Know how (5 years)</w:t>
            </w:r>
          </w:p>
        </w:tc>
        <w:tc>
          <w:tcPr>
            <w:tcW w:w="3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shd w:val="clear" w:color="auto" w:fill="CFF0FC"/>
          </w:tcPr>
          <w:p>
            <w:pPr>
              <w:spacing w:after="0"/>
              <w:rPr>
                <w:sz w:val="19"/>
                <w:szCs w:val="19"/>
                <w:color w:val="auto"/>
              </w:rPr>
            </w:pPr>
          </w:p>
        </w:tc>
      </w:tr>
      <w:tr>
        <w:trPr>
          <w:trHeight w:val="229"/>
        </w:trPr>
        <w:tc>
          <w:tcPr>
            <w:tcW w:w="6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Brands (10 to 25 years)</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301,000</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301,000</w:t>
            </w:r>
          </w:p>
        </w:tc>
        <w:tc>
          <w:tcPr>
            <w:tcW w:w="12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Licenses</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Goodwill-provisional</w:t>
            </w:r>
          </w:p>
        </w:tc>
        <w:tc>
          <w:tcPr>
            <w:tcW w:w="3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2,232,941</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2,221,613</w:t>
            </w:r>
          </w:p>
        </w:tc>
        <w:tc>
          <w:tcPr>
            <w:tcW w:w="120" w:type="dxa"/>
            <w:vAlign w:val="bottom"/>
            <w:shd w:val="clear" w:color="auto" w:fill="CFF0FC"/>
          </w:tcPr>
          <w:p>
            <w:pPr>
              <w:spacing w:after="0"/>
              <w:rPr>
                <w:sz w:val="19"/>
                <w:szCs w:val="19"/>
                <w:color w:val="auto"/>
              </w:rPr>
            </w:pPr>
          </w:p>
        </w:tc>
      </w:tr>
      <w:tr>
        <w:trPr>
          <w:trHeight w:val="230"/>
        </w:trPr>
        <w:tc>
          <w:tcPr>
            <w:tcW w:w="6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22,879</w:t>
            </w:r>
          </w:p>
        </w:tc>
        <w:tc>
          <w:tcPr>
            <w:tcW w:w="3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22,879</w:t>
            </w:r>
          </w:p>
        </w:tc>
        <w:tc>
          <w:tcPr>
            <w:tcW w:w="120" w:type="dxa"/>
            <w:vAlign w:val="bottom"/>
            <w:tcBorders>
              <w:bottom w:val="single" w:sz="8" w:color="CFF0FC"/>
            </w:tcBorders>
          </w:tcPr>
          <w:p>
            <w:pPr>
              <w:spacing w:after="0"/>
              <w:rPr>
                <w:sz w:val="19"/>
                <w:szCs w:val="19"/>
                <w:color w:val="auto"/>
              </w:rPr>
            </w:pPr>
          </w:p>
        </w:tc>
      </w:tr>
      <w:tr>
        <w:trPr>
          <w:trHeight w:val="223"/>
        </w:trPr>
        <w:tc>
          <w:tcPr>
            <w:tcW w:w="6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3,959,297</w:t>
            </w:r>
          </w:p>
        </w:tc>
        <w:tc>
          <w:tcPr>
            <w:tcW w:w="3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3,961,969</w:t>
            </w:r>
          </w:p>
        </w:tc>
        <w:tc>
          <w:tcPr>
            <w:tcW w:w="120" w:type="dxa"/>
            <w:vAlign w:val="bottom"/>
            <w:shd w:val="clear" w:color="auto" w:fill="CFF0FC"/>
          </w:tcPr>
          <w:p>
            <w:pPr>
              <w:spacing w:after="0"/>
              <w:rPr>
                <w:sz w:val="19"/>
                <w:szCs w:val="19"/>
                <w:color w:val="auto"/>
              </w:rPr>
            </w:pPr>
          </w:p>
        </w:tc>
      </w:tr>
      <w:tr>
        <w:trPr>
          <w:trHeight w:val="223"/>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62,292</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62,292</w:t>
            </w:r>
          </w:p>
        </w:tc>
        <w:tc>
          <w:tcPr>
            <w:tcW w:w="120" w:type="dxa"/>
            <w:vAlign w:val="bottom"/>
            <w:shd w:val="clear" w:color="auto" w:fill="CFF0FC"/>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85,120</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85,120</w:t>
            </w:r>
          </w:p>
        </w:tc>
        <w:tc>
          <w:tcPr>
            <w:tcW w:w="12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lease obligations</w:t>
            </w:r>
          </w:p>
        </w:tc>
        <w:tc>
          <w:tcPr>
            <w:tcW w:w="3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21,962</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21,962</w:t>
            </w:r>
          </w:p>
        </w:tc>
        <w:tc>
          <w:tcPr>
            <w:tcW w:w="120" w:type="dxa"/>
            <w:vAlign w:val="bottom"/>
            <w:shd w:val="clear" w:color="auto" w:fill="CFF0FC"/>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79,402</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79,402</w:t>
            </w:r>
          </w:p>
        </w:tc>
        <w:tc>
          <w:tcPr>
            <w:tcW w:w="12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233,719</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236,391</w:t>
            </w:r>
          </w:p>
        </w:tc>
        <w:tc>
          <w:tcPr>
            <w:tcW w:w="12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267,862</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267,862</w:t>
            </w:r>
          </w:p>
        </w:tc>
        <w:tc>
          <w:tcPr>
            <w:tcW w:w="12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3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20" w:type="dxa"/>
            <w:vAlign w:val="bottom"/>
            <w:shd w:val="clear" w:color="auto" w:fill="CFF0FC"/>
          </w:tcPr>
          <w:p>
            <w:pPr>
              <w:spacing w:after="0"/>
              <w:rPr>
                <w:sz w:val="19"/>
                <w:szCs w:val="19"/>
                <w:color w:val="auto"/>
              </w:rPr>
            </w:pPr>
          </w:p>
        </w:tc>
      </w:tr>
      <w:tr>
        <w:trPr>
          <w:trHeight w:val="223"/>
        </w:trPr>
        <w:tc>
          <w:tcPr>
            <w:tcW w:w="64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754,391</w:t>
            </w:r>
          </w:p>
        </w:tc>
        <w:tc>
          <w:tcPr>
            <w:tcW w:w="3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757,063</w:t>
            </w:r>
          </w:p>
        </w:tc>
        <w:tc>
          <w:tcPr>
            <w:tcW w:w="120" w:type="dxa"/>
            <w:vAlign w:val="bottom"/>
            <w:tcBorders>
              <w:bottom w:val="single" w:sz="8" w:color="CFF0FC"/>
            </w:tcBorders>
          </w:tcPr>
          <w:p>
            <w:pPr>
              <w:spacing w:after="0"/>
              <w:rPr>
                <w:sz w:val="19"/>
                <w:szCs w:val="19"/>
                <w:color w:val="auto"/>
              </w:rPr>
            </w:pPr>
          </w:p>
        </w:tc>
      </w:tr>
      <w:tr>
        <w:trPr>
          <w:trHeight w:val="223"/>
        </w:trPr>
        <w:tc>
          <w:tcPr>
            <w:tcW w:w="64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3,204,906</w:t>
            </w:r>
          </w:p>
        </w:tc>
        <w:tc>
          <w:tcPr>
            <w:tcW w:w="3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3,204,906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Revenue for the Company would have been higher by approximately $45,000 and $135,000 for the three and nine months ended February 28, 2021, if the acquisition had taken place on June 1, 2020. Net income and comprehensive net income would have been lower by approximately $40,000 and $100,000 for the three and nine months ended February 28, 2021, if the acquisition had taken place on June 1, 2020.</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Double Diamond Distillery LLC (d/b/a Breckenridge Distillery)</w:t>
      </w:r>
    </w:p>
    <w:p>
      <w:pPr>
        <w:spacing w:after="0" w:line="11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On December 7, 2021, the Company through its wholly-owned subsidiary Four Twenty Corporation, completed the purchase of all the membership interests of Double Diamond Distillery LLC (d/b/a Breckenridge Distillery), a Colorado limited liability company and a leading distilled spirits brand located in Breckenridge, Colorado (the “Breckenridge Acquisition”). As consideration for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Breckenridge Acquisition, the Company paid a purchase price in an aggregate amount equal to $114,068, which purchase price was satisfied through the issuance of 12,540,479 shares of Tilray’s Class 2 common shares.</w:t>
      </w:r>
    </w:p>
    <w:p>
      <w:pPr>
        <w:spacing w:after="0" w:line="54"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assessing the fair value of the net assets acquired and, as a result, the fair value of the net assets acquired may be subject to adjustments pending completion of final valuations and post-closing adjustments. The table below summarizes preliminary estimated fair value of the assets acquired and the liabilities assumed at the effective acquisition date.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114,068</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assest acquired</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20,351</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Lont-term assets</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assets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Customer relationships (15 years)</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Intellectual property, trademarks &amp; brands (15 years)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78,250</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14,871</w:t>
            </w:r>
          </w:p>
        </w:tc>
        <w:tc>
          <w:tcPr>
            <w:tcW w:w="100" w:type="dxa"/>
            <w:vAlign w:val="bottom"/>
            <w:shd w:val="clear" w:color="auto" w:fill="CFF0FC"/>
          </w:tcPr>
          <w:p>
            <w:pPr>
              <w:spacing w:after="0"/>
              <w:rPr>
                <w:sz w:val="19"/>
                <w:szCs w:val="19"/>
                <w:color w:val="auto"/>
              </w:rPr>
            </w:pPr>
          </w:p>
        </w:tc>
      </w:tr>
      <w:tr>
        <w:trPr>
          <w:trHeight w:val="223"/>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138,422</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Deferred tax liability</w:t>
            </w: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22,126</w:t>
            </w:r>
          </w:p>
        </w:tc>
        <w:tc>
          <w:tcPr>
            <w:tcW w:w="100" w:type="dxa"/>
            <w:vAlign w:val="bottom"/>
            <w:tcBorders>
              <w:bottom w:val="single" w:sz="8" w:color="CFF0FC"/>
            </w:tcBorders>
          </w:tcPr>
          <w:p>
            <w:pPr>
              <w:spacing w:after="0"/>
              <w:rPr>
                <w:sz w:val="19"/>
                <w:szCs w:val="19"/>
                <w:color w:val="auto"/>
              </w:rPr>
            </w:pPr>
          </w:p>
        </w:tc>
      </w:tr>
      <w:tr>
        <w:trPr>
          <w:trHeight w:val="223"/>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24,354</w:t>
            </w:r>
          </w:p>
        </w:tc>
        <w:tc>
          <w:tcPr>
            <w:tcW w:w="100" w:type="dxa"/>
            <w:vAlign w:val="bottom"/>
            <w:shd w:val="clear" w:color="auto" w:fill="CFF0FC"/>
          </w:tcPr>
          <w:p>
            <w:pPr>
              <w:spacing w:after="0"/>
              <w:rPr>
                <w:sz w:val="19"/>
                <w:szCs w:val="19"/>
                <w:color w:val="auto"/>
              </w:rPr>
            </w:pPr>
          </w:p>
        </w:tc>
      </w:tr>
      <w:tr>
        <w:trPr>
          <w:trHeight w:val="223"/>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114,068</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goodwill of $14,871 is primarily related to factors such as synergies and market opportunities and is reported under the Company’s Beverage alcohol segment. Revenue for the Company would have been higher by approximately $6,000 and $18,000 for the three and nine months ended February 28, 2021, if the acquisition had taken place on June 1, 2020. Net income and comprehensive net income would have been lower by approximately $1,500 and $4,500 for the three and nine months ended February 28, 2021, if the acquisition had taken place on June 1, 2020.</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 term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 term investments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May 31,</w:t>
            </w:r>
          </w:p>
        </w:tc>
      </w:tr>
      <w:tr>
        <w:trPr>
          <w:trHeight w:val="173"/>
        </w:trPr>
        <w:tc>
          <w:tcPr>
            <w:tcW w:w="5380" w:type="dxa"/>
            <w:vAlign w:val="bottom"/>
          </w:tcPr>
          <w:p>
            <w:pPr>
              <w:spacing w:after="0"/>
              <w:rPr>
                <w:sz w:val="15"/>
                <w:szCs w:val="15"/>
                <w:color w:val="auto"/>
              </w:rPr>
            </w:pPr>
          </w:p>
        </w:tc>
        <w:tc>
          <w:tcPr>
            <w:tcW w:w="268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securities classified under available-for-sale method</w:t>
            </w:r>
          </w:p>
        </w:tc>
        <w:tc>
          <w:tcPr>
            <w:tcW w:w="122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122,765</w:t>
            </w:r>
          </w:p>
        </w:tc>
        <w:tc>
          <w:tcPr>
            <w:tcW w:w="3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 measured at fair value level 1</w:t>
            </w:r>
          </w:p>
        </w:tc>
        <w:tc>
          <w:tcPr>
            <w:tcW w:w="1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 measured at fair value level 2</w:t>
            </w:r>
          </w:p>
        </w:tc>
        <w:tc>
          <w:tcPr>
            <w:tcW w:w="1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3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investments under measurement alternative</w:t>
            </w:r>
          </w:p>
        </w:tc>
        <w:tc>
          <w:tcPr>
            <w:tcW w:w="122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3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investments in debt and equity securities</w:t>
            </w:r>
          </w:p>
        </w:tc>
        <w:tc>
          <w:tcPr>
            <w:tcW w:w="12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133,155</w:t>
            </w:r>
          </w:p>
        </w:tc>
        <w:tc>
          <w:tcPr>
            <w:tcW w:w="3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 xml:space="preserve">As of February 28, 2022, the Company’s debt securities under available-for-sale method are the MM Notes, described in Note 2 </w:t>
      </w:r>
      <w:r>
        <w:rPr>
          <w:rFonts w:ascii="Times New Roman" w:cs="Times New Roman" w:eastAsia="Times New Roman" w:hAnsi="Times New Roman"/>
          <w:sz w:val="18"/>
          <w:szCs w:val="18"/>
          <w:i w:val="1"/>
          <w:iCs w:val="1"/>
          <w:color w:val="auto"/>
        </w:rPr>
        <w:t>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presentation and summary of significant accounting policies. </w:t>
      </w:r>
      <w:r>
        <w:rPr>
          <w:rFonts w:ascii="Times New Roman" w:cs="Times New Roman" w:eastAsia="Times New Roman" w:hAnsi="Times New Roman"/>
          <w:sz w:val="18"/>
          <w:szCs w:val="18"/>
          <w:color w:val="auto"/>
        </w:rPr>
        <w:t>Interest on the principal amount of the MM Notes shall accrue at an interest rate of LIBOR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6%, with a LIBOR floor of 2.5% and, any accrued interest shall be payment-in-kind at a price equal to the trailing 30-day volume weighted average price of the MedMen Shares, as and when such payment-in-kind interest becomes due and payable. The MM Notes, which mature in 2028, are indirectly held by the Company through its majority-owned subsidiary, SH Acquisition. The Company has the ability, in its sole discretion, to transfer its partnership interest in SH Acquisition and/or the pro rata portion of the MM Notes and the corresponding portion of accrued and unpaid payment-in-kind interest, and/or cause the redemption of the partnership interest and/or the pro rata portion of the MM Notes held by the minority interest in SH Acquisition at any time. The unrealized loss on available-for-sale debt securities of $39,244 and $55,601 in accumulated other comprehensive income for three and nine months ended February 28, 2022 relates to the long-term available-for-sale debt securities. The Company’s allowance for credit losses on debt securities classified as available-for-sale is $0 at February 28, 2022 and no related credit loss expenses were recorded during the three and nine months ended February 28, 2022. Comparisons are not provided for the comparable prior year periods given the MM Transaction did not close until August 17, 2021.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Company values debt securities under available-for-sale method using the Black-Scholes model (Level 3) with the following weighted-average assumptions: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4000" w:type="dxa"/>
            <w:vAlign w:val="bottom"/>
          </w:tcPr>
          <w:p>
            <w:pPr>
              <w:spacing w:after="0"/>
              <w:rPr>
                <w:sz w:val="20"/>
                <w:szCs w:val="20"/>
                <w:color w:val="auto"/>
              </w:rPr>
            </w:pPr>
          </w:p>
        </w:tc>
        <w:tc>
          <w:tcPr>
            <w:tcW w:w="2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 to 6.2 years</w:t>
            </w: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00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40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00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conversion</w:t>
            </w:r>
          </w:p>
        </w:tc>
        <w:tc>
          <w:tcPr>
            <w:tcW w:w="4000" w:type="dxa"/>
            <w:vAlign w:val="bottom"/>
          </w:tcPr>
          <w:p>
            <w:pPr>
              <w:spacing w:after="0"/>
              <w:rPr>
                <w:sz w:val="19"/>
                <w:szCs w:val="19"/>
                <w:color w:val="auto"/>
              </w:rPr>
            </w:pPr>
          </w:p>
        </w:tc>
        <w:tc>
          <w:tcPr>
            <w:tcW w:w="2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 to 60%</w:t>
            </w: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4000" w:type="dxa"/>
            <w:vAlign w:val="bottom"/>
            <w:shd w:val="clear" w:color="auto" w:fill="CFF0FC"/>
          </w:tcPr>
          <w:p>
            <w:pPr>
              <w:spacing w:after="0"/>
              <w:rPr>
                <w:sz w:val="19"/>
                <w:szCs w:val="19"/>
                <w:color w:val="auto"/>
              </w:rPr>
            </w:pPr>
          </w:p>
        </w:tc>
        <w:tc>
          <w:tcPr>
            <w:tcW w:w="20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$0.15 to $4.29</w:t>
            </w: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40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0.13</w:t>
            </w:r>
          </w:p>
        </w:tc>
      </w:tr>
    </w:tbl>
    <w:p>
      <w:pPr>
        <w:spacing w:after="0" w:line="26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Company’s equity investments at fair value consist of publicly traded shares and warrants held by the Company, including certain warrants acquired with the MM Notes and exercisable for equity securities of MedMen’s Class B subordinate voting shares. The Company’s equity investment under measurement alternative includes equity investments without readily determinable fair values.</w:t>
      </w:r>
    </w:p>
    <w:p>
      <w:pPr>
        <w:spacing w:after="0" w:line="243"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Unrealized gains and losses recognized in non-operating income (expense) during the three and nine months ended February 28, 2022 on equity investments still held at February 28, 2022 are a loss of $2,951 and a loss of $6,834 (February 28, 2021 – loss of $1,918 and loss of $3,244). There were no impairments or adjustments to equity investments under the measurement alternative for the three and nine months ended February 28, 2022 and 2021.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Accounts payable and accrued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May 31,</w:t>
            </w:r>
          </w:p>
        </w:tc>
      </w:tr>
      <w:tr>
        <w:trPr>
          <w:trHeight w:val="173"/>
        </w:trPr>
        <w:tc>
          <w:tcPr>
            <w:tcW w:w="77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70,249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57,706</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112,594</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employment related taxes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14,764</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137,094</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212,813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9. Bank indebtedness</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Company has an operating line of credit in the amount of C$1,000 which bears interest at the lender’s prime rate plus 75 basis points. As of February 28, 2022, the Company has not drawn on the line of credit. The operating line of credit is secured by a security interest on that certain real property at 265 Talbot St. West, Leamington, Ontario.</w:t>
      </w:r>
    </w:p>
    <w:p>
      <w:pPr>
        <w:spacing w:after="0" w:line="176" w:lineRule="exact"/>
        <w:rPr>
          <w:sz w:val="20"/>
          <w:szCs w:val="20"/>
          <w:color w:val="auto"/>
        </w:rPr>
      </w:pPr>
    </w:p>
    <w:p>
      <w:pPr>
        <w:jc w:val="both"/>
        <w:ind w:firstLine="518"/>
        <w:spacing w:after="0" w:line="261" w:lineRule="auto"/>
        <w:tabs>
          <w:tab w:leader="none" w:pos="80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 GmbH, a subsidiary of the Company, has three operating lines of credit for €8,000, €3,500, and €500 each, which bear interest at Euro Over Night Index Average plus 1.79% and Euro Interbank Offered Rate plus 3.682% respectively. As of February 28, 2022, a total of €6,107 ($6,840) was drawn down from the available credit of €12,000. The operating lines of credit are secured by a security interest in the inventory held by CC Pharma GmbH.</w:t>
      </w:r>
    </w:p>
    <w:p>
      <w:pPr>
        <w:spacing w:after="0" w:line="18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Four Twenty Corporation (“420”), a subsidiary of the Company, has a revolving credit facility of $30,000 which bears interest at EURIBOR plus an applicable margin. As of February 28, 2022, the Company has drawn $10,000 on the revolving line of credit. The revolving credit facility is secured by all of 420 and SweetWater’s assets and includes a corporate guarantee by a subsidiary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b w:val="1"/>
          <w:bCs w:val="1"/>
          <w:color w:val="auto"/>
        </w:rPr>
        <w:t>Note 10. Long-term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long-term debt instruments: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Credit facility - C$80,000 - Canadian prime interest rate plus an applicable margin,</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3-year term, with a 10-year amortization, repayable in blended monthly payments,</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due in November 2022</w:t>
            </w:r>
          </w:p>
        </w:tc>
        <w:tc>
          <w:tcPr>
            <w:tcW w:w="2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55,300</w:t>
            </w:r>
          </w:p>
        </w:tc>
        <w:tc>
          <w:tcPr>
            <w:tcW w:w="2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62,964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Term loan - C$25,000 - Canadian 5-year bond interest rate plus 2.73% with a minimum</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4.50%, 5-year term, with a 15-year amortization, repayable in blended monthly</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due in July 2023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12,967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 C$25,000 - 3.95%, compounded monthly, 5-year term with a 15-year</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repayable in equal monthly instalments of $188 including interest,</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due in April 2022</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15,346</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17,117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Term loan - C$1,250 - 3.85%, 5-year term, with a 10-year amortization, repayable in</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equal monthly instalments of $13 including interest, due in August 2026</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 payable - C$3,750 - 3.85%, 5-year term, with a 20-year amortization,</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repayable in equal monthly instalments of $23 including interest, due in August 2026</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2,355</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Vendor take-back mortgage - C$2,850 - 6.75%, 5-year term, repayable in equal</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monthly instalments of $56 including interest, due in June 2021</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2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€5,000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Euro Interbank Offered Rate plus 1.79%,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quarterly instalments of €250 plus interest, due in December 2023</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2,240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€5,000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Euro Interbank Offered Rate plus 2.68%,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quarterly instalments of €250 plus interest, due in December 2023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2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€1,500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Euro Interbank Offered Rate plus 2.00%,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quarterly instalments of €98 including interest, due in April 2025</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1,375</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€1,500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Euro Interbank Offered Rate plus 2.00%,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quarterly instalments of €98 including interest, due in June 2025</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 payable - $22,635 - EUROBIR rate plus 1.5%, 10-year term, with a 10-year</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repayable in monthly instalments of $57 plus interest, due in October 2030</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21,848</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Term loan - $100,000 - EUROBIR rate plus an applicable margin, 3-year term, repayable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quarterly instalments beginning March 31, 2021 of $7,500 in its first twelve months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and $10,000 in each of the next two years, due in March 2024</w:t>
            </w:r>
          </w:p>
        </w:tc>
        <w:tc>
          <w:tcPr>
            <w:tcW w:w="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77,500</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98,138</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of long-term debt</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193,128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206,169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financing fees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(1,742)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(2,061)</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191,386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204,108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Less principal portion included in current liabilities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(70,176)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(36,622)</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noncurrent portion of long-term debt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121,210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167,486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As of February 28, 2022, the Company was in compliance with all the long-term debt covenants.</w:t>
            </w: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7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Note 11. Convertible debentures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the convertible debentures: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5.25% Convertible Notes ("APHA 24")</w:t>
            </w:r>
          </w:p>
        </w:tc>
        <w:tc>
          <w:tcPr>
            <w:tcW w:w="2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229,945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399,444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5.00% Convertible Notes ("TLRY 23")</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271,130</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268,180</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501,075</w:t>
            </w: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667,624</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7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i w:val="1"/>
          <w:iCs w:val="1"/>
          <w:color w:val="auto"/>
        </w:rPr>
        <w:t>APHA 24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320" w:type="dxa"/>
            <w:vAlign w:val="bottom"/>
          </w:tcPr>
          <w:p>
            <w:pPr>
              <w:spacing w:after="0"/>
              <w:rPr>
                <w:sz w:val="13"/>
                <w:szCs w:val="13"/>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May 31,</w:t>
            </w:r>
          </w:p>
        </w:tc>
      </w:tr>
      <w:tr>
        <w:trPr>
          <w:trHeight w:val="173"/>
        </w:trPr>
        <w:tc>
          <w:tcPr>
            <w:tcW w:w="77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5.25% Contractual debenture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Debt settlement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(90,760)</w:t>
            </w:r>
          </w:p>
        </w:tc>
        <w:tc>
          <w:tcPr>
            <w:tcW w:w="3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(90,760)</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(29,295)</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140,204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carrying amount of APHA 24</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229,945</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399,444</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Holders of the APHA 24 may convert all or any portion of their Notes, in multiples of $1 principal amount, at their option at any time between December 1, 2023 to the maturity date of June 1, 2024. The initial conversion rate for the APHA 24 will be 89.31162364 shares of common stock, par value $0.0001 per share, of Tilray Brands, Inc. per $1,000 principal amount of Notes, which will be settled in cash, common shares of Aphria or a combination thereof, at Tilray’s election. This is equivalent to an initial conversion price of approximately $11.20 per common share, subject to adjustments in certain events. In addition, holders of the APHA 24 may convert all or any portion of their Notes, in multiples of $1 principal amount, at their option at any time preceding December 1, 2023, if:</w:t>
      </w:r>
    </w:p>
    <w:p>
      <w:pPr>
        <w:spacing w:after="0" w:line="79" w:lineRule="exact"/>
        <w:rPr>
          <w:sz w:val="20"/>
          <w:szCs w:val="20"/>
          <w:color w:val="auto"/>
        </w:rPr>
      </w:pPr>
    </w:p>
    <w:p>
      <w:pPr>
        <w:ind w:left="1000" w:hanging="493"/>
        <w:spacing w:after="0" w:line="261"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reported sales price of the common shares for at least 20 trading days during a period of 30 consecutive trading days immediately preceding fiscal quarter is greater than or equal to 130% of the conversion price on each applicable trading day;</w:t>
      </w:r>
    </w:p>
    <w:p>
      <w:pPr>
        <w:jc w:val="both"/>
        <w:ind w:left="1000" w:hanging="493"/>
        <w:spacing w:after="0" w:line="250"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five-business day period after any five consecutive trading day period (the “measurement period”) in which the trading price per $1 principal amount of the APHA 24 for each trading day of the measurement period is less than 98% of the product of the last reported sale price of the Company’s common shares and the conversion rate on each such trading day;</w:t>
      </w:r>
    </w:p>
    <w:p>
      <w:pPr>
        <w:spacing w:after="0" w:line="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calls any or all of the APHA 24 for redemption or;</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occurrence of a specified corporate event.</w:t>
      </w:r>
    </w:p>
    <w:p>
      <w:pPr>
        <w:spacing w:after="0" w:line="274"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Company may not redeem the APHA 24 prior to June 6, 2022, except upon the occurrence of certain changes in tax laws. On or after June 6, 2022, the Company may redeem for cash all or part of the Notes, at its option, if the last reported sale price of the Company’s common shares has been at least 130% of the conversion price then in effect for at least 20 trading days during any 30 consecutive trading day period ending on and including trading day immediately preceding the date on which the Company provides notice of redemption. The redemption of the APHA 24 will be equal to 100% of the principal amount plus accrued and unpaid interest to, but excluding, the redemption date.</w:t>
      </w:r>
    </w:p>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estimated the fair value of the APHA 24 convertible debenture at February 28, 2022 at $887  per convertible debenture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model (Level 3) with the following weighted-average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 years</w:t>
            </w: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468"/>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Expected volatility is based on the historical volatility of the Company's common stock.</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TLRY 23</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32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5.00% Contractual debenture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277,856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(6,726)</w:t>
            </w:r>
          </w:p>
        </w:tc>
        <w:tc>
          <w:tcPr>
            <w:tcW w:w="3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(9,676)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carrying amount of TLRY 23</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271,130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7" w:name="page18"/>
    <w:bookmarkEnd w:id="17"/>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Upon conversion, the Company will pay or deliver, as the case may be, cash, shares of our common stock or a combination of cash and shares of the Company’s common stock, at the Company’s election (the “cash conversion option”). The initial conversion rate for the convertible notes is 5.9735 shares of common stock per one thousand dollar principal amount of notes, which is equivalent to an initial conversion price of approximately $167.41 per share of common stock, which represents approximately 1,659,737 shares of common stock, based on the $277,856 aggregate principal amount of convertible notes outstanding as of February 28, 2022. Throughout the term of the TLRY 23, the conversion rate may be adjusted upon the occurrence of certain events.</w:t>
      </w:r>
    </w:p>
    <w:p>
      <w:pPr>
        <w:spacing w:after="0" w:line="25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April 1, 2023, the TLRY 23 will be convertible only under the specified circumstances. On or after April 1, 2023 until the close of business on the business day immediately preceding the maturity date, September 30, 2023, holders may convert all or any portion of their TLRY 23, in multiples of $1 principal amount, at the option of the holder regardless of the aforementioned circumstances.</w:t>
      </w: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12. Warrant liability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Warrants outstanding at February 28, 2022: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May 31,</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3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Exercised/Expired</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Expiration date – September 26, 2021</w:t>
            </w:r>
          </w:p>
        </w:tc>
        <w:tc>
          <w:tcPr>
            <w:tcW w:w="11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166,000</w:t>
            </w: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(166,000)</w:t>
            </w:r>
          </w:p>
        </w:tc>
        <w:tc>
          <w:tcPr>
            <w:tcW w:w="2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 – January 30, 2022</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Equity</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5,828,651</w:t>
            </w:r>
          </w:p>
        </w:tc>
        <w:tc>
          <w:tcPr>
            <w:tcW w:w="22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(5,828,651)</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Expiration date – March 17, 2025</w:t>
            </w: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Liability</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6,209,000</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6,209,000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12,203,651</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(5,994,651)</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960" w:type="dxa"/>
            <w:vAlign w:val="bottom"/>
            <w:tcBorders>
              <w:bottom w:val="single" w:sz="8" w:color="auto"/>
            </w:tcBorders>
            <w:gridSpan w:val="4"/>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February 28, 2022</w:t>
            </w:r>
          </w:p>
        </w:tc>
        <w:tc>
          <w:tcPr>
            <w:tcW w:w="24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February 28, 2021</w:t>
            </w:r>
          </w:p>
        </w:tc>
        <w:tc>
          <w:tcPr>
            <w:tcW w:w="120" w:type="dxa"/>
            <w:vAlign w:val="bottom"/>
          </w:tcPr>
          <w:p>
            <w:pPr>
              <w:spacing w:after="0"/>
              <w:rPr>
                <w:sz w:val="15"/>
                <w:szCs w:val="15"/>
                <w:color w:val="auto"/>
              </w:rPr>
            </w:pPr>
          </w:p>
        </w:tc>
      </w:tr>
      <w:tr>
        <w:trPr>
          <w:trHeight w:val="212"/>
        </w:trPr>
        <w:tc>
          <w:tcPr>
            <w:tcW w:w="4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89"/>
        </w:trPr>
        <w:tc>
          <w:tcPr>
            <w:tcW w:w="4940" w:type="dxa"/>
            <w:vAlign w:val="bottom"/>
          </w:tcPr>
          <w:p>
            <w:pPr>
              <w:spacing w:after="0"/>
              <w:rPr>
                <w:sz w:val="16"/>
                <w:szCs w:val="16"/>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6"/>
                <w:szCs w:val="16"/>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average</w:t>
            </w:r>
          </w:p>
        </w:tc>
      </w:tr>
      <w:tr>
        <w:trPr>
          <w:trHeight w:val="173"/>
        </w:trPr>
        <w:tc>
          <w:tcPr>
            <w:tcW w:w="4940" w:type="dxa"/>
            <w:vAlign w:val="bottom"/>
          </w:tcPr>
          <w:p>
            <w:pPr>
              <w:spacing w:after="0"/>
              <w:rPr>
                <w:sz w:val="15"/>
                <w:szCs w:val="15"/>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40" w:type="dxa"/>
            <w:vAlign w:val="bottom"/>
          </w:tcPr>
          <w:p>
            <w:pPr>
              <w:spacing w:after="0"/>
              <w:rPr>
                <w:sz w:val="15"/>
                <w:szCs w:val="15"/>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4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price</w:t>
            </w: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opening</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12,203,651</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5,994,651</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during the period</w:t>
            </w: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Cancelled during the period</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 during the period</w:t>
            </w: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(5,994,651)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ending</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6,209,000</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5,994,651</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Warrant liability at February 28, 2022 at $3.12 per warrant using the Black-Scholes pricing model (Level 3) with the following weighted-average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7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7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57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3.6 years</w:t>
            </w: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7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57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5.95</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57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6.10</w:t>
            </w:r>
          </w:p>
        </w:tc>
      </w:tr>
      <w:tr>
        <w:trPr>
          <w:trHeight w:val="643"/>
        </w:trPr>
        <w:tc>
          <w:tcPr>
            <w:tcW w:w="3780" w:type="dxa"/>
            <w:vAlign w:val="bottom"/>
          </w:tcPr>
          <w:p>
            <w:pPr>
              <w:spacing w:after="0"/>
              <w:rPr>
                <w:sz w:val="24"/>
                <w:szCs w:val="24"/>
                <w:color w:val="auto"/>
              </w:rPr>
            </w:pPr>
          </w:p>
        </w:tc>
        <w:tc>
          <w:tcPr>
            <w:tcW w:w="5760" w:type="dxa"/>
            <w:vAlign w:val="bottom"/>
          </w:tcPr>
          <w:p>
            <w:pPr>
              <w:jc w:val="right"/>
              <w:ind w:right="3730"/>
              <w:spacing w:after="0"/>
              <w:rPr>
                <w:sz w:val="20"/>
                <w:szCs w:val="20"/>
                <w:color w:val="auto"/>
              </w:rPr>
            </w:pPr>
            <w:r>
              <w:rPr>
                <w:rFonts w:ascii="Times New Roman" w:cs="Times New Roman" w:eastAsia="Times New Roman" w:hAnsi="Times New Roman"/>
                <w:sz w:val="18"/>
                <w:szCs w:val="18"/>
                <w:color w:val="auto"/>
              </w:rPr>
              <w:t>15</w:t>
            </w:r>
          </w:p>
        </w:tc>
        <w:tc>
          <w:tcPr>
            <w:tcW w:w="170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57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21"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Company operates stock-based compensation plans as disclosed in our Annual Report. For the three and nine months ended February 28, 2022, the total stock-based compensation was $9,355 and $27,025 (February 28, 2021 - $3,075 and $11,414).</w:t>
      </w:r>
    </w:p>
    <w:p>
      <w:pPr>
        <w:spacing w:after="0" w:line="162"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February 28, 2022, the Company did not grant any further stock options or RSUs out of Aphria’s predecessor plan. The Company's total stock-based compensation expense recognized is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0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73"/>
        </w:trPr>
        <w:tc>
          <w:tcPr>
            <w:tcW w:w="5840" w:type="dxa"/>
            <w:vAlign w:val="bottom"/>
          </w:tcPr>
          <w:p>
            <w:pPr>
              <w:spacing w:after="0"/>
              <w:rPr>
                <w:sz w:val="15"/>
                <w:szCs w:val="15"/>
                <w:color w:val="auto"/>
              </w:rPr>
            </w:pPr>
          </w:p>
        </w:tc>
        <w:tc>
          <w:tcPr>
            <w:tcW w:w="20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ended February 28,</w:t>
            </w:r>
          </w:p>
        </w:tc>
      </w:tr>
      <w:tr>
        <w:trPr>
          <w:trHeight w:val="155"/>
        </w:trPr>
        <w:tc>
          <w:tcPr>
            <w:tcW w:w="584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720" w:type="dxa"/>
            <w:vAlign w:val="bottom"/>
            <w:shd w:val="clear" w:color="auto" w:fill="CFF0FC"/>
          </w:tcPr>
          <w:p>
            <w:pPr>
              <w:jc w:val="right"/>
              <w:ind w:right="54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RSUs</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9,082</w:t>
            </w:r>
          </w:p>
        </w:tc>
        <w:tc>
          <w:tcPr>
            <w:tcW w:w="2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2,348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FF0FC"/>
          </w:tcPr>
          <w:p>
            <w:pPr>
              <w:jc w:val="right"/>
              <w:ind w:right="54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9,355</w:t>
            </w:r>
          </w:p>
        </w:tc>
        <w:tc>
          <w:tcPr>
            <w:tcW w:w="2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3,075</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27,025</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income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Accumulated other comprehensive loss includes the following components: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loss on</w:t>
            </w: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Less non-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1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sale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May 31, 2021</w:t>
            </w:r>
          </w:p>
        </w:tc>
        <w:tc>
          <w:tcPr>
            <w:tcW w:w="15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156,417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(100,772)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(649)</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(101,421)</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August 31, 2021</w:t>
            </w:r>
          </w:p>
        </w:tc>
        <w:tc>
          <w:tcPr>
            <w:tcW w:w="15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5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November 30, 2021</w:t>
            </w:r>
          </w:p>
        </w:tc>
        <w:tc>
          <w:tcPr>
            <w:tcW w:w="15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Borders>
              <w:bottom w:val="single" w:sz="8" w:color="CFF0FC"/>
            </w:tcBorders>
            <w:vMerge w:val="continue"/>
          </w:tcPr>
          <w:p>
            <w:pPr>
              <w:spacing w:after="0"/>
              <w:rPr>
                <w:sz w:val="18"/>
                <w:szCs w:val="18"/>
                <w:color w:val="auto"/>
              </w:rPr>
            </w:pPr>
          </w:p>
        </w:tc>
        <w:tc>
          <w:tcPr>
            <w:tcW w:w="15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2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February 28, 2022</w:t>
            </w:r>
          </w:p>
        </w:tc>
        <w:tc>
          <w:tcPr>
            <w:tcW w:w="15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41,776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(55,601)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Non-controlling interests</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following tables summarize the information relating to the Company’s subsidiaries, Superhero LP, CC Pharma Nordic ApS, Aphria Diamond, and ColCanna S.A.S. before intercompany eliminations. During the three and nine months ended February 28, 2022, the Company made contributions to Superhero LP of $0 and $117,804 in the form of Tilray Class 2 common shares, the Company paid dividends of C$0 and C$70,000 (USD$56,630) to the stockholders of Aphria Diamond (“DDH note”), with the portion allocated to the non-controlling partner settled via issuance of Tilray Class 2 common shares. There were no other contributions or distributions during the period.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Summary of financial information of non-controlling interests as of February 28,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Superhero</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CC Pharma</w:t>
            </w:r>
          </w:p>
        </w:tc>
        <w:tc>
          <w:tcPr>
            <w:tcW w:w="160" w:type="dxa"/>
            <w:vAlign w:val="bottom"/>
          </w:tcPr>
          <w:p>
            <w:pPr>
              <w:spacing w:after="0"/>
              <w:rPr>
                <w:sz w:val="13"/>
                <w:szCs w:val="13"/>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Aphria</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ColCanna</w:t>
            </w:r>
          </w:p>
        </w:tc>
        <w:tc>
          <w:tcPr>
            <w:tcW w:w="10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February 28,</w:t>
            </w:r>
          </w:p>
        </w:tc>
      </w:tr>
      <w:tr>
        <w:trPr>
          <w:trHeight w:val="173"/>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LP</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Nordic ApS</w:t>
            </w:r>
          </w:p>
        </w:tc>
        <w:tc>
          <w:tcPr>
            <w:tcW w:w="16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Diamond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S.A.S.</w:t>
            </w:r>
          </w:p>
        </w:tc>
        <w:tc>
          <w:tcPr>
            <w:tcW w:w="100" w:type="dxa"/>
            <w:vAlign w:val="bottom"/>
          </w:tcPr>
          <w:p>
            <w:pPr>
              <w:spacing w:after="0"/>
              <w:rPr>
                <w:sz w:val="15"/>
                <w:szCs w:val="15"/>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91,076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91,908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122,765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144,733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423,242</w:t>
            </w: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(174,750)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(6,758)</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(182,208)</w:t>
            </w: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(15,165)</w:t>
            </w: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57,176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color w:val="auto"/>
        </w:rPr>
        <w:t>Summary of financial information of non-controlling interests as of May 31,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CC Pharma</w:t>
            </w:r>
          </w:p>
        </w:tc>
        <w:tc>
          <w:tcPr>
            <w:tcW w:w="180" w:type="dxa"/>
            <w:vAlign w:val="bottom"/>
          </w:tcPr>
          <w:p>
            <w:pPr>
              <w:spacing w:after="0"/>
              <w:rPr>
                <w:sz w:val="13"/>
                <w:szCs w:val="13"/>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Aphria</w:t>
            </w:r>
          </w:p>
        </w:tc>
        <w:tc>
          <w:tcPr>
            <w:tcW w:w="160" w:type="dxa"/>
            <w:vAlign w:val="bottom"/>
          </w:tcPr>
          <w:p>
            <w:pPr>
              <w:spacing w:after="0"/>
              <w:rPr>
                <w:sz w:val="13"/>
                <w:szCs w:val="13"/>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ColCanna</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May 31,</w:t>
            </w:r>
          </w:p>
        </w:tc>
      </w:tr>
      <w:tr>
        <w:trPr>
          <w:trHeight w:val="173"/>
        </w:trPr>
        <w:tc>
          <w:tcPr>
            <w:tcW w:w="5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Nordic ApS</w:t>
            </w:r>
          </w:p>
        </w:tc>
        <w:tc>
          <w:tcPr>
            <w:tcW w:w="180" w:type="dxa"/>
            <w:vAlign w:val="bottom"/>
          </w:tcPr>
          <w:p>
            <w:pPr>
              <w:spacing w:after="0"/>
              <w:rPr>
                <w:sz w:val="15"/>
                <w:szCs w:val="15"/>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Diamond</w:t>
            </w:r>
          </w:p>
        </w:tc>
        <w:tc>
          <w:tcPr>
            <w:tcW w:w="160" w:type="dxa"/>
            <w:vAlign w:val="bottom"/>
          </w:tcPr>
          <w:p>
            <w:pPr>
              <w:spacing w:after="0"/>
              <w:rPr>
                <w:sz w:val="15"/>
                <w:szCs w:val="15"/>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S.A.S.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300,386</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(956)</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(28,511)</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(29,529)</w:t>
            </w: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(69,332)</w:t>
            </w:r>
          </w:p>
        </w:tc>
        <w:tc>
          <w:tcPr>
            <w:tcW w:w="1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(76,344)</w:t>
            </w: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140,234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Summary of financial information of non-controlling interests for the nine months ended February 28,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Superhero</w:t>
            </w:r>
          </w:p>
        </w:tc>
        <w:tc>
          <w:tcPr>
            <w:tcW w:w="120" w:type="dxa"/>
            <w:vAlign w:val="bottom"/>
          </w:tcPr>
          <w:p>
            <w:pPr>
              <w:spacing w:after="0"/>
              <w:rPr>
                <w:sz w:val="13"/>
                <w:szCs w:val="13"/>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CC Pharma</w:t>
            </w:r>
          </w:p>
        </w:tc>
        <w:tc>
          <w:tcPr>
            <w:tcW w:w="160" w:type="dxa"/>
            <w:vAlign w:val="bottom"/>
          </w:tcPr>
          <w:p>
            <w:pPr>
              <w:spacing w:after="0"/>
              <w:rPr>
                <w:sz w:val="13"/>
                <w:szCs w:val="13"/>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Aphria</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ColCanna</w:t>
            </w:r>
          </w:p>
        </w:tc>
        <w:tc>
          <w:tcPr>
            <w:tcW w:w="8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February 28,</w:t>
            </w:r>
          </w:p>
        </w:tc>
      </w:tr>
      <w:tr>
        <w:trPr>
          <w:trHeight w:val="173"/>
        </w:trPr>
        <w:tc>
          <w:tcPr>
            <w:tcW w:w="5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LP</w:t>
            </w:r>
          </w:p>
        </w:tc>
        <w:tc>
          <w:tcPr>
            <w:tcW w:w="12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Nordic ApS</w:t>
            </w:r>
          </w:p>
        </w:tc>
        <w:tc>
          <w:tcPr>
            <w:tcW w:w="16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Diamond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S.A.S.</w:t>
            </w:r>
          </w:p>
        </w:tc>
        <w:tc>
          <w:tcPr>
            <w:tcW w:w="80" w:type="dxa"/>
            <w:vAlign w:val="bottom"/>
          </w:tcPr>
          <w:p>
            <w:pPr>
              <w:spacing w:after="0"/>
              <w:rPr>
                <w:sz w:val="15"/>
                <w:szCs w:val="15"/>
                <w:color w:val="auto"/>
              </w:rPr>
            </w:pP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88,470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40,512</w:t>
            </w:r>
          </w:p>
        </w:tc>
        <w:tc>
          <w:tcPr>
            <w:tcW w:w="100" w:type="dxa"/>
            <w:vAlign w:val="bottom"/>
          </w:tcPr>
          <w:p>
            <w:pPr>
              <w:spacing w:after="0"/>
              <w:rPr>
                <w:sz w:val="19"/>
                <w:szCs w:val="19"/>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40,629</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(55,601)</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(2,203)</w:t>
            </w:r>
          </w:p>
        </w:tc>
        <w:tc>
          <w:tcPr>
            <w:tcW w:w="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(60,283)</w:t>
            </w: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comprehensive income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(48,033)</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38,120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9"/>
                <w:szCs w:val="19"/>
                <w:color w:val="auto"/>
              </w:rPr>
            </w:pPr>
          </w:p>
        </w:tc>
      </w:tr>
      <w:tr>
        <w:trPr>
          <w:trHeight w:val="223"/>
        </w:trPr>
        <w:tc>
          <w:tcPr>
            <w:tcW w:w="50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Summary of financial information of non-controlling interests for the nine months ended February 28,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CC Pharma</w:t>
            </w:r>
          </w:p>
        </w:tc>
        <w:tc>
          <w:tcPr>
            <w:tcW w:w="200" w:type="dxa"/>
            <w:vAlign w:val="bottom"/>
          </w:tcPr>
          <w:p>
            <w:pPr>
              <w:spacing w:after="0"/>
              <w:rPr>
                <w:sz w:val="13"/>
                <w:szCs w:val="13"/>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Aphria</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ColCanna</w:t>
            </w:r>
          </w:p>
        </w:tc>
        <w:tc>
          <w:tcPr>
            <w:tcW w:w="12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28,</w:t>
            </w:r>
          </w:p>
        </w:tc>
      </w:tr>
      <w:tr>
        <w:trPr>
          <w:trHeight w:val="173"/>
        </w:trPr>
        <w:tc>
          <w:tcPr>
            <w:tcW w:w="4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Nordic ApS</w:t>
            </w:r>
          </w:p>
        </w:tc>
        <w:tc>
          <w:tcPr>
            <w:tcW w:w="20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Diamond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S.A.S.</w:t>
            </w:r>
          </w:p>
        </w:tc>
        <w:tc>
          <w:tcPr>
            <w:tcW w:w="120" w:type="dxa"/>
            <w:vAlign w:val="bottom"/>
          </w:tcPr>
          <w:p>
            <w:pPr>
              <w:spacing w:after="0"/>
              <w:rPr>
                <w:sz w:val="15"/>
                <w:szCs w:val="15"/>
                <w:color w:val="auto"/>
              </w:rPr>
            </w:pPr>
          </w:p>
        </w:tc>
        <w:tc>
          <w:tcPr>
            <w:tcW w:w="10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5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112,035</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112,508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5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35,320</w:t>
            </w:r>
          </w:p>
        </w:tc>
        <w:tc>
          <w:tcPr>
            <w:tcW w:w="100" w:type="dxa"/>
            <w:vAlign w:val="bottom"/>
            <w:tcBorders>
              <w:bottom w:val="single" w:sz="8" w:color="CFF0FC"/>
            </w:tcBorders>
          </w:tcPr>
          <w:p>
            <w:pPr>
              <w:spacing w:after="0"/>
              <w:rPr>
                <w:sz w:val="19"/>
                <w:szCs w:val="19"/>
                <w:color w:val="auto"/>
              </w:rPr>
            </w:pPr>
          </w:p>
        </w:tc>
      </w:tr>
      <w:tr>
        <w:trPr>
          <w:trHeight w:val="223"/>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77,188</w:t>
            </w:r>
          </w:p>
        </w:tc>
        <w:tc>
          <w:tcPr>
            <w:tcW w:w="100" w:type="dxa"/>
            <w:vAlign w:val="bottom"/>
            <w:shd w:val="clear" w:color="auto" w:fill="CFF0FC"/>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comprehensive income</w:t>
            </w:r>
          </w:p>
        </w:tc>
        <w:tc>
          <w:tcPr>
            <w:tcW w:w="15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78,098</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77,188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9"/>
                <w:szCs w:val="19"/>
                <w:color w:val="auto"/>
              </w:rPr>
            </w:pPr>
          </w:p>
        </w:tc>
      </w:tr>
      <w:tr>
        <w:trPr>
          <w:trHeight w:val="223"/>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determination of the Company’s overall effective tax rate requires significant judgment, the use of estimates, and the interpretation and application of complex tax laws. The effective tax rate reflects the income earned and taxed in various United States federal, state, and foreign jurisdictions. Tax law changes, increases and decreases in temporary and permanent differences between book and tax items, valuation allowances against the deferred tax assets, stock-based compensation, and the Company’s change in income in each jurisdiction all affect the overall effective tax rate. It is the Company’s practice to recognize interest and penalties related to uncertain tax positions in income tax expense.</w:t>
      </w:r>
    </w:p>
    <w:p>
      <w:pPr>
        <w:spacing w:after="0" w:line="7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The Company reported income tax benefit of $(1,830) and $(2,739) for the three and nine months ended February 28, 2022 and income tax expense of $6,310 and income tax benefit of $(13,707) for the three and nine months ended February 28, 2021. The income tax expense (benefit) in the current period varies from the US statutory income tax rate and prior period primarily due to the geographical mix of earnings and losses with no tax benefit resulting from valuation allowances in certain jurisdictions</w:t>
      </w:r>
      <w:r>
        <w:rPr>
          <w:rFonts w:ascii="Times New Roman" w:cs="Times New Roman" w:eastAsia="Times New Roman" w:hAnsi="Times New Roman"/>
          <w:sz w:val="18"/>
          <w:szCs w:val="18"/>
          <w:color w:val="242424"/>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Purchase and other commitments</w:t>
      </w:r>
    </w:p>
    <w:p>
      <w:pPr>
        <w:spacing w:after="0" w:line="117" w:lineRule="exact"/>
        <w:rPr>
          <w:sz w:val="20"/>
          <w:szCs w:val="20"/>
          <w:color w:val="auto"/>
        </w:rPr>
      </w:pPr>
    </w:p>
    <w:p>
      <w:pPr>
        <w:jc w:val="both"/>
        <w:ind w:right="20" w:firstLine="510"/>
        <w:spacing w:after="0" w:line="284" w:lineRule="auto"/>
        <w:rPr>
          <w:sz w:val="20"/>
          <w:szCs w:val="20"/>
          <w:color w:val="auto"/>
        </w:rPr>
      </w:pPr>
      <w:r>
        <w:rPr>
          <w:rFonts w:ascii="Times New Roman" w:cs="Times New Roman" w:eastAsia="Times New Roman" w:hAnsi="Times New Roman"/>
          <w:sz w:val="18"/>
          <w:szCs w:val="18"/>
          <w:color w:val="auto"/>
        </w:rPr>
        <w:t xml:space="preserve">The Company has payments on long-term debt (refer to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convertible notes (refer to Note 11 </w:t>
      </w:r>
      <w:r>
        <w:rPr>
          <w:rFonts w:ascii="Times New Roman" w:cs="Times New Roman" w:eastAsia="Times New Roman" w:hAnsi="Times New Roman"/>
          <w:sz w:val="18"/>
          <w:szCs w:val="18"/>
          <w:i w:val="1"/>
          <w:iCs w:val="1"/>
          <w:color w:val="auto"/>
        </w:rPr>
        <w:t>Convertible Debentures</w:t>
      </w:r>
      <w:r>
        <w:rPr>
          <w:rFonts w:ascii="Times New Roman" w:cs="Times New Roman" w:eastAsia="Times New Roman" w:hAnsi="Times New Roman"/>
          <w:sz w:val="18"/>
          <w:szCs w:val="18"/>
          <w:color w:val="auto"/>
        </w:rPr>
        <w:t>), material purchase commitments and construction commitments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repayment</w:t>
            </w: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193,128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70,176</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95,243</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principal and</w:t>
            </w:r>
          </w:p>
        </w:tc>
        <w:tc>
          <w:tcPr>
            <w:tcW w:w="2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589,716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27,503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299,570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262,643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38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Material purchase obligations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commitments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810,683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119,481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398,725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Effective November 10, 2021, the Company entered into a termination and settlement agreement with ABG Intermediate Holdings 2, LLC (“ABG”) and certain of its affiliates. Pursuant to this settlement agreement, the Company terminated $6,600 in remaining guaranteed royalty payments owed to ABG in exchange for the payment of $3,925 as a termination fee. The termination fee was comprised of a $1,500 cash payment plus the issuance of 215,901 Class 2 common shares.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future undiscounted payment associated with lease liabilities as of February 28, 2022: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9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23"/>
        </w:trPr>
        <w:tc>
          <w:tcPr>
            <w:tcW w:w="9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20" w:type="dxa"/>
            <w:vAlign w:val="bottom"/>
          </w:tcPr>
          <w:p>
            <w:pPr>
              <w:spacing w:after="0"/>
              <w:rPr>
                <w:sz w:val="19"/>
                <w:szCs w:val="19"/>
                <w:color w:val="auto"/>
              </w:rPr>
            </w:pPr>
          </w:p>
        </w:tc>
      </w:tr>
      <w:tr>
        <w:trPr>
          <w:trHeight w:val="229"/>
        </w:trPr>
        <w:tc>
          <w:tcPr>
            <w:tcW w:w="9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shd w:val="clear" w:color="auto" w:fill="CFF0FC"/>
          </w:tcPr>
          <w:p>
            <w:pPr>
              <w:spacing w:after="0"/>
              <w:rPr>
                <w:sz w:val="19"/>
                <w:szCs w:val="19"/>
                <w:color w:val="auto"/>
              </w:rPr>
            </w:pPr>
          </w:p>
        </w:tc>
      </w:tr>
      <w:tr>
        <w:trPr>
          <w:trHeight w:val="230"/>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20" w:type="dxa"/>
            <w:vAlign w:val="bottom"/>
          </w:tcPr>
          <w:p>
            <w:pPr>
              <w:spacing w:after="0"/>
              <w:rPr>
                <w:sz w:val="19"/>
                <w:szCs w:val="19"/>
                <w:color w:val="auto"/>
              </w:rPr>
            </w:pPr>
          </w:p>
        </w:tc>
      </w:tr>
      <w:tr>
        <w:trPr>
          <w:trHeight w:val="229"/>
        </w:trPr>
        <w:tc>
          <w:tcPr>
            <w:tcW w:w="9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20" w:type="dxa"/>
            <w:vAlign w:val="bottom"/>
            <w:shd w:val="clear" w:color="auto" w:fill="CFF0FC"/>
          </w:tcPr>
          <w:p>
            <w:pPr>
              <w:spacing w:after="0"/>
              <w:rPr>
                <w:sz w:val="19"/>
                <w:szCs w:val="19"/>
                <w:color w:val="auto"/>
              </w:rPr>
            </w:pPr>
          </w:p>
        </w:tc>
      </w:tr>
      <w:tr>
        <w:trPr>
          <w:trHeight w:val="223"/>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26,588</w:t>
            </w:r>
          </w:p>
        </w:tc>
        <w:tc>
          <w:tcPr>
            <w:tcW w:w="120" w:type="dxa"/>
            <w:vAlign w:val="bottom"/>
          </w:tcPr>
          <w:p>
            <w:pPr>
              <w:spacing w:after="0"/>
              <w:rPr>
                <w:sz w:val="19"/>
                <w:szCs w:val="19"/>
                <w:color w:val="auto"/>
              </w:rPr>
            </w:pPr>
          </w:p>
        </w:tc>
      </w:tr>
      <w:tr>
        <w:trPr>
          <w:trHeight w:val="230"/>
        </w:trPr>
        <w:tc>
          <w:tcPr>
            <w:tcW w:w="9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3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(3,674)</w:t>
            </w:r>
          </w:p>
        </w:tc>
      </w:tr>
      <w:tr>
        <w:trPr>
          <w:trHeight w:val="223"/>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Obligations recognized</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22,914</w:t>
            </w:r>
          </w:p>
        </w:tc>
        <w:tc>
          <w:tcPr>
            <w:tcW w:w="120" w:type="dxa"/>
            <w:vAlign w:val="bottom"/>
          </w:tcPr>
          <w:p>
            <w:pPr>
              <w:spacing w:after="0"/>
              <w:rPr>
                <w:sz w:val="19"/>
                <w:szCs w:val="19"/>
                <w:color w:val="auto"/>
              </w:rPr>
            </w:pPr>
          </w:p>
        </w:tc>
      </w:tr>
      <w:tr>
        <w:trPr>
          <w:trHeight w:val="20"/>
        </w:trPr>
        <w:tc>
          <w:tcPr>
            <w:tcW w:w="9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The Company is and may be a defendant in lawsuits from time to time in the normal course of business. While the results of litigation and claims cannot be predicted with certainty, the Company believes the reasonably possible losses of such matters, individually and in the aggregate, are not material. Additionally, the Company believes the probable final outcome of such matters will not have a material adverse effect on the Company’s consolidated results of operations, financial position, cash flows or liquidity.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18. Net revenue</w:t>
      </w:r>
    </w:p>
    <w:p>
      <w:pPr>
        <w:spacing w:after="0" w:line="12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Company reports its net revenue in four reporting segments: cannabis, distribution, beverage alcohol and wellness, in accordance with ASC 280 Segment Reporting.</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revenue is comprised of:</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Cannabis revenue</w:t>
            </w:r>
          </w:p>
        </w:tc>
        <w:tc>
          <w:tcPr>
            <w:tcW w:w="9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69,178</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55,702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232,540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Cannabis excise taxes</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(14,133)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(13,981)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(48,271)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(45,288)</w:t>
            </w: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9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55,045</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41,721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184,269</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Beverage alcohol revenue</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20,473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Beverage alcohol excise taxes</w:t>
            </w: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(876)</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beverage alcohol revenue</w:t>
            </w:r>
          </w:p>
        </w:tc>
        <w:tc>
          <w:tcPr>
            <w:tcW w:w="9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19,597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62,532</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70,237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198,587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9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14,697</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43,426</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3"/>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151,871</w:t>
            </w:r>
          </w:p>
        </w:tc>
        <w:tc>
          <w:tcPr>
            <w:tcW w:w="20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123,900</w:t>
            </w:r>
          </w:p>
        </w:tc>
        <w:tc>
          <w:tcPr>
            <w:tcW w:w="140" w:type="dxa"/>
            <w:vAlign w:val="bottom"/>
            <w:shd w:val="clear" w:color="auto" w:fill="CFF0FC"/>
          </w:tcPr>
          <w:p>
            <w:pPr>
              <w:spacing w:after="0"/>
              <w:rPr>
                <w:sz w:val="21"/>
                <w:szCs w:val="21"/>
                <w:color w:val="auto"/>
              </w:rPr>
            </w:pPr>
          </w:p>
        </w:tc>
        <w:tc>
          <w:tcPr>
            <w:tcW w:w="380" w:type="dxa"/>
            <w:vAlign w:val="bottom"/>
            <w:gridSpan w:val="3"/>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475,047</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370,849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19. Cost of goods sold</w:t>
            </w:r>
          </w:p>
        </w:tc>
        <w:tc>
          <w:tcPr>
            <w:tcW w:w="9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50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Cost of goods sold is comprised of:</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8"/>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8"/>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37"/>
        </w:trPr>
        <w:tc>
          <w:tcPr>
            <w:tcW w:w="5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gridSpan w:val="8"/>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8"/>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1000" w:type="dxa"/>
            <w:vAlign w:val="bottom"/>
            <w:gridSpan w:val="2"/>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37,042</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122,492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Beverage alcohol costs</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57,566</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178,093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112,042</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93,444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351,497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20. General and administrative expenses</w:t>
            </w: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expenses are comprised of:</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5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FF0FC"/>
            </w:tcBorders>
          </w:tcPr>
          <w:p>
            <w:pPr>
              <w:spacing w:after="0"/>
              <w:rPr>
                <w:sz w:val="21"/>
                <w:szCs w:val="21"/>
                <w:color w:val="auto"/>
              </w:rPr>
            </w:pPr>
          </w:p>
        </w:tc>
        <w:tc>
          <w:tcPr>
            <w:tcW w:w="980" w:type="dxa"/>
            <w:vAlign w:val="bottom"/>
            <w:tcBorders>
              <w:bottom w:val="single" w:sz="8" w:color="CFF0FC"/>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CFF0FC"/>
            </w:tcBorders>
          </w:tcPr>
          <w:p>
            <w:pPr>
              <w:spacing w:after="0"/>
              <w:rPr>
                <w:sz w:val="21"/>
                <w:szCs w:val="21"/>
                <w:color w:val="auto"/>
              </w:rPr>
            </w:pPr>
          </w:p>
        </w:tc>
        <w:tc>
          <w:tcPr>
            <w:tcW w:w="40" w:type="dxa"/>
            <w:vAlign w:val="bottom"/>
            <w:tcBorders>
              <w:top w:val="single" w:sz="8" w:color="auto"/>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FF0FC"/>
            </w:tcBorders>
          </w:tcPr>
          <w:p>
            <w:pPr>
              <w:spacing w:after="0"/>
              <w:rPr>
                <w:sz w:val="21"/>
                <w:szCs w:val="21"/>
                <w:color w:val="auto"/>
              </w:rPr>
            </w:pPr>
          </w:p>
        </w:tc>
        <w:tc>
          <w:tcPr>
            <w:tcW w:w="160" w:type="dxa"/>
            <w:vAlign w:val="bottom"/>
            <w:tcBorders>
              <w:top w:val="single" w:sz="8" w:color="auto"/>
              <w:bottom w:val="single" w:sz="8" w:color="CFF0FC"/>
            </w:tcBorders>
          </w:tcPr>
          <w:p>
            <w:pPr>
              <w:spacing w:after="0"/>
              <w:rPr>
                <w:sz w:val="21"/>
                <w:szCs w:val="21"/>
                <w:color w:val="auto"/>
              </w:rPr>
            </w:pPr>
          </w:p>
        </w:tc>
        <w:tc>
          <w:tcPr>
            <w:tcW w:w="100" w:type="dxa"/>
            <w:vAlign w:val="bottom"/>
            <w:tcBorders>
              <w:top w:val="single" w:sz="8" w:color="auto"/>
              <w:bottom w:val="single" w:sz="8" w:color="CFF0FC"/>
            </w:tcBorders>
          </w:tcPr>
          <w:p>
            <w:pPr>
              <w:spacing w:after="0"/>
              <w:rPr>
                <w:sz w:val="21"/>
                <w:szCs w:val="21"/>
                <w:color w:val="auto"/>
              </w:rPr>
            </w:pPr>
          </w:p>
        </w:tc>
        <w:tc>
          <w:tcPr>
            <w:tcW w:w="100" w:type="dxa"/>
            <w:vAlign w:val="bottom"/>
            <w:tcBorders>
              <w:top w:val="single" w:sz="8" w:color="auto"/>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1220" w:type="dxa"/>
            <w:vAlign w:val="bottom"/>
            <w:gridSpan w:val="3"/>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4,238</w:t>
            </w:r>
          </w:p>
        </w:tc>
        <w:tc>
          <w:tcPr>
            <w:tcW w:w="20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1,916</w:t>
            </w:r>
          </w:p>
        </w:tc>
        <w:tc>
          <w:tcPr>
            <w:tcW w:w="140" w:type="dxa"/>
            <w:vAlign w:val="bottom"/>
            <w:shd w:val="clear" w:color="auto" w:fill="CFF0FC"/>
          </w:tcPr>
          <w:p>
            <w:pPr>
              <w:spacing w:after="0"/>
              <w:rPr>
                <w:sz w:val="21"/>
                <w:szCs w:val="21"/>
                <w:color w:val="auto"/>
              </w:rPr>
            </w:pPr>
          </w:p>
        </w:tc>
        <w:tc>
          <w:tcPr>
            <w:tcW w:w="380" w:type="dxa"/>
            <w:vAlign w:val="bottom"/>
            <w:gridSpan w:val="3"/>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14,076</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9,355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4,835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capital assets</w:t>
            </w: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(861)</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Insurance proceeds</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(4,032)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1,102</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Rent</w:t>
            </w:r>
          </w:p>
        </w:tc>
        <w:tc>
          <w:tcPr>
            <w:tcW w:w="9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2,119</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3"/>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38,445</w:t>
            </w:r>
          </w:p>
        </w:tc>
        <w:tc>
          <w:tcPr>
            <w:tcW w:w="20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24,491</w:t>
            </w:r>
          </w:p>
        </w:tc>
        <w:tc>
          <w:tcPr>
            <w:tcW w:w="140" w:type="dxa"/>
            <w:vAlign w:val="bottom"/>
            <w:shd w:val="clear" w:color="auto" w:fill="CFF0FC"/>
          </w:tcPr>
          <w:p>
            <w:pPr>
              <w:spacing w:after="0"/>
              <w:rPr>
                <w:sz w:val="21"/>
                <w:szCs w:val="21"/>
                <w:color w:val="auto"/>
              </w:rPr>
            </w:pPr>
          </w:p>
        </w:tc>
        <w:tc>
          <w:tcPr>
            <w:tcW w:w="380" w:type="dxa"/>
            <w:vAlign w:val="bottom"/>
            <w:gridSpan w:val="3"/>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121,401</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CFF0FC"/>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500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21. Non-operating income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Non-operating income (expense) is comprised of:</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80" w:type="dxa"/>
            <w:vAlign w:val="bottom"/>
            <w:gridSpan w:val="6"/>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00" w:type="dxa"/>
            <w:vAlign w:val="bottom"/>
          </w:tcPr>
          <w:p>
            <w:pPr>
              <w:spacing w:after="0"/>
              <w:rPr>
                <w:sz w:val="13"/>
                <w:szCs w:val="13"/>
                <w:color w:val="auto"/>
              </w:rPr>
            </w:pPr>
          </w:p>
        </w:tc>
        <w:tc>
          <w:tcPr>
            <w:tcW w:w="2240" w:type="dxa"/>
            <w:vAlign w:val="bottom"/>
            <w:gridSpan w:val="5"/>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73"/>
        </w:trPr>
        <w:tc>
          <w:tcPr>
            <w:tcW w:w="5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6"/>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200" w:type="dxa"/>
            <w:vAlign w:val="bottom"/>
          </w:tcPr>
          <w:p>
            <w:pPr>
              <w:spacing w:after="0"/>
              <w:rPr>
                <w:sz w:val="15"/>
                <w:szCs w:val="15"/>
                <w:color w:val="auto"/>
              </w:rPr>
            </w:pPr>
          </w:p>
        </w:tc>
        <w:tc>
          <w:tcPr>
            <w:tcW w:w="2240" w:type="dxa"/>
            <w:vAlign w:val="bottom"/>
            <w:gridSpan w:val="5"/>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ended February 28,</w:t>
            </w:r>
          </w:p>
        </w:tc>
      </w:tr>
      <w:tr>
        <w:trPr>
          <w:trHeight w:val="156"/>
        </w:trPr>
        <w:tc>
          <w:tcPr>
            <w:tcW w:w="59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convertible debenture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(213,538</w:t>
            </w:r>
          </w:p>
        </w:tc>
        <w:tc>
          <w:tcPr>
            <w:tcW w:w="34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151,851</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(283,881)</w:t>
            </w:r>
          </w:p>
        </w:tc>
        <w:tc>
          <w:tcPr>
            <w:tcW w:w="10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58,802</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(3,884)</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(18,452)</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(23,586)</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long-term investments</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(2,733)</w:t>
            </w:r>
          </w:p>
        </w:tc>
        <w:tc>
          <w:tcPr>
            <w:tcW w:w="2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(6,834)</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(4,252)</w:t>
            </w:r>
          </w:p>
        </w:tc>
      </w:tr>
      <w:tr>
        <w:trPr>
          <w:trHeight w:val="23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non-operating (losses) gains, net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shd w:val="clear" w:color="auto" w:fill="CFF0FC"/>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(220,340)</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186,329</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22.Fair value measurements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Company has classified its financial instruments as described in Note 3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our Annual Report.</w:t>
      </w:r>
    </w:p>
    <w:p>
      <w:pPr>
        <w:spacing w:after="0" w:line="227"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carrying values of accounts receivable, bank indebtedness and accounts payable and accrued liabilities approximate their fair values due to their short periods to maturity.</w:t>
      </w:r>
    </w:p>
    <w:p>
      <w:pPr>
        <w:spacing w:after="0" w:line="162"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At February 28, 2022 the Company’s long-term debt of $18,188 (May 31, 2021 - $20,358) is subject to fixed interest rates. The Company’s long-term debt is valued based on discounting the future cash outflows associated with the long-term debt. The discount rate is based on the incremental premium above market rates for Government of Canada securities of similar duration. In each period thereafter, the incremental premium is held constant while the Government of Canada security is based on the then current market value to derive the discount rate.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2022 and May 31, 2021 and indicates the fair value hierarchy of the valuation techniques the Company utilized to determine such fair value: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0" w:type="dxa"/>
            <w:vAlign w:val="bottom"/>
          </w:tcPr>
          <w:p>
            <w:pPr>
              <w:spacing w:after="0"/>
              <w:rPr>
                <w:sz w:val="1"/>
                <w:szCs w:val="1"/>
                <w:color w:val="auto"/>
              </w:rPr>
            </w:pPr>
          </w:p>
        </w:tc>
      </w:tr>
      <w:tr>
        <w:trPr>
          <w:trHeight w:val="109"/>
        </w:trPr>
        <w:tc>
          <w:tcPr>
            <w:tcW w:w="4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9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90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279,214</w:t>
            </w:r>
          </w:p>
        </w:tc>
        <w:tc>
          <w:tcPr>
            <w:tcW w:w="4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securities classified under available-for-sale method</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liability</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APHA 24 Convertible debenture</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281,631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694,445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0" w:type="dxa"/>
            <w:vAlign w:val="bottom"/>
          </w:tcPr>
          <w:p>
            <w:pPr>
              <w:spacing w:after="0"/>
              <w:rPr>
                <w:sz w:val="1"/>
                <w:szCs w:val="1"/>
                <w:color w:val="auto"/>
              </w:rPr>
            </w:pPr>
          </w:p>
        </w:tc>
      </w:tr>
      <w:tr>
        <w:trPr>
          <w:trHeight w:val="109"/>
        </w:trPr>
        <w:tc>
          <w:tcPr>
            <w:tcW w:w="4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900" w:type="dxa"/>
            <w:vAlign w:val="bottom"/>
            <w:tcBorders>
              <w:bottom w:val="single" w:sz="8" w:color="CFF0FC"/>
            </w:tcBorders>
          </w:tcPr>
          <w:p>
            <w:pPr>
              <w:spacing w:after="0"/>
              <w:rPr>
                <w:sz w:val="5"/>
                <w:szCs w:val="5"/>
                <w:color w:val="auto"/>
              </w:rPr>
            </w:pPr>
          </w:p>
        </w:tc>
        <w:tc>
          <w:tcPr>
            <w:tcW w:w="960" w:type="dxa"/>
            <w:vAlign w:val="bottom"/>
            <w:tcBorders>
              <w:bottom w:val="single" w:sz="8" w:color="CFF0FC"/>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60" w:type="dxa"/>
            <w:vAlign w:val="bottom"/>
            <w:tcBorders>
              <w:bottom w:val="single" w:sz="8" w:color="CFF0FC"/>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40" w:type="dxa"/>
            <w:vAlign w:val="bottom"/>
            <w:tcBorders>
              <w:bottom w:val="single" w:sz="8" w:color="CFF0FC"/>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Debt securities classified under available-for-sale method</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Warrant liability</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78,168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APHA 24 Convertible debenture</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399,444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9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497,717</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3" w:name="page24"/>
    <w:bookmarkEnd w:id="23"/>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required to be measured on a recurring basis are its equity investments measured at fair value, debt securities classified as available-for-sale, acquisition-related contingent consideration, and warrant liability.</w:t>
      </w:r>
    </w:p>
    <w:p>
      <w:pPr>
        <w:spacing w:after="0" w:line="16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Convertible notes receivable, and equity investments are recorded at fair value. The estimated fair value is determined using quoted market prices, broker or dealer quotations or discounted cash flows and is classified as Level 2. Certain equity investments recorded at fair value have quoted prices in active markets for identical assets and are classified as Level 1.</w:t>
      </w:r>
    </w:p>
    <w:p>
      <w:pPr>
        <w:spacing w:after="0" w:line="176"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Debt securities classified as available-for sale are recorded at fair value. The estimated fair value is determined using the Black-Scholes option pricing model and is classified as Level 3. The Company classified these securities as level 2 in the period of acquisition, when the valuation was determined to reflect the recent market transaction.</w:t>
      </w:r>
    </w:p>
    <w:p>
      <w:pPr>
        <w:spacing w:after="0" w:line="176"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warrants associated with the warrant liability are classified as Level 3 derivatives. Consequently, the estimated fair value of the warrant liability is determined using the Black-Scholes pricing model. Until the warrants are exercised, expire, or other facts and circumstances lead the warrant liability to be reclassified to stockholders’ equity, the warrant liability (which relates to warrants to purchase shares of common stock) is marked-to-market each reporting period with the change in fair value recorded in change in fair value of warrant liability. Any significant adjustments to the unobservable inputs disclosed in the table below would have a direct impact on the fair value of the warrant liability.</w:t>
      </w:r>
    </w:p>
    <w:p>
      <w:pPr>
        <w:spacing w:after="0" w:line="183"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contingent consideration from the acquisition of SweetWater, first due in December 2023 and payable in cash, is determined by discounting future expected cash outflows at a discount rate of 5%, and probability of achievement of 50%. The unobservable inputs into the future expected cash outflows result in a fair value measurement classified as Level 3.</w:t>
      </w:r>
    </w:p>
    <w:p>
      <w:pPr>
        <w:spacing w:after="0" w:line="176"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APHA 24 Convertible debentures are recorded at fair value. The estimated fair value is determined using the Black-Scholes option pricing model and is classified as Level 3.</w:t>
      </w:r>
    </w:p>
    <w:p>
      <w:pPr>
        <w:spacing w:after="0" w:line="162"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balances of assets and liabilities categorized within Level 3 of the fair value hierarchy measured at fair value on a recurring basis are reconciled,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38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APHA 24</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Debt</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240" w:type="dxa"/>
            <w:vAlign w:val="bottom"/>
          </w:tcPr>
          <w:p>
            <w:pPr>
              <w:spacing w:after="0"/>
              <w:rPr>
                <w:sz w:val="15"/>
                <w:szCs w:val="15"/>
                <w:color w:val="auto"/>
              </w:rPr>
            </w:pPr>
          </w:p>
        </w:tc>
        <w:tc>
          <w:tcPr>
            <w:tcW w:w="138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14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May 31, 2021</w:t>
            </w:r>
          </w:p>
        </w:tc>
        <w:tc>
          <w:tcPr>
            <w:tcW w:w="138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7"/>
              </w:rPr>
              <w:t>Debt</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4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AFS</w:t>
            </w:r>
          </w:p>
        </w:tc>
        <w:tc>
          <w:tcPr>
            <w:tcW w:w="220" w:type="dxa"/>
            <w:vAlign w:val="bottom"/>
          </w:tcPr>
          <w:p>
            <w:pPr>
              <w:spacing w:after="0"/>
              <w:rPr>
                <w:sz w:val="15"/>
                <w:szCs w:val="15"/>
                <w:color w:val="auto"/>
              </w:rPr>
            </w:pPr>
          </w:p>
        </w:tc>
        <w:tc>
          <w:tcPr>
            <w:tcW w:w="92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(399,444)</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(78,168)</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(60,657)</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380" w:type="dxa"/>
            <w:vAlign w:val="bottom"/>
            <w:gridSpan w:val="3"/>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170,799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Disposals</w:t>
            </w:r>
          </w:p>
        </w:tc>
        <w:tc>
          <w:tcPr>
            <w:tcW w:w="13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gain (loss) on fair value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169,499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58,802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(48,034)</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Balance, February 28, 2022</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(229,945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122,765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(158,138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unrealized gain (loss) on fair value for the convertible debenture, the warrant liability, contingent consideration, and debt securities classified under available-for-sale method is recognized in non-operating income (loss) using the following inputs: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asset / financial liability</w:t>
            </w:r>
          </w:p>
        </w:tc>
        <w:tc>
          <w:tcPr>
            <w:tcW w:w="1580" w:type="dxa"/>
            <w:vAlign w:val="bottom"/>
            <w:gridSpan w:val="2"/>
            <w:vMerge w:val="continue"/>
          </w:tcPr>
          <w:p>
            <w:pPr>
              <w:spacing w:after="0"/>
              <w:rPr>
                <w:sz w:val="12"/>
                <w:szCs w:val="12"/>
                <w:color w:val="auto"/>
              </w:rPr>
            </w:pPr>
          </w:p>
        </w:tc>
        <w:tc>
          <w:tcPr>
            <w:tcW w:w="15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6640" w:type="dxa"/>
            <w:vAlign w:val="bottom"/>
            <w:vMerge w:val="continue"/>
          </w:tcPr>
          <w:p>
            <w:pPr>
              <w:spacing w:after="0"/>
              <w:rPr>
                <w:sz w:val="15"/>
                <w:szCs w:val="15"/>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640" w:type="dxa"/>
            <w:vAlign w:val="bottom"/>
            <w:tcBorders>
              <w:top w:val="single" w:sz="8" w:color="CFF0FC"/>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5"/>
              </w:rPr>
              <w:t>Volatility,</w:t>
            </w:r>
          </w:p>
        </w:tc>
        <w:tc>
          <w:tcPr>
            <w:tcW w:w="160" w:type="dxa"/>
            <w:vAlign w:val="bottom"/>
            <w:tcBorders>
              <w:top w:val="single" w:sz="8" w:color="CFF0FC"/>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APHA Convertible debentures</w:t>
            </w:r>
          </w:p>
        </w:tc>
        <w:tc>
          <w:tcPr>
            <w:tcW w:w="15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Black-Scholes</w:t>
            </w:r>
          </w:p>
        </w:tc>
        <w:tc>
          <w:tcPr>
            <w:tcW w:w="15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expected life</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2.3 years</w:t>
            </w:r>
          </w:p>
        </w:tc>
        <w:tc>
          <w:tcPr>
            <w:tcW w:w="0" w:type="dxa"/>
            <w:vAlign w:val="bottom"/>
          </w:tcPr>
          <w:p>
            <w:pPr>
              <w:spacing w:after="0"/>
              <w:rPr>
                <w:sz w:val="1"/>
                <w:szCs w:val="1"/>
                <w:color w:val="auto"/>
              </w:rPr>
            </w:pPr>
          </w:p>
        </w:tc>
      </w:tr>
      <w:tr>
        <w:trPr>
          <w:trHeight w:val="211"/>
        </w:trPr>
        <w:tc>
          <w:tcPr>
            <w:tcW w:w="6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Volatility,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Black-Scholes</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expected life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 years</w:t>
            </w:r>
          </w:p>
        </w:tc>
        <w:tc>
          <w:tcPr>
            <w:tcW w:w="0" w:type="dxa"/>
            <w:vAlign w:val="bottom"/>
          </w:tcPr>
          <w:p>
            <w:pPr>
              <w:spacing w:after="0"/>
              <w:rPr>
                <w:sz w:val="1"/>
                <w:szCs w:val="1"/>
                <w:color w:val="auto"/>
              </w:rPr>
            </w:pPr>
          </w:p>
        </w:tc>
      </w:tr>
      <w:tr>
        <w:trPr>
          <w:trHeight w:val="211"/>
        </w:trPr>
        <w:tc>
          <w:tcPr>
            <w:tcW w:w="66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Discounted</w:t>
            </w:r>
          </w:p>
        </w:tc>
        <w:tc>
          <w:tcPr>
            <w:tcW w:w="15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8"/>
              </w:rPr>
              <w:t>Discount rate,</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5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cash flows</w:t>
            </w:r>
          </w:p>
        </w:tc>
        <w:tc>
          <w:tcPr>
            <w:tcW w:w="158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8"/>
              </w:rPr>
              <w:t>achievement</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1"/>
        </w:trPr>
        <w:tc>
          <w:tcPr>
            <w:tcW w:w="6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Interest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classified under available-for-sale method</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Black-Scholes</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conversion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 to 60%</w:t>
            </w:r>
          </w:p>
        </w:tc>
        <w:tc>
          <w:tcPr>
            <w:tcW w:w="0" w:type="dxa"/>
            <w:vAlign w:val="bottom"/>
          </w:tcPr>
          <w:p>
            <w:pPr>
              <w:spacing w:after="0"/>
              <w:rPr>
                <w:sz w:val="1"/>
                <w:szCs w:val="1"/>
                <w:color w:val="auto"/>
              </w:rPr>
            </w:pPr>
          </w:p>
        </w:tc>
      </w:tr>
    </w:tbl>
    <w:p>
      <w:pPr>
        <w:spacing w:after="0" w:line="3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Items measured at fair value on a non-recurring basis</w:t>
      </w:r>
    </w:p>
    <w:p>
      <w:pPr>
        <w:spacing w:after="0" w:line="119"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Company's prepaids and other current assets, long lived assets, including property and equipment, goodwill and intangible assets are measured at fair value when there is an indicator of impairment and are recorded at fair value only when an impairment charge is recognized.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4" w:name="page25"/>
    <w:bookmarkEnd w:id="24"/>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Management reviews its capital management approach on an ongoing basis and believes that this approach, given the relative size of the Company, is reasonable. There have been no changes to the Company’s capital management approach in the period. The Company considers its cash and cash equivalents and marketable securities as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23.Segment reporting</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Company operates in four reporting segments. 1) cannabis operations, which encompasses the production, distribution and sale of both medical and adult-use cannabis, 2) beverage alcohol operations, which encompasses the production, marketing and sale of beverage alcohol products, 3) distribution operations, which encompasses the purchase and resale of pharmaceuticals products to customers, and 4) wellness products, which encompasses hemp foods and cannabidiol (“CBD”) products. This structure is in line with how our Chief Operating Decision Maker (“CODM”) assesses our performance and allocates resources.</w:t>
      </w:r>
    </w:p>
    <w:p>
      <w:pPr>
        <w:spacing w:after="0" w:line="75"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Operating segments have not been aggregated and no asset information is provided for the segments because the Company’s CODM does not receive asset information by segment on a regular basis. While the Company reported “business under development” as a fifth segment in its previous Annual Report, management determined that this no longer met the definition of a reporting segment.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Segment net revenue from external customers: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gridSpan w:val="10"/>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11"/>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10"/>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17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right"/>
              <w:ind w:right="27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10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55,045</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41,721</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184,269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147,689</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62,532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70,237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198,587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210,508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Beverage alcohol business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11,942</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14,697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43,426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151,871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123,900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370,849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Segment gross profit from external customers:</w:t>
            </w: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10"/>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10"/>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74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gridSpan w:val="3"/>
          </w:tcPr>
          <w:p>
            <w:pPr>
              <w:jc w:val="right"/>
              <w:ind w:right="33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18,003</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61,777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66,909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20,494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Beverage alcohol business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11,506</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28,091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13,188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39,829</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123,550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100,684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Channels of Cannabis revenue were as follows:</w:t>
            </w: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10"/>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10"/>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74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gridSpan w:val="3"/>
          </w:tcPr>
          <w:p>
            <w:pPr>
              <w:jc w:val="right"/>
              <w:ind w:right="33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Canadian medical cannabis products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18,571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Canadian adult-use cannabis products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162,632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163,220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wholesale cannabis products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international cannabis products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excise taxes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(14,133)</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(13,981)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(48,271)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(45,288)</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184,269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147,689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7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color w:val="auto"/>
        </w:rPr>
        <w:t>Geographic net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0" w:type="dxa"/>
            <w:vAlign w:val="bottom"/>
          </w:tcPr>
          <w:p>
            <w:pPr>
              <w:spacing w:after="0"/>
              <w:rPr>
                <w:sz w:val="1"/>
                <w:szCs w:val="1"/>
                <w:color w:val="auto"/>
              </w:rPr>
            </w:pPr>
          </w:p>
        </w:tc>
      </w:tr>
      <w:tr>
        <w:trPr>
          <w:trHeight w:val="155"/>
        </w:trPr>
        <w:tc>
          <w:tcPr>
            <w:tcW w:w="4160" w:type="dxa"/>
            <w:vAlign w:val="bottom"/>
            <w:tcBorders>
              <w:bottom w:val="single" w:sz="8" w:color="CFF0FC"/>
            </w:tcBorders>
          </w:tcPr>
          <w:p>
            <w:pPr>
              <w:spacing w:after="0"/>
              <w:rPr>
                <w:sz w:val="13"/>
                <w:szCs w:val="13"/>
                <w:color w:val="auto"/>
              </w:rPr>
            </w:pPr>
          </w:p>
        </w:tc>
        <w:tc>
          <w:tcPr>
            <w:tcW w:w="17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7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73,234</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54,190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236,220</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225,596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7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13,231</w:t>
            </w:r>
          </w:p>
        </w:tc>
        <w:tc>
          <w:tcPr>
            <w:tcW w:w="3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151,871</w:t>
            </w: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123,900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475,047</w:t>
            </w:r>
          </w:p>
        </w:tc>
        <w:tc>
          <w:tcPr>
            <w:tcW w:w="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Geographic capital assets:</w:t>
            </w:r>
          </w:p>
        </w:tc>
        <w:tc>
          <w:tcPr>
            <w:tcW w:w="1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6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0" w:type="dxa"/>
            <w:vAlign w:val="bottom"/>
          </w:tcPr>
          <w:p>
            <w:pPr>
              <w:spacing w:after="0"/>
              <w:rPr>
                <w:sz w:val="1"/>
                <w:szCs w:val="1"/>
                <w:color w:val="auto"/>
              </w:rPr>
            </w:pPr>
          </w:p>
        </w:tc>
      </w:tr>
      <w:tr>
        <w:trPr>
          <w:trHeight w:val="173"/>
        </w:trPr>
        <w:tc>
          <w:tcPr>
            <w:tcW w:w="4160" w:type="dxa"/>
            <w:vAlign w:val="bottom"/>
            <w:tcBorders>
              <w:bottom w:val="single" w:sz="8" w:color="CFF0FC"/>
            </w:tcBorders>
          </w:tcPr>
          <w:p>
            <w:pPr>
              <w:spacing w:after="0"/>
              <w:rPr>
                <w:sz w:val="15"/>
                <w:szCs w:val="15"/>
                <w:color w:val="auto"/>
              </w:rPr>
            </w:pPr>
          </w:p>
        </w:tc>
        <w:tc>
          <w:tcPr>
            <w:tcW w:w="178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88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40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472,096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127,482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3,894</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603,472</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650,698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Major customers are defined as customers that each individually account for greater than 10% of the Company’s annual revenues. For the three and nine months ended February 28, 2022 and 2021, there were no major customers representing greater than 10% of our annual revenues.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24.Subsequent Events</w:t>
      </w:r>
    </w:p>
    <w:p>
      <w:pPr>
        <w:spacing w:after="0" w:line="135"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On March 3, 2022, we entered into a sales agreement (the “Sales Agreement”) with Jefferies LLC and Canaccord Genuity LLC (each, an “Agent” and together, the “Agents”), pursuant to which we may offer and sell shares of Tilray’s Class 2 common stock, par value $0.0001 per share, having an aggregate offering price of up to $400 million from time to time through an at the market equity offering program under which the Agents act as sales agent (the “ATM Program”). Under the Sales Agreement, the Agents may sell shares by methods deemed to be an "at the market offering" as defined in Rule 415(a)(4) promulgated under the Securities Act of 1933, as amended, including but not limited to sales made directly on or through the Nasdaq Global Select Market or on any other existing trading market for Tilray’s Class 2 common stock. Each Agent will be entitled to a commission of up to three percent (3.0%) of the gross proceeds of each sale of Tilray’s Class 2 common stock made through or to such Agent from time to time under the Sales Agreement.</w:t>
      </w:r>
    </w:p>
    <w:p>
      <w:pPr>
        <w:spacing w:after="0" w:line="192"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As of April 6, 2022, we sold an aggregate of 16,941,537 shares of Tilray’s Class 2 common stock under the Sales Agreement, resulting in aggregate net proceeds to us of approximately $88 million, and gross proceeds of approximately $90 million, and paid to the Agents commissions and fees of approximately $2 million, and other expenses of $0.3 million. As of April 6, 2022, the remaining availability under the Sales Agreement is approximately $310 million. As a result of the sale of shares from the ATM Program, the exercise price on the outstanding warrants have been adjusted from $5.95 to $4.91.</w:t>
      </w:r>
    </w:p>
    <w:p>
      <w:pPr>
        <w:spacing w:after="0" w:line="183"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On March 15, 2022, the Company entered into a sale agreement for the disposition of its Nanaimo, Canada, facility for a purchase price equal to CAD $18.25 million, with a targeted closing date in June 2022 subject to customary terms and satisfactory of closing conditions.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Operations should be read in conjunction with the Consolidated Financial Statements and the related Notes thereto for the period ended February 28, 2022 contained in this Quarterly Report on Form 10-Q and our Annual Report on Form 10-K for the fiscal year ended May 31, 2021. Forward looking statements in this Form 10-Q are qualified by the cautionary statement included in this Form 10-Q under the sub-heading “Cautionary Note Regarding Forward-Looking Statements” in the introduction of this Form 10-Q.</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are a leading global cannabis-lifestyle and consumer packaged goods company headquartered in Leamington, Ontario, with the largest global geographic footprint in the industry; including operations in Canada, the United States, Europe, Australia, New Zealand and Latin America that is changing people’s lives for the better – one person at a time – by inspiring and empowering the worldwide community to live their very best life by providing them with products that meet the needs of their mind, body, and soul and invoke a sense of wellbeing. Tilray’s mission is to be the trusted partner for its patients and consumers by providing them with a cultivated experience and health and wellbeing through high-quality, differentiated brands and innovative products.</w:t>
      </w:r>
    </w:p>
    <w:p>
      <w:pPr>
        <w:spacing w:after="0" w:line="187"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In the pursuit of our strategic vision and mission, we continue to leverage our scale, expertise and capabilities to drive brand awareness and market share in Canada, Europe, the United States and the rest of world, achieve industry-leading, profitable growth and build sustainable, long-term stockholder value. In order to ensure the long-term sustainable growth of our Company, we continue to focus on developing strong capabilities, including in consumer and patient insights, drive category management leadership and assess growth opportunities with the introduction of innovative new products and the entry into new markets. In addition, we are relentlessly focused on managing our cost of goods and expenses in order to maintain our strong financial position and expand our profit margins.</w:t>
      </w:r>
    </w:p>
    <w:p>
      <w:pPr>
        <w:spacing w:after="0" w:line="187"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On April 30, 2021, upon consummation of the arrangement with Aphria Inc. (“Aphria”) pursuant to a plan of arrangement under the Business Corporations Act (Ontario) (the “Arrangement”), Aphria stockholders and Tilray stockholders owned approximately 61.2% and 38.8%, respectively, of the post-closing outstanding Tilray common stock resulting in the reverse acquisition of Tilray, whereby Tilray is the legal acquirer and Aphria is the acquirer for accounting purposes. Accordingly, as reported in our Annual Report and in this Form 10-Q, the assets and liabilities of Aphria are presented at their historical carrying values and the assets and liabilities of Tilray are recognized on the effective date of the business combination transaction and measured at fair value. The operating results for the comparable period, the three and nine months ended February 28, 2021, are of those of Aphria. Accordingly, comparisons between the Company's results for the three and nine months ended February 28, 2022 and prior periods may not be meaningful. In conjunction with the reverse acquisition, the Company elected to adopt Aphria’s fiscal year of June 1 to May 31.</w:t>
      </w:r>
    </w:p>
    <w:p>
      <w:pPr>
        <w:spacing w:after="0" w:line="19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Prior to the completion of the Arrangement, our condensed consolidated financial statements were presented under International Financial Reporting Standards (“IFRS”) as issued by the International Accounting Standards Board and in Canadian Dollars (C$). All prior periods have been recast and are shown in this Form 10-Q under GAAP and in United States Dollars ($).</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Market Dynamics.</w:t>
      </w:r>
    </w:p>
    <w:p>
      <w:pPr>
        <w:spacing w:after="0" w:line="119"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Our cannabis business reporting segment operates in an industry that is still in its early stages of development. In Canada, the industry celebrated its third year of adult-use legalization in October 2021. As the industry continues to mature, there are a number of new entrants into the industry, which has led to increased competition. This competitive environment in the Canadian cannabis industry subjects us to the risk of loss of market share, price discounting by competitors, and to the challenge of acquiring new customers amidst the evolving market changes. The number of licenses granted, and the number of licensed producers ultimately authorized by Health Canada could have an adverse impact on our ability to compete for market share in Canada. During the three months ended February 28, 2022, we maintained our market leadership within Canada but experienced a decline in market share percent to 10.2% from the 12.8% market share we maintained for the three months ended November 30, 2021. Prior to the end of our fiscal second quarter, the Company was primarily focused on margin maintenance in Canada. With the current market dynamics and the Company’s cost advantages, the Company adjusted its focus to be more price competitive in the value, mainstream and premium plus market categories, particularly, in vape and pre-rolled products. Our price adjustments in the vape and pre-rolled markets proved successful, with the Company increasing its market share in both categories in the current quarter, as measured by HiFyre data.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The cannabis industry in Europe is also in its early stages of development whereby countries within Europe are at different stages of legalization of medical and adult-use cannabis as some countries have expressed a clear political ambition to broadly legalize adult-use cannabis (Germany, Portugal, Luxembourg and Malta), some are engaging in an experiment for adult-use (Netherlands, Switzerland) and some are debating regulations for cannabinoid-based medicine (France, Spain, Italy, and the United Kingdom). In Europe, we believe that, despite continuing COVID-19 pressure, and the Russian conflict with Ukraine cannabis legalization (both medicinal and adult-use) will continue to gain traction, especially following actions of the Maltese and German governments. We also continue to believe that Tilray remains uniquely positioned to win in these markets with its infrastructure being the only company with EU-GMP cultivation facilities in two countries within Europe, our distribution network and our demonstrated commitment to the availability, quality and safety of our products. Today, Germany remains the largest medical cannabis market in Europe.</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state of cannabis legalization within Europe:</w:t>
      </w:r>
    </w:p>
    <w:p>
      <w:pPr>
        <w:spacing w:after="0" w:line="223" w:lineRule="exact"/>
        <w:rPr>
          <w:sz w:val="20"/>
          <w:szCs w:val="20"/>
          <w:color w:val="auto"/>
        </w:rPr>
      </w:pPr>
    </w:p>
    <w:p>
      <w:pPr>
        <w:jc w:val="both"/>
        <w:ind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Germany</w:t>
      </w:r>
      <w:r>
        <w:rPr>
          <w:rFonts w:ascii="Times New Roman" w:cs="Times New Roman" w:eastAsia="Times New Roman" w:hAnsi="Times New Roman"/>
          <w:sz w:val="18"/>
          <w:szCs w:val="18"/>
          <w:color w:val="auto"/>
        </w:rPr>
        <w:t>. The new coalition government led by chancellor Olaf Schulz declared its intention to legalize adult-use cannabis use, which aims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 the sale of adult-use cannabis. To date, Tilray remains the sole producer among the three selected to distribute domestically grown cannabis for the BfArM through its state-of-the-art first operating medical cannabis center in Neuemunster.</w:t>
      </w:r>
    </w:p>
    <w:p>
      <w:pPr>
        <w:spacing w:after="0" w:line="173" w:lineRule="exact"/>
        <w:rPr>
          <w:sz w:val="20"/>
          <w:szCs w:val="20"/>
          <w:color w:val="auto"/>
        </w:rPr>
      </w:pPr>
    </w:p>
    <w:p>
      <w:pPr>
        <w:jc w:val="both"/>
        <w:ind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Malta. </w:t>
      </w:r>
      <w:r>
        <w:rPr>
          <w:rFonts w:ascii="Times New Roman" w:cs="Times New Roman" w:eastAsia="Times New Roman" w:hAnsi="Times New Roman"/>
          <w:sz w:val="18"/>
          <w:szCs w:val="18"/>
          <w:color w:val="auto"/>
        </w:rPr>
        <w:t>In December 2021, Malta now allows its citizens to grow up to six plants at home, possess up to seven grams for personal use, establish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dedicated government authority, and allows the creation of social cannabis clubs. Although commercial sales are still forbidden, such achievement marks an important cornerstone for the cannabis industry in Europe.</w:t>
      </w:r>
    </w:p>
    <w:p>
      <w:pPr>
        <w:spacing w:after="0" w:line="173" w:lineRule="exact"/>
        <w:rPr>
          <w:sz w:val="20"/>
          <w:szCs w:val="20"/>
          <w:color w:val="auto"/>
        </w:rPr>
      </w:pPr>
    </w:p>
    <w:p>
      <w:pPr>
        <w:jc w:val="both"/>
        <w:ind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Luxemburg</w:t>
      </w:r>
      <w:r>
        <w:rPr>
          <w:rFonts w:ascii="Times New Roman" w:cs="Times New Roman" w:eastAsia="Times New Roman" w:hAnsi="Times New Roman"/>
          <w:sz w:val="18"/>
          <w:szCs w:val="18"/>
          <w:color w:val="auto"/>
        </w:rPr>
        <w:t>. The government stated intentions to legalize adult-use cannabis in October 2021, thereby allowing cultivation, possession, and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seeds. However, legislation delays are due to the COVID-19 pandemic. The Luxemburg government has refined its draft bill, which we believe will be enacted in calendar year 2022.</w:t>
      </w:r>
    </w:p>
    <w:p>
      <w:pPr>
        <w:spacing w:after="0" w:line="173"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Italy</w:t>
      </w:r>
      <w:r>
        <w:rPr>
          <w:rFonts w:ascii="Times New Roman" w:cs="Times New Roman" w:eastAsia="Times New Roman" w:hAnsi="Times New Roman"/>
          <w:sz w:val="18"/>
          <w:szCs w:val="18"/>
          <w:color w:val="auto"/>
        </w:rPr>
        <w:t>. Cannabis activists successfully set up a referendum to decriminalize domestic cannabis cultivation and remove penalties for cannabis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possession. Although blocked by the constitutional court on other grounds, we are witnessing strong evolutions in the ways the Italian Government and administration are planning to facilitate patient access to medical cannabis. We project the market opening towards more exhaustive supply sources for flowers and extracts.</w:t>
      </w:r>
    </w:p>
    <w:p>
      <w:pPr>
        <w:spacing w:after="0" w:line="180" w:lineRule="exact"/>
        <w:rPr>
          <w:sz w:val="20"/>
          <w:szCs w:val="20"/>
          <w:color w:val="auto"/>
        </w:rPr>
      </w:pPr>
    </w:p>
    <w:p>
      <w:pPr>
        <w:jc w:val="both"/>
        <w:ind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Switzerland. </w:t>
      </w:r>
      <w:r>
        <w:rPr>
          <w:rFonts w:ascii="Times New Roman" w:cs="Times New Roman" w:eastAsia="Times New Roman" w:hAnsi="Times New Roman"/>
          <w:sz w:val="18"/>
          <w:szCs w:val="18"/>
          <w:color w:val="auto"/>
        </w:rPr>
        <w:t>In October 2021, Switzerland announced its intention to legalize cannabis by allowing production, cultivation, trade, and consumption.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meantime, a three-year pilot project will commence in the Fall 2022 to conduct scientific studies on the cannabis market and its impact on Swiss society.</w:t>
      </w:r>
    </w:p>
    <w:p>
      <w:pPr>
        <w:spacing w:after="0" w:line="173" w:lineRule="exact"/>
        <w:rPr>
          <w:sz w:val="20"/>
          <w:szCs w:val="20"/>
          <w:color w:val="auto"/>
        </w:rPr>
      </w:pPr>
    </w:p>
    <w:p>
      <w:pPr>
        <w:jc w:val="both"/>
        <w:ind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Spain. </w:t>
      </w:r>
      <w:r>
        <w:rPr>
          <w:rFonts w:ascii="Times New Roman" w:cs="Times New Roman" w:eastAsia="Times New Roman" w:hAnsi="Times New Roman"/>
          <w:sz w:val="18"/>
          <w:szCs w:val="18"/>
          <w:color w:val="auto"/>
        </w:rPr>
        <w:t>A subcommittee on medical cannabis was recently created in Spanish Congress' Health Committee. Hearings started in early March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series of national and EU experts attending. A report with recommendations for a regulation on MC in Spain is expected by the end of June 2022, which will likely lead the way for a government-sponsored bill on medical cannabis.</w:t>
      </w:r>
    </w:p>
    <w:p>
      <w:pPr>
        <w:spacing w:after="0" w:line="173" w:lineRule="exact"/>
        <w:rPr>
          <w:sz w:val="20"/>
          <w:szCs w:val="20"/>
          <w:color w:val="auto"/>
        </w:rPr>
      </w:pPr>
    </w:p>
    <w:p>
      <w:pPr>
        <w:jc w:val="both"/>
        <w:ind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France</w:t>
      </w:r>
      <w:r>
        <w:rPr>
          <w:rFonts w:ascii="Times New Roman" w:cs="Times New Roman" w:eastAsia="Times New Roman" w:hAnsi="Times New Roman"/>
          <w:sz w:val="18"/>
          <w:szCs w:val="18"/>
          <w:color w:val="auto"/>
        </w:rPr>
        <w:t>. France launched a two-year pilot experiment to supply approximately 3,000 patients with medical cannabis. To date, approximately 1,500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are enrolled in the experiment.</w:t>
      </w:r>
    </w:p>
    <w:p>
      <w:pPr>
        <w:spacing w:after="0" w:line="158"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United Kingdom. </w:t>
      </w:r>
      <w:r>
        <w:rPr>
          <w:rFonts w:ascii="Times New Roman" w:cs="Times New Roman" w:eastAsia="Times New Roman" w:hAnsi="Times New Roman"/>
          <w:sz w:val="18"/>
          <w:szCs w:val="18"/>
          <w:color w:val="auto"/>
        </w:rPr>
        <w:t>Medical cannabis is legal in the United Kingdom, however, there is a need to maximize both clinical research and patient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safe, cautious and ethical manner so that those patients for whom medical cannabis is shown to be effective can access it. Currently, a new piece of legislation is in discussion, which aims to improve access to cannabinoid-based medicine through two measures: (1) expanding the ability to prescribe these products to General Practitioners (GPs) who are registered with the General Medical Council and (2) establishing a commission for the assessment of cannabinoid-based medicinal products. The bill is sitting for the session of May 6 at the House of Commons. The department of health and social care announced that trials of medical cannabis in the UK will begin “as soon as possible.” The Government's National Institute for Health Research oversees the studies, which will study the effects of medical cannabis on epilepsy.</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Acquisitions and synergies.</w:t>
      </w:r>
    </w:p>
    <w:p>
      <w:pPr>
        <w:spacing w:after="0" w:line="119"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have grown, and strive to continue to expand our business, through a combination of organic growth and acquisition. While we continue to execute against our strategic initiatives that we believe will result the in long-term, sustainable growth and value to our stockholders, we continue to evaluate potential acquisitions and other strategic transactions of businesses that we believe complement our existing portfolio, infrastructure and capabilities or provide us with the opportunity to enter attractive new geographic markets and product categories. As a result, we incur transaction costs in connection with identifying and completing acquisitions and strategic transactions, as well as ongoing integration costs as we combine acquired companies and continue to achieve synergies. For the nine months ended February 28, 2022, we incurred $42.9 million of transaction costs.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In connection with the Arrangement, we committed to achieving at least $80 million of synergies in connection with the integration of Tilray and Aphria and developed a robust plan and timeline to achieve such synergies. In executing our integration plan, we evaluated and optimized the organizational structure, evaluated and retained the talent and capabilities we identified as necessary to achieve our longer-term growth plan and vision, reviewed contracts and arrangements, and analyzed our supply chain and our strategic partnerships. During the nine months ended February 28, 2022, we have executed on a series of synergistic actions, which included:</w:t>
      </w:r>
    </w:p>
    <w:p>
      <w:pPr>
        <w:spacing w:after="0" w:line="75" w:lineRule="exact"/>
        <w:rPr>
          <w:sz w:val="20"/>
          <w:szCs w:val="20"/>
          <w:color w:val="auto"/>
        </w:rPr>
      </w:pPr>
    </w:p>
    <w:p>
      <w:pPr>
        <w:jc w:val="both"/>
        <w:ind w:left="740" w:hanging="368"/>
        <w:spacing w:after="0" w:line="266"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a termination and settlement agreement with ABG Intermediate Holdings 2, LLC (“ABG”) and certain of its affiliates whereby we terminated the license to use certain trademarks and the obligation to pay associated royalties. Pursuant to this settlement agreement, we terminated $6.6 million in remaining guaranteed royalty payments owed to ABG in exchange for the payment of a $3.9 million termination fee.</w:t>
      </w:r>
    </w:p>
    <w:p>
      <w:pPr>
        <w:spacing w:after="0" w:line="67" w:lineRule="exact"/>
        <w:rPr>
          <w:rFonts w:ascii="Times New Roman" w:cs="Times New Roman" w:eastAsia="Times New Roman" w:hAnsi="Times New Roman"/>
          <w:sz w:val="18"/>
          <w:szCs w:val="18"/>
          <w:color w:val="auto"/>
        </w:rPr>
      </w:pPr>
    </w:p>
    <w:p>
      <w:pPr>
        <w:jc w:val="both"/>
        <w:ind w:left="740" w:hanging="368"/>
        <w:spacing w:after="0" w:line="258"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continued efforts to close down the legacy-Tilray Canadian facilities in Nanaimo and Enniskillen and integrate their forecasted demand into our Leamington facilities, thereby aligning our cost structure across our brands and products in Canada. On December 24, 2021, the Company agreed to extend the lease term of the Enniskillen facility to September 30, 2022, pursuant to a lease amendment that is intended to provide the Company with additional time to facilitate a disposition of the facility. On March 15, 2022, the Company entered into a sale agreement for the Nanaimo, Canada, facility for CAD $18.25 million with an expected closing date in June 2022 as outlined in </w:t>
      </w:r>
      <w:r>
        <w:rPr>
          <w:rFonts w:ascii="Times New Roman" w:cs="Times New Roman" w:eastAsia="Times New Roman" w:hAnsi="Times New Roman"/>
          <w:sz w:val="18"/>
          <w:szCs w:val="18"/>
          <w:i w:val="1"/>
          <w:iCs w:val="1"/>
          <w:color w:val="auto"/>
        </w:rPr>
        <w:t>Note 24.</w:t>
      </w:r>
    </w:p>
    <w:p>
      <w:pPr>
        <w:spacing w:after="0" w:line="75" w:lineRule="exact"/>
        <w:rPr>
          <w:rFonts w:ascii="Times New Roman" w:cs="Times New Roman" w:eastAsia="Times New Roman" w:hAnsi="Times New Roman"/>
          <w:sz w:val="18"/>
          <w:szCs w:val="18"/>
          <w:color w:val="auto"/>
        </w:rPr>
      </w:pPr>
    </w:p>
    <w:p>
      <w:pPr>
        <w:jc w:val="both"/>
        <w:ind w:left="740" w:hanging="368"/>
        <w:spacing w:after="0" w:line="258"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rightsized our real-estate portfolio to match our changing business needs through our site rationalizations and through the reduction of our commercial office space. Specifically, we reduced our redundant commercial office space by terminating a Toronto office lease, repudiating our Minneapolis lease and sub-leasing a portion of our Seattle office lease. Additionally, we sold two vacant land properties adjacent to our Nanaimo, Canada, facility with the first closing completed in this fiscal quarter for a purchase price of $3.7 million and the second property expected to close in May 2022 for a purchase price of CAD $1.9 million.</w:t>
      </w:r>
    </w:p>
    <w:p>
      <w:pPr>
        <w:spacing w:after="0" w:line="183"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Due to the Company’s decisive and impactful actions in connection with the integration of Tilray and Aphria, we are on track to achieve the identified $80 million of cost synergies 5 months earlier than previously projected. As of the date of this filing, we achieved $76 million in cost-savings on a run-rate basis and $42 million in actual cash-savings. Additionally, we have identified an additional $20 million of synergies, bringing the total identified synergies to $100 million, which we expect to achieve by the end of our fiscal year ended May 31, 2023 to drive further stockholder value.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nine months ended February 28, 2022, we also executed on other strategic transactions, as follows:</w:t>
      </w:r>
    </w:p>
    <w:p>
      <w:pPr>
        <w:spacing w:after="0" w:line="117" w:lineRule="exact"/>
        <w:rPr>
          <w:sz w:val="20"/>
          <w:szCs w:val="20"/>
          <w:color w:val="auto"/>
        </w:rPr>
      </w:pPr>
    </w:p>
    <w:p>
      <w:pPr>
        <w:jc w:val="both"/>
        <w:ind w:left="740" w:hanging="368"/>
        <w:spacing w:after="0" w:line="255"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Breckenridge Distillery, a leading distilled spirits brand located in Breckenridge, Colorado, widely known for its award-winning bourbon whiskey collection and innovative craft spirits portfolio. Breckenridge Distillery joins SweetWater Brewing Company as the cornerstones of Tilray’s beverage alcohol segment and further diversifies the company’s net revenue mix. In addition to acquiring a strong brand and accretive business, this strategic acquisition delivers additional scale in the beverage alcohol category and further positions Tilray with additional infrastructure and a larger footprint in the U.S. market upon federal cannabis legalization. When federally permissible, Tilray believes the acquisition of Breckenridge Distillery will enable us to commercialize new and innovative products through the development of non-alcoholic distilled spirits, including bourbon whisky, that is infused with cannabis.</w:t>
      </w:r>
    </w:p>
    <w:p>
      <w:pPr>
        <w:spacing w:after="0" w:line="94" w:lineRule="exact"/>
        <w:rPr>
          <w:rFonts w:ascii="Times New Roman" w:cs="Times New Roman" w:eastAsia="Times New Roman" w:hAnsi="Times New Roman"/>
          <w:sz w:val="18"/>
          <w:szCs w:val="18"/>
          <w:color w:val="auto"/>
        </w:rPr>
      </w:pPr>
    </w:p>
    <w:p>
      <w:pPr>
        <w:ind w:left="740" w:right="20" w:hanging="36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the previously leased SweetWater Brewing facility and taproom located in Atlanta, Georgia, which provides SweetWater with ownership of its state-of-the-art brewing facility and integrated restaurant and live music venue.</w:t>
      </w:r>
    </w:p>
    <w:p>
      <w:pPr>
        <w:spacing w:after="0" w:line="67" w:lineRule="exact"/>
        <w:rPr>
          <w:rFonts w:ascii="Times New Roman" w:cs="Times New Roman" w:eastAsia="Times New Roman" w:hAnsi="Times New Roman"/>
          <w:sz w:val="18"/>
          <w:szCs w:val="18"/>
          <w:color w:val="auto"/>
        </w:rPr>
      </w:pPr>
    </w:p>
    <w:p>
      <w:pPr>
        <w:jc w:val="both"/>
        <w:ind w:left="740" w:hanging="368"/>
        <w:spacing w:after="0" w:line="258"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upon SweetWaters’s strategic plan to expand into all 50 states within the U.S., we acquired the Alpine and Green Flash brands, two iconic West Coast craft beer brands that boast award-winning brews. This strategic acquisition was completed shortly after SweetWater announced plans to move into a 32,450-square-foot production facility in Fort Collins, Co that it recently acquired, which also includes a 10,000-square-foot taproom. We believe that these initiatives, coupled with SweetWater’s new taproom inside Denver International Airport, will provide a launch pad for SweetWater to further distribute to the West Coast.</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Lastly, on March 3, 2022, Tilray announced a proposed agreement for a potential strategic alliance with HEXO Corp. (“HEXO”). Through this potential alliance, both companies would be expected to realize commercial benefits with production efficiencies and support services. The Company would also acquire up to $211 million of senior secured convertible notes (“Notes”) that were issued by HEXO and are currently held by funds affiliated with HT Investments MA LLC. The Notes would be amended to permit the Company to exercise conversion rights and potentially acquire a significant equity ownership position in HEXO. In connection with the proposed agreement, the Company would agree to amend and restate the indenture governing the Notes, to among other things, (i) extend the maturity date by three years, to May 1, 2026; (ii) provide for the revised interest amounts; and (iii) amend or eliminate certain affirmative and negative covenants. The Notes will also provide the Company with subscription rights and top-up rights in respect of all future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equity and debt issuances by HEXO following closing. The proposed transaction is subject to satisfactory completion of due diligence, negotiation of definitive agreements and satisfaction of a number of conditions precedent to closing.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Coronavirus ("COVID-19") Pandemic, Its Impact on Us</w:t>
      </w:r>
    </w:p>
    <w:p>
      <w:pPr>
        <w:spacing w:after="0" w:line="133" w:lineRule="exact"/>
        <w:rPr>
          <w:sz w:val="20"/>
          <w:szCs w:val="20"/>
          <w:color w:val="auto"/>
        </w:rPr>
      </w:pPr>
    </w:p>
    <w:p>
      <w:pPr>
        <w:jc w:val="both"/>
        <w:ind w:firstLine="510"/>
        <w:spacing w:after="0" w:line="267" w:lineRule="auto"/>
        <w:rPr>
          <w:sz w:val="20"/>
          <w:szCs w:val="20"/>
          <w:color w:val="auto"/>
        </w:rPr>
      </w:pPr>
      <w:r>
        <w:rPr>
          <w:rFonts w:ascii="Times New Roman" w:cs="Times New Roman" w:eastAsia="Times New Roman" w:hAnsi="Times New Roman"/>
          <w:sz w:val="18"/>
          <w:szCs w:val="18"/>
          <w:color w:val="auto"/>
        </w:rPr>
        <w:t>We continuously address the effects of the COVID-19 pandemic, a discussion of which is available in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 of Part I and “</w:t>
      </w:r>
      <w:r>
        <w:rPr>
          <w:rFonts w:ascii="Times New Roman" w:cs="Times New Roman" w:eastAsia="Times New Roman" w:hAnsi="Times New Roman"/>
          <w:sz w:val="18"/>
          <w:szCs w:val="18"/>
          <w:i w:val="1"/>
          <w:iCs w:val="1"/>
          <w:color w:val="auto"/>
        </w:rPr>
        <w:t>The Coronavirus ("COVID-19") Pandemic, Its Impact on Us”</w:t>
      </w:r>
      <w:r>
        <w:rPr>
          <w:rFonts w:ascii="Times New Roman" w:cs="Times New Roman" w:eastAsia="Times New Roman" w:hAnsi="Times New Roman"/>
          <w:sz w:val="18"/>
          <w:szCs w:val="18"/>
          <w:color w:val="auto"/>
        </w:rPr>
        <w:t xml:space="preserve"> in Item 7 of our Annual Report on Form 10-K for the fiscal year ended May 31, 2021.</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and nine months ended February 28, 2022, our business operations experienced the following as result of the COVID-19 pandemic:</w:t>
      </w:r>
    </w:p>
    <w:p>
      <w:pPr>
        <w:spacing w:after="0" w:line="225"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Our Canadian adult-use cannabis business continued to experience the effect of the changes in consumer demand that were established during the onset of COVID-19 pandemic and periods of lockdown. As we previously reported, consumers shifted their demand behavior to purchasing elections based primarily on pricing. This consumer model of purchasing eroded the sales of our higher quality, higher priced brands resulting in our market share reduction during the period. Our Canadian medical cannabis business experienced a slight uptick in patient demand. In our international cannabis business, we continue to see access to physician practices remains limited due to protective measures in place throughout Germany, slowing down the adoption of medical cannabis as an innovative treatment option. Our distribution business experienced slight improvement in the global supply chain disrupted by the COVID-19 pandemic resulting in a modest increase in net revenue in its base currency but due to the impact of change in the exchange rate between the US dollar and the Euro, the Company recognized a decrease in sales from the prior year’s comparable period. Our beer and alcohol business continues to see a decline in on-premise business primarily as the on-premise industry dealt with a lack of staffing and a change demand pattern related to after work alcohol consumption. The continued impact of the COVID-19 pandemic has hampered revenue growth in our main consumer facing markets. Within the hemp food segment of our business, we continue to navigate the changes with growth in ecommerce and “click + pickup” channels offsetting declines in traditional retailer channels as consumer shopping behaviors shift.</w:t>
      </w:r>
    </w:p>
    <w:p>
      <w:pPr>
        <w:spacing w:after="0" w:line="190"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Our business and operating results for the three and nine months ended February 28, 2022 continue to be impacted by the COVID-19 pandemic, including Delta and Omicron variants. The COVID-19 pandemic remains highly volatile, and the responses of local governments based on numbers of new cases, disease severity, risk of reinfection, and vaccine performance continue are unpredictable. We cannot accurately predict the duration or extent of the impact of the COVID-19 virus. We will continue to assess our operations and will continue to consider the guidance of local governments throughout the world. If economic conditions caused by the pandemic do not recover as currently estimated by management or market factors currently in place change, there could be a further impact on our results of operations, financial condition and cash flows from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results, in thousands except for per share data,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21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80" w:type="dxa"/>
            <w:vAlign w:val="bottom"/>
          </w:tcPr>
          <w:p>
            <w:pPr>
              <w:spacing w:after="0"/>
              <w:rPr>
                <w:sz w:val="13"/>
                <w:szCs w:val="13"/>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6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10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106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04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660" w:type="dxa"/>
            <w:vAlign w:val="bottom"/>
            <w:tcBorders>
              <w:bottom w:val="single" w:sz="8" w:color="CFF0FC"/>
            </w:tcBorders>
            <w:vMerge w:val="continue"/>
          </w:tcPr>
          <w:p>
            <w:pPr>
              <w:spacing w:after="0"/>
              <w:rPr>
                <w:sz w:val="13"/>
                <w:szCs w:val="13"/>
                <w:color w:val="auto"/>
              </w:rPr>
            </w:pPr>
          </w:p>
        </w:tc>
        <w:tc>
          <w:tcPr>
            <w:tcW w:w="84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1900" w:type="dxa"/>
            <w:vAlign w:val="bottom"/>
            <w:tcBorders>
              <w:top w:val="single" w:sz="8" w:color="auto"/>
              <w:bottom w:val="single" w:sz="8" w:color="auto"/>
            </w:tcBorders>
            <w:gridSpan w:val="3"/>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32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920" w:type="dxa"/>
            <w:vAlign w:val="bottom"/>
            <w:tcBorders>
              <w:top w:val="single" w:sz="8" w:color="auto"/>
              <w:bottom w:val="single" w:sz="8" w:color="auto"/>
            </w:tcBorders>
            <w:gridSpan w:val="3"/>
          </w:tcPr>
          <w:p>
            <w:pPr>
              <w:jc w:val="right"/>
              <w:ind w:right="471"/>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151,871</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123,900</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27,971</w:t>
            </w:r>
          </w:p>
        </w:tc>
        <w:tc>
          <w:tcPr>
            <w:tcW w:w="2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475,047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370,849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104,198</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93,444</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18,598</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351,497</w:t>
            </w: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270,165</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81,332</w:t>
            </w: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6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6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39,829</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30,456</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2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123,550</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100,684</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22,866</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38,445</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24,491</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2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121,401</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78,736</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42,665</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2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25,283</w:t>
            </w: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2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24,590</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10,786</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13,804</w:t>
            </w:r>
          </w:p>
        </w:tc>
        <w:tc>
          <w:tcPr>
            <w:tcW w:w="2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84,345</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19,121</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65,224</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30"/>
        </w:trPr>
        <w:tc>
          <w:tcPr>
            <w:tcW w:w="2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Marketing and promotion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20,163</w:t>
            </w: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2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9"/>
        </w:trPr>
        <w:tc>
          <w:tcPr>
            <w:tcW w:w="2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Transaction costs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2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42,937</w:t>
            </w: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30,352</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6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6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59,591</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54,506</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2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295,593</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159,168</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136,425</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(19,762)</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(24,050)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(142,978)</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(58,484)</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(84,494)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(2,312)</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(7,943)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2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(22,422)</w:t>
            </w:r>
          </w:p>
        </w:tc>
        <w:tc>
          <w:tcPr>
            <w:tcW w:w="10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(18,511)</w:t>
            </w: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(3,911)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1"/>
        </w:trPr>
        <w:tc>
          <w:tcPr>
            <w:tcW w:w="2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Non-operating (expense)</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72,719</w:t>
            </w:r>
          </w:p>
        </w:tc>
        <w:tc>
          <w:tcPr>
            <w:tcW w:w="200" w:type="dxa"/>
            <w:vAlign w:val="bottom"/>
          </w:tcPr>
          <w:p>
            <w:pPr>
              <w:spacing w:after="0"/>
              <w:rPr>
                <w:sz w:val="18"/>
                <w:szCs w:val="18"/>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(220,340)</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293,059</w:t>
            </w:r>
          </w:p>
        </w:tc>
        <w:tc>
          <w:tcPr>
            <w:tcW w:w="200" w:type="dxa"/>
            <w:vAlign w:val="bottom"/>
          </w:tcPr>
          <w:p>
            <w:pPr>
              <w:spacing w:after="0"/>
              <w:rPr>
                <w:sz w:val="18"/>
                <w:szCs w:val="18"/>
                <w:color w:val="auto"/>
              </w:rPr>
            </w:pP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186,329</w:t>
            </w:r>
          </w:p>
        </w:tc>
        <w:tc>
          <w:tcPr>
            <w:tcW w:w="120" w:type="dxa"/>
            <w:vAlign w:val="bottom"/>
          </w:tcPr>
          <w:p>
            <w:pPr>
              <w:spacing w:after="0"/>
              <w:rPr>
                <w:sz w:val="18"/>
                <w:szCs w:val="18"/>
                <w:color w:val="auto"/>
              </w:rPr>
            </w:pPr>
          </w:p>
        </w:tc>
        <w:tc>
          <w:tcPr>
            <w:tcW w:w="10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(306,348)</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492,677</w:t>
            </w:r>
          </w:p>
        </w:tc>
        <w:tc>
          <w:tcPr>
            <w:tcW w:w="200" w:type="dxa"/>
            <w:vAlign w:val="bottom"/>
          </w:tcPr>
          <w:p>
            <w:pPr>
              <w:spacing w:after="0"/>
              <w:rPr>
                <w:sz w:val="18"/>
                <w:szCs w:val="18"/>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126"/>
        </w:trPr>
        <w:tc>
          <w:tcPr>
            <w:tcW w:w="26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income, net</w:t>
            </w:r>
          </w:p>
        </w:tc>
        <w:tc>
          <w:tcPr>
            <w:tcW w:w="8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60" w:type="dxa"/>
            <w:vAlign w:val="bottom"/>
            <w:tcBorders>
              <w:bottom w:val="single" w:sz="8" w:color="CFF0FC"/>
            </w:tcBorders>
            <w:vMerge w:val="continue"/>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Borders>
              <w:bottom w:val="single" w:sz="8" w:color="CFF0FC"/>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Borders>
              <w:bottom w:val="single" w:sz="8" w:color="CFF0FC"/>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Borders>
              <w:bottom w:val="single" w:sz="8" w:color="CFF0FC"/>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Borders>
              <w:bottom w:val="single" w:sz="8" w:color="CFF0FC"/>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Borders>
              <w:bottom w:val="single" w:sz="8" w:color="CFF0FC"/>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50,645</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(252,333)</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302,978</w:t>
            </w:r>
          </w:p>
        </w:tc>
        <w:tc>
          <w:tcPr>
            <w:tcW w:w="2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(383,343)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404,272</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2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(recovery)</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2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(8,140)</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(2,739)</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(13,707)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26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6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52,475</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(258,643)</w:t>
            </w:r>
          </w:p>
        </w:tc>
        <w:tc>
          <w:tcPr>
            <w:tcW w:w="20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311,118</w:t>
            </w:r>
          </w:p>
        </w:tc>
        <w:tc>
          <w:tcPr>
            <w:tcW w:w="2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(369,636)</w:t>
            </w:r>
          </w:p>
        </w:tc>
        <w:tc>
          <w:tcPr>
            <w:tcW w:w="12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393,304</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We use the following key operating metrics to evaluate our business and operations, measure our performance, identify trends affecting our business, project our future performance, and make strategic decisions. Other companies, including companies in our industry, may calculate key operating metrics with similar names differently which may reduce their usefulness as comparative measures. Certain variances are labeled as not meaningful ("NM") throughout management's discussion and analysis.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60" w:type="dxa"/>
            <w:vAlign w:val="bottom"/>
          </w:tcPr>
          <w:p>
            <w:pPr>
              <w:spacing w:after="0"/>
              <w:rPr>
                <w:sz w:val="13"/>
                <w:szCs w:val="13"/>
                <w:color w:val="auto"/>
              </w:rPr>
            </w:pPr>
          </w:p>
        </w:tc>
        <w:tc>
          <w:tcPr>
            <w:tcW w:w="25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260" w:type="dxa"/>
            <w:vAlign w:val="bottom"/>
          </w:tcPr>
          <w:p>
            <w:pPr>
              <w:spacing w:after="0"/>
              <w:rPr>
                <w:sz w:val="15"/>
                <w:szCs w:val="15"/>
                <w:color w:val="auto"/>
              </w:rPr>
            </w:pPr>
          </w:p>
        </w:tc>
        <w:tc>
          <w:tcPr>
            <w:tcW w:w="260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260" w:type="dxa"/>
            <w:vAlign w:val="bottom"/>
          </w:tcPr>
          <w:p>
            <w:pPr>
              <w:spacing w:after="0"/>
              <w:rPr>
                <w:sz w:val="15"/>
                <w:szCs w:val="15"/>
                <w:color w:val="auto"/>
              </w:rPr>
            </w:pPr>
          </w:p>
        </w:tc>
        <w:tc>
          <w:tcPr>
            <w:tcW w:w="25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vMerge w:val="continue"/>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55,045</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41,721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184,269</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147,689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beverage alcohol revenue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62,532</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70,237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198,587</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210,508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Cannabis gross margin</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Cannabis adjusted gross margin </w:t>
            </w:r>
            <w:r>
              <w:rPr>
                <w:rFonts w:ascii="Times New Roman" w:cs="Times New Roman" w:eastAsia="Times New Roman" w:hAnsi="Times New Roman"/>
                <w:sz w:val="15"/>
                <w:szCs w:val="15"/>
                <w:color w:val="auto"/>
              </w:rPr>
              <w:t>(1)</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Beverage alcohol gross margin</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gross margin</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Wellness gross margin</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15"/>
                <w:szCs w:val="15"/>
                <w:color w:val="auto"/>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279,214</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210,591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279,214</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210,591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413,358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331,923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413,358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15"/>
                <w:szCs w:val="15"/>
                <w:color w:val="auto"/>
              </w:rPr>
              <w:t>(1)</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(47,742)</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(3,372)</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(173,682)</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(80,290)</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15"/>
                <w:szCs w:val="15"/>
                <w:color w:val="auto"/>
              </w:rPr>
              <w:t>(1)</w:t>
            </w:r>
          </w:p>
        </w:tc>
        <w:tc>
          <w:tcPr>
            <w:tcW w:w="2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(35,600)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(105,030)</w:t>
            </w: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(49,938)</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0" w:firstLine="8"/>
        <w:spacing w:after="0" w:line="262" w:lineRule="auto"/>
        <w:tabs>
          <w:tab w:leader="none" w:pos="230" w:val="left"/>
        </w:tabs>
        <w:numPr>
          <w:ilvl w:val="0"/>
          <w:numId w:val="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8"/>
          <w:szCs w:val="18"/>
          <w:i w:val="1"/>
          <w:iCs w:val="1"/>
          <w:color w:val="auto"/>
        </w:rPr>
        <w:t>Cannabis adjusted gross margin, adjusted EBITDA, free cash flow, and adjusted free cash flow are non-GAAP financial measures. See “Use of Non-GAAP Measures” below for a reconciliation of these Non-GAAP Measures to our most comparable GAAP measure.</w:t>
      </w:r>
    </w:p>
    <w:p>
      <w:pPr>
        <w:spacing w:after="0"/>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8"/>
          <w:szCs w:val="18"/>
          <w:i w:val="1"/>
          <w:iCs w:val="1"/>
          <w:color w:val="auto"/>
        </w:rPr>
        <w:t>NA=This reporting segment did not exist in the prior year period. The related acquisition occurred thereafter.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Management updated our reporting segments during the three and nine months ended February 28, 2022. While the Company reported “business under development” as a fifth reporting segment in its previous Annual Report, management determined that this no longer met the definition of a reporting segment. Our reporting segments revenue is primarily comprised of revenues from our cannabis, distribution, beverage alcohol operations, and wellness,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0" w:type="dxa"/>
            <w:vAlign w:val="bottom"/>
          </w:tcPr>
          <w:p>
            <w:pPr>
              <w:spacing w:after="0"/>
              <w:rPr>
                <w:sz w:val="13"/>
                <w:szCs w:val="13"/>
                <w:color w:val="auto"/>
              </w:rPr>
            </w:pPr>
          </w:p>
        </w:tc>
        <w:tc>
          <w:tcPr>
            <w:tcW w:w="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4"/>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100" w:type="dxa"/>
            <w:vAlign w:val="bottom"/>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10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60" w:type="dxa"/>
            <w:vAlign w:val="bottom"/>
            <w:tcBorders>
              <w:bottom w:val="single" w:sz="8" w:color="CFF0FC"/>
            </w:tcBorders>
            <w:vMerge w:val="continue"/>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1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gridSpan w:val="5"/>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gridSpan w:val="2"/>
          </w:tcPr>
          <w:p>
            <w:pPr>
              <w:jc w:val="right"/>
              <w:ind w:right="1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gridSpan w:val="5"/>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55,045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$ 41,721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13,324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$ 184,269</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$ 147,689</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62,532</w:t>
            </w:r>
          </w:p>
        </w:tc>
        <w:tc>
          <w:tcPr>
            <w:tcW w:w="1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70,237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(7,705)</w:t>
            </w:r>
          </w:p>
        </w:tc>
        <w:tc>
          <w:tcPr>
            <w:tcW w:w="100" w:type="dxa"/>
            <w:vAlign w:val="bottom"/>
          </w:tcPr>
          <w:p>
            <w:pPr>
              <w:spacing w:after="0"/>
              <w:rPr>
                <w:sz w:val="19"/>
                <w:szCs w:val="19"/>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198,587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210,508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7"/>
              </w:rPr>
              <w:t>(11,921)</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Beverage alcohol business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19,597</w:t>
            </w:r>
          </w:p>
        </w:tc>
        <w:tc>
          <w:tcPr>
            <w:tcW w:w="12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14,697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14,697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43,426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7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$ 151,871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$ 123,900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27,971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Borders>
              <w:top w:val="single" w:sz="8" w:color="CFF0FC"/>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$ 475,047</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$ 370,849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$ 104,198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Our geographic revenue is, as follows:</w:t>
            </w: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24"/>
                <w:szCs w:val="24"/>
                <w:color w:val="auto"/>
              </w:rPr>
            </w:pP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 w:type="dxa"/>
            <w:vAlign w:val="bottom"/>
          </w:tcPr>
          <w:p>
            <w:pPr>
              <w:spacing w:after="0"/>
              <w:rPr>
                <w:sz w:val="24"/>
                <w:szCs w:val="24"/>
                <w:color w:val="auto"/>
              </w:rPr>
            </w:pPr>
          </w:p>
        </w:tc>
        <w:tc>
          <w:tcPr>
            <w:tcW w:w="90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660" w:type="dxa"/>
            <w:vAlign w:val="bottom"/>
            <w:tcBorders>
              <w:bottom w:val="single" w:sz="8" w:color="CFF0FC"/>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gridSpan w:val="2"/>
          </w:tcPr>
          <w:p>
            <w:pPr>
              <w:spacing w:after="0"/>
              <w:rPr>
                <w:sz w:val="13"/>
                <w:szCs w:val="13"/>
                <w:color w:val="auto"/>
              </w:rPr>
            </w:pPr>
          </w:p>
        </w:tc>
        <w:tc>
          <w:tcPr>
            <w:tcW w:w="600" w:type="dxa"/>
            <w:vAlign w:val="bottom"/>
            <w:tcBorders>
              <w:top w:val="single" w:sz="8" w:color="auto"/>
              <w:bottom w:val="single" w:sz="8" w:color="auto"/>
            </w:tcBorders>
          </w:tcPr>
          <w:p>
            <w:pPr>
              <w:jc w:val="right"/>
              <w:ind w:right="3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gridSpan w:val="6"/>
          </w:tcPr>
          <w:p>
            <w:pPr>
              <w:jc w:val="right"/>
              <w:ind w:right="350"/>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gridSpan w:val="2"/>
          </w:tcPr>
          <w:p>
            <w:pPr>
              <w:spacing w:after="0"/>
              <w:rPr>
                <w:sz w:val="13"/>
                <w:szCs w:val="13"/>
                <w:color w:val="auto"/>
              </w:rPr>
            </w:pPr>
          </w:p>
        </w:tc>
        <w:tc>
          <w:tcPr>
            <w:tcW w:w="660" w:type="dxa"/>
            <w:vAlign w:val="bottom"/>
            <w:tcBorders>
              <w:top w:val="single" w:sz="8" w:color="auto"/>
              <w:bottom w:val="single" w:sz="8" w:color="auto"/>
            </w:tcBorders>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gridSpan w:val="6"/>
          </w:tcPr>
          <w:p>
            <w:pPr>
              <w:jc w:val="right"/>
              <w:ind w:right="330"/>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73,234</w:t>
            </w:r>
          </w:p>
        </w:tc>
        <w:tc>
          <w:tcPr>
            <w:tcW w:w="220" w:type="dxa"/>
            <w:vAlign w:val="bottom"/>
            <w:gridSpan w:val="2"/>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$ 54,190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19,044</w:t>
            </w:r>
          </w:p>
        </w:tc>
        <w:tc>
          <w:tcPr>
            <w:tcW w:w="100" w:type="dxa"/>
            <w:vAlign w:val="bottom"/>
            <w:shd w:val="clear" w:color="auto" w:fill="CFF0FC"/>
          </w:tcPr>
          <w:p>
            <w:pPr>
              <w:spacing w:after="0"/>
              <w:rPr>
                <w:sz w:val="19"/>
                <w:szCs w:val="19"/>
                <w:color w:val="auto"/>
              </w:rPr>
            </w:pPr>
          </w:p>
        </w:tc>
        <w:tc>
          <w:tcPr>
            <w:tcW w:w="10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gridSpan w:val="2"/>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$ 236,220</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4"/>
              </w:rPr>
              <w:t>$ 159,857</w:t>
            </w:r>
          </w:p>
        </w:tc>
        <w:tc>
          <w:tcPr>
            <w:tcW w:w="220" w:type="dxa"/>
            <w:vAlign w:val="bottom"/>
            <w:gridSpan w:val="2"/>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76,363</w:t>
            </w:r>
          </w:p>
        </w:tc>
        <w:tc>
          <w:tcPr>
            <w:tcW w:w="16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74,671</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68,701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5,970</w:t>
            </w:r>
          </w:p>
        </w:tc>
        <w:tc>
          <w:tcPr>
            <w:tcW w:w="10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225,596</w:t>
            </w:r>
          </w:p>
        </w:tc>
        <w:tc>
          <w:tcPr>
            <w:tcW w:w="1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207,492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18,104</w:t>
            </w:r>
          </w:p>
        </w:tc>
        <w:tc>
          <w:tcPr>
            <w:tcW w:w="16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3,966</w:t>
            </w:r>
          </w:p>
        </w:tc>
        <w:tc>
          <w:tcPr>
            <w:tcW w:w="220" w:type="dxa"/>
            <w:vAlign w:val="bottom"/>
            <w:gridSpan w:val="2"/>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c>
          <w:tcPr>
            <w:tcW w:w="8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13,231</w:t>
            </w:r>
          </w:p>
        </w:tc>
        <w:tc>
          <w:tcPr>
            <w:tcW w:w="18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3,500</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9,731</w:t>
            </w:r>
          </w:p>
        </w:tc>
        <w:tc>
          <w:tcPr>
            <w:tcW w:w="16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vMerge w:val="restart"/>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4"/>
              </w:rPr>
              <w:t>$ 151,871</w:t>
            </w:r>
          </w:p>
        </w:tc>
        <w:tc>
          <w:tcPr>
            <w:tcW w:w="220" w:type="dxa"/>
            <w:vAlign w:val="bottom"/>
            <w:gridSpan w:val="2"/>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$ 123,900</w:t>
            </w: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27,971</w:t>
            </w: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gridSpan w:val="2"/>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$ 475,047</w:t>
            </w:r>
          </w:p>
        </w:tc>
        <w:tc>
          <w:tcPr>
            <w:tcW w:w="18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4"/>
              </w:rPr>
              <w:t>$ 370,849</w:t>
            </w:r>
          </w:p>
        </w:tc>
        <w:tc>
          <w:tcPr>
            <w:tcW w:w="220" w:type="dxa"/>
            <w:vAlign w:val="bottom"/>
            <w:gridSpan w:val="2"/>
            <w:vMerge w:val="continue"/>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4"/>
              </w:rPr>
              <w:t>$ 104,198</w:t>
            </w:r>
          </w:p>
        </w:tc>
        <w:tc>
          <w:tcPr>
            <w:tcW w:w="16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29</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2" w:name="page33"/>
    <w:bookmarkEnd w:id="32"/>
    <w:p>
      <w:pPr>
        <w:ind w:left="520"/>
        <w:spacing w:after="0"/>
        <w:rPr>
          <w:sz w:val="20"/>
          <w:szCs w:val="20"/>
          <w:color w:val="auto"/>
        </w:rPr>
      </w:pPr>
      <w:r>
        <w:rPr>
          <w:rFonts w:ascii="Times New Roman" w:cs="Times New Roman" w:eastAsia="Times New Roman" w:hAnsi="Times New Roman"/>
          <w:sz w:val="18"/>
          <w:szCs w:val="18"/>
          <w:color w:val="auto"/>
        </w:rPr>
        <w:t>Our geographic capital assets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2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2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60" w:type="dxa"/>
            <w:vAlign w:val="bottom"/>
            <w:tcBorders>
              <w:bottom w:val="single" w:sz="8" w:color="CFF0FC"/>
            </w:tcBorders>
            <w:vMerge w:val="continue"/>
          </w:tcPr>
          <w:p>
            <w:pPr>
              <w:spacing w:after="0"/>
              <w:rPr>
                <w:sz w:val="15"/>
                <w:szCs w:val="15"/>
                <w:color w:val="auto"/>
              </w:rPr>
            </w:pPr>
          </w:p>
        </w:tc>
        <w:tc>
          <w:tcPr>
            <w:tcW w:w="19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9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472,096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504,575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(32,479)</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127,482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140,838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(13,356)</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(1,391)</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capital assets</w:t>
            </w:r>
          </w:p>
        </w:tc>
        <w:tc>
          <w:tcPr>
            <w:tcW w:w="19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6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603,472</w:t>
            </w:r>
          </w:p>
        </w:tc>
        <w:tc>
          <w:tcPr>
            <w:tcW w:w="2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650,698</w:t>
            </w:r>
          </w:p>
        </w:tc>
        <w:tc>
          <w:tcPr>
            <w:tcW w:w="240" w:type="dxa"/>
            <w:vAlign w:val="bottom"/>
            <w:vMerge w:val="continue"/>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(47,226)</w:t>
            </w:r>
          </w:p>
        </w:tc>
        <w:tc>
          <w:tcPr>
            <w:tcW w:w="240" w:type="dxa"/>
            <w:vAlign w:val="bottom"/>
            <w:vMerge w:val="continue"/>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Cannabis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Cannabis revenue based on market channel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8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8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76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7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00" w:type="dxa"/>
            <w:vAlign w:val="bottom"/>
            <w:vMerge w:val="continue"/>
          </w:tcPr>
          <w:p>
            <w:pPr>
              <w:spacing w:after="0"/>
              <w:rPr>
                <w:sz w:val="13"/>
                <w:szCs w:val="13"/>
                <w:color w:val="auto"/>
              </w:rPr>
            </w:pPr>
          </w:p>
        </w:tc>
        <w:tc>
          <w:tcPr>
            <w:tcW w:w="720" w:type="dxa"/>
            <w:vAlign w:val="bottom"/>
            <w:tcBorders>
              <w:top w:val="single" w:sz="8" w:color="auto"/>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1620" w:type="dxa"/>
            <w:vAlign w:val="bottom"/>
            <w:tcBorders>
              <w:top w:val="single" w:sz="8" w:color="auto"/>
              <w:bottom w:val="single" w:sz="8" w:color="auto"/>
            </w:tcBorders>
            <w:gridSpan w:val="2"/>
          </w:tcPr>
          <w:p>
            <w:pPr>
              <w:ind w:left="400"/>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340" w:type="dxa"/>
            <w:vAlign w:val="bottom"/>
          </w:tcPr>
          <w:p>
            <w:pPr>
              <w:spacing w:after="0"/>
              <w:rPr>
                <w:sz w:val="13"/>
                <w:szCs w:val="13"/>
                <w:color w:val="auto"/>
              </w:rPr>
            </w:pPr>
          </w:p>
        </w:tc>
        <w:tc>
          <w:tcPr>
            <w:tcW w:w="720" w:type="dxa"/>
            <w:vAlign w:val="bottom"/>
            <w:tcBorders>
              <w:top w:val="single" w:sz="8" w:color="auto"/>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1620" w:type="dxa"/>
            <w:vAlign w:val="bottom"/>
            <w:tcBorders>
              <w:top w:val="single" w:sz="8" w:color="auto"/>
              <w:bottom w:val="single" w:sz="8" w:color="auto"/>
            </w:tcBorders>
            <w:gridSpan w:val="2"/>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91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p>
      <w:pPr>
        <w:ind w:left="140" w:right="100" w:hanging="134"/>
        <w:spacing w:after="0" w:line="258" w:lineRule="auto"/>
        <w:rPr>
          <w:sz w:val="20"/>
          <w:szCs w:val="20"/>
          <w:color w:val="auto"/>
        </w:rPr>
      </w:pPr>
      <w:r>
        <w:rPr>
          <w:rFonts w:ascii="Times New Roman" w:cs="Times New Roman" w:eastAsia="Times New Roman" w:hAnsi="Times New Roman"/>
          <w:sz w:val="18"/>
          <w:szCs w:val="18"/>
          <w:color w:val="auto"/>
        </w:rPr>
        <w:t>Revenue from Canadian medical cannabis products</w:t>
      </w:r>
    </w:p>
    <w:p>
      <w:pPr>
        <w:ind w:left="140" w:hanging="134"/>
        <w:spacing w:after="0" w:line="258" w:lineRule="auto"/>
        <w:rPr>
          <w:sz w:val="20"/>
          <w:szCs w:val="20"/>
          <w:color w:val="auto"/>
        </w:rPr>
      </w:pPr>
      <w:r>
        <w:rPr>
          <w:rFonts w:ascii="Times New Roman" w:cs="Times New Roman" w:eastAsia="Times New Roman" w:hAnsi="Times New Roman"/>
          <w:sz w:val="18"/>
          <w:szCs w:val="18"/>
          <w:color w:val="auto"/>
        </w:rPr>
        <w:t>Revenue from Canadian adult-use cannabis products</w:t>
      </w:r>
    </w:p>
    <w:p>
      <w:pPr>
        <w:ind w:left="140" w:right="660" w:hanging="134"/>
        <w:spacing w:after="0" w:line="258" w:lineRule="auto"/>
        <w:rPr>
          <w:sz w:val="20"/>
          <w:szCs w:val="20"/>
          <w:color w:val="auto"/>
        </w:rPr>
      </w:pPr>
      <w:r>
        <w:rPr>
          <w:rFonts w:ascii="Times New Roman" w:cs="Times New Roman" w:eastAsia="Times New Roman" w:hAnsi="Times New Roman"/>
          <w:sz w:val="18"/>
          <w:szCs w:val="18"/>
          <w:color w:val="auto"/>
        </w:rPr>
        <w:t>Revenue from wholesale cannabis products</w:t>
      </w:r>
    </w:p>
    <w:p>
      <w:pPr>
        <w:ind w:left="140" w:right="480" w:hanging="134"/>
        <w:spacing w:after="0" w:line="268" w:lineRule="auto"/>
        <w:rPr>
          <w:sz w:val="20"/>
          <w:szCs w:val="20"/>
          <w:color w:val="auto"/>
        </w:rPr>
      </w:pPr>
      <w:r>
        <w:rPr>
          <w:rFonts w:ascii="Times New Roman" w:cs="Times New Roman" w:eastAsia="Times New Roman" w:hAnsi="Times New Roman"/>
          <w:sz w:val="18"/>
          <w:szCs w:val="18"/>
          <w:color w:val="auto"/>
        </w:rPr>
        <w:t>Revenue from international cannabis products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7,050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1,119</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23,353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18,571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4,782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45"/>
        </w:trPr>
        <w:tc>
          <w:tcPr>
            <w:tcW w:w="16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43,504</w:t>
            </w:r>
          </w:p>
        </w:tc>
        <w:tc>
          <w:tcPr>
            <w:tcW w:w="26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48,097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(4,593)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162,632</w:t>
            </w:r>
          </w:p>
        </w:tc>
        <w:tc>
          <w:tcPr>
            <w:tcW w:w="22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163,220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(588)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46"/>
        </w:trPr>
        <w:tc>
          <w:tcPr>
            <w:tcW w:w="16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2,804</w:t>
            </w:r>
          </w:p>
        </w:tc>
        <w:tc>
          <w:tcPr>
            <w:tcW w:w="26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1,477</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6,763</w:t>
            </w:r>
          </w:p>
        </w:tc>
        <w:tc>
          <w:tcPr>
            <w:tcW w:w="22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6,559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45"/>
        </w:trPr>
        <w:tc>
          <w:tcPr>
            <w:tcW w:w="16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15,820</w:t>
            </w:r>
          </w:p>
        </w:tc>
        <w:tc>
          <w:tcPr>
            <w:tcW w:w="26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15,473</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4,459%</w:t>
            </w:r>
          </w:p>
        </w:tc>
        <w:tc>
          <w:tcPr>
            <w:tcW w:w="18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39,792</w:t>
            </w:r>
          </w:p>
        </w:tc>
        <w:tc>
          <w:tcPr>
            <w:tcW w:w="22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4,627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35,165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-496570</wp:posOffset>
            </wp:positionV>
            <wp:extent cx="7132320" cy="283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3140" w:space="560"/>
            <w:col w:w="7540"/>
          </w:cols>
          <w:pgMar w:left="320" w:top="553"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7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7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Total cannabis revenue</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69,178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55,702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13,476</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24%</w:t>
            </w:r>
          </w:p>
        </w:tc>
        <w:tc>
          <w:tcPr>
            <w:tcW w:w="800" w:type="dxa"/>
            <w:vAlign w:val="bottom"/>
            <w:gridSpan w:val="2"/>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232,540</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192,977</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39,563</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Excise taxes</w:t>
            </w: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(48,271)</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(45,288)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(2,983)</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cannabis net revenue</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55,045</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41,721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13,324</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$ 184,269</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$ 147,689</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36,580</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Canadian medical cannabis products: </w:t>
      </w:r>
      <w:r>
        <w:rPr>
          <w:rFonts w:ascii="Times New Roman" w:cs="Times New Roman" w:eastAsia="Times New Roman" w:hAnsi="Times New Roman"/>
          <w:sz w:val="18"/>
          <w:szCs w:val="18"/>
          <w:color w:val="auto"/>
        </w:rPr>
        <w:t>Revenue from Canadian medical cannabis products increased 19% to $7.1 million and 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$23.4 million for the three and nine months ended February 28, 2022, compared to revenue of $5.9 million and $18.6 million for the prior year same periods. This increase in revenue from medical cannabis products is primarily driven by the contributions of legacy Tilray’s medical cannabis business resulting from the business combination of April 30, 2021. The increase is also due to new innovative product launches, including our new brand Symbios launched earlier in the year, to address unmet medical needs and to provide patients with more choices in managing their health conditions with medical products. This increase was partially offset by the limitations caused by the COVID-19 pandemic from patients unable or unwilling to see a doctor as well as increased competition from the adult-rec and the price compression therein.</w:t>
      </w:r>
    </w:p>
    <w:p>
      <w:pPr>
        <w:spacing w:after="0" w:line="183" w:lineRule="exact"/>
        <w:rPr>
          <w:sz w:val="20"/>
          <w:szCs w:val="20"/>
          <w:color w:val="auto"/>
        </w:rPr>
      </w:pPr>
    </w:p>
    <w:p>
      <w:pPr>
        <w:jc w:val="both"/>
        <w:ind w:firstLine="51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Canadian adult-use cannabis products: </w:t>
      </w:r>
      <w:r>
        <w:rPr>
          <w:rFonts w:ascii="Times New Roman" w:cs="Times New Roman" w:eastAsia="Times New Roman" w:hAnsi="Times New Roman"/>
          <w:sz w:val="18"/>
          <w:szCs w:val="18"/>
          <w:color w:val="auto"/>
        </w:rPr>
        <w:t>During the three and nine months ended February 28, 2022, our gross revenue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Canadian adult-use cannabis product decreased 10% to $43.5 million and decreased to $162.6 million compared to revenue of $48.1 million and $163.2 million for the prior year same periods. The decrease in gross revenue from Canadian adult-use cannabis is primarily driven by the following series of factors:</w:t>
      </w:r>
    </w:p>
    <w:p>
      <w:pPr>
        <w:spacing w:after="0" w:line="72" w:lineRule="exact"/>
        <w:rPr>
          <w:sz w:val="20"/>
          <w:szCs w:val="20"/>
          <w:color w:val="auto"/>
        </w:rPr>
      </w:pPr>
    </w:p>
    <w:p>
      <w:pPr>
        <w:ind w:left="880" w:hanging="373"/>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experience the residual impact of the COVID-19 pandemic in relation to consumer behaviors through their heightened sensitivity to price and appetite for sacrificing brand loyalty to save costs;</w:t>
      </w:r>
    </w:p>
    <w:p>
      <w:pPr>
        <w:spacing w:after="0" w:line="53" w:lineRule="exact"/>
        <w:rPr>
          <w:rFonts w:ascii="Times New Roman" w:cs="Times New Roman" w:eastAsia="Times New Roman" w:hAnsi="Times New Roman"/>
          <w:sz w:val="18"/>
          <w:szCs w:val="18"/>
          <w:color w:val="auto"/>
        </w:rPr>
      </w:pPr>
    </w:p>
    <w:p>
      <w:pPr>
        <w:jc w:val="both"/>
        <w:ind w:left="880" w:hanging="373"/>
        <w:spacing w:after="0" w:line="266"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experience disruptions to consumer’s purchasing patterns as a result of the COVID-19 pandemic. The decline was partially driven by the government lockdowns reinstated in Ontario to combat the Omicron variant, as well as vaccine passport requirements to shop in retail stores in Quebec, reducing consumer’s accessibility to our products; and</w:t>
      </w:r>
    </w:p>
    <w:p>
      <w:pPr>
        <w:spacing w:after="0" w:line="67" w:lineRule="exact"/>
        <w:rPr>
          <w:rFonts w:ascii="Times New Roman" w:cs="Times New Roman" w:eastAsia="Times New Roman" w:hAnsi="Times New Roman"/>
          <w:sz w:val="18"/>
          <w:szCs w:val="18"/>
          <w:color w:val="auto"/>
        </w:rPr>
      </w:pPr>
    </w:p>
    <w:p>
      <w:pPr>
        <w:jc w:val="both"/>
        <w:ind w:left="880" w:hanging="373"/>
        <w:spacing w:after="0" w:line="266"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experienced additional declines in average gross selling price due to increased price-based competition in the more recent months from increased competition in the market. During the three months ended February 28, 2022, we maintained our market leadership but experienced a decline in market share to 10.2% from 12.8% at November 30, 2021 as a result of these factors.</w:t>
      </w:r>
    </w:p>
    <w:p>
      <w:pPr>
        <w:spacing w:after="0" w:line="6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factors were partially offset by the impact of the Arrangement, by including legacy Tilray revenue.</w:t>
      </w:r>
    </w:p>
    <w:p>
      <w:pPr>
        <w:spacing w:after="0" w:line="225"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We continue to focus on expanding our product offerings to accommodate the changes in our adult-use customers, During the first quarter, we completed our first shipments to Nunavut, Canada. In the second quarter of 2022, we expanded the terms of our distribution partnership with Rose LifeScience, which will now represent the entire Tilray portfolio in Quebec. In addition, we expanded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33" w:name="page34"/>
    <w:bookmarkEnd w:id="3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partnership with Great North Distributors, Inc. to represent the entire Tilray portfolio and cover all of Canada, except for Quebec, using its established network.</w:t>
      </w:r>
    </w:p>
    <w:p>
      <w:pPr>
        <w:spacing w:after="0" w:line="162"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The Company has also announced the planned strategic alliance with HEXO. We plan to leverage this relationship to allow us to identify production efficiencies and generate cost savings.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nine months decrease in gross revenue is attributable to the same factors as the cause for the decrease in the three months.</w:t>
      </w:r>
    </w:p>
    <w:p>
      <w:pPr>
        <w:spacing w:after="0" w:line="221" w:lineRule="exact"/>
        <w:rPr>
          <w:sz w:val="20"/>
          <w:szCs w:val="20"/>
          <w:color w:val="auto"/>
        </w:rPr>
      </w:pPr>
    </w:p>
    <w:p>
      <w:pPr>
        <w:jc w:val="both"/>
        <w:ind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Wholesale cannabis revenue: </w:t>
      </w:r>
      <w:r>
        <w:rPr>
          <w:rFonts w:ascii="Times New Roman" w:cs="Times New Roman" w:eastAsia="Times New Roman" w:hAnsi="Times New Roman"/>
          <w:sz w:val="18"/>
          <w:szCs w:val="18"/>
          <w:color w:val="auto"/>
        </w:rPr>
        <w:t>Revenue from wholesale cannabis products increased 111% to $2.8 million and increased 3% to $6.8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and nine months ended February 28, 2022 compared to revenue of $1.3 million and $6.6 million for the prior year same periods. The Company continues to believe that wholesale cannabis revenue will remain subject to quarter-to-quarter variability and is based on opportunistic sales.</w:t>
      </w:r>
    </w:p>
    <w:p>
      <w:pPr>
        <w:spacing w:after="0" w:line="17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International cannabis revenue: </w:t>
      </w:r>
      <w:r>
        <w:rPr>
          <w:rFonts w:ascii="Times New Roman" w:cs="Times New Roman" w:eastAsia="Times New Roman" w:hAnsi="Times New Roman"/>
          <w:sz w:val="18"/>
          <w:szCs w:val="18"/>
          <w:color w:val="auto"/>
        </w:rPr>
        <w:t>Revenue from international cannabis products increased 4,459% to $15.8 million and 760% to $39.8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and nine months ended February 28, 2022 compared to revenue of $0.3 million and $4.6 million for the prior year same periods. The increase is due to the contributions of legacy Tilray’s larger international cannabis business as well as newly obtained business to business transactions. In Europe, we believe that, despite continuing COVID-19 pressure, cannabis legalization (both medicinal and adult-use) will continue to gain traction, especially following actions of the German and Maltese governments. We also continue to believe that Tilray remains uniquely positioned to win in these markets with its infrastructure being the only company with EU-GMP cultivation facilities in two countries within Europe and our demonstrated commitment to the consistency, quality and safety of our products.</w:t>
      </w:r>
    </w:p>
    <w:p>
      <w:pPr>
        <w:spacing w:after="0" w:line="185" w:lineRule="exact"/>
        <w:rPr>
          <w:sz w:val="20"/>
          <w:szCs w:val="20"/>
          <w:color w:val="auto"/>
        </w:rPr>
      </w:pPr>
    </w:p>
    <w:p>
      <w:pPr>
        <w:jc w:val="both"/>
        <w:ind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Germany. </w:t>
      </w:r>
      <w:r>
        <w:rPr>
          <w:rFonts w:ascii="Times New Roman" w:cs="Times New Roman" w:eastAsia="Times New Roman" w:hAnsi="Times New Roman"/>
          <w:sz w:val="18"/>
          <w:szCs w:val="18"/>
          <w:color w:val="auto"/>
        </w:rPr>
        <w:t>During the three and nine months ended February 28, 2022, we continued to experience deceleration in the growth of our business caused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COVID-19 pandemic, which resulted in some patients being unable or unwilling to see a doctor. Despite these impacts, we generated 19% revenue growth in connection with our medical cannabis products when compared to the prior quarter.</w:t>
      </w:r>
    </w:p>
    <w:p>
      <w:pPr>
        <w:spacing w:after="0" w:line="214" w:lineRule="exact"/>
        <w:rPr>
          <w:sz w:val="20"/>
          <w:szCs w:val="20"/>
          <w:color w:val="auto"/>
        </w:rPr>
      </w:pPr>
    </w:p>
    <w:p>
      <w:pPr>
        <w:jc w:val="both"/>
        <w:ind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Portugal. </w:t>
      </w:r>
      <w:r>
        <w:rPr>
          <w:rFonts w:ascii="Times New Roman" w:cs="Times New Roman" w:eastAsia="Times New Roman" w:hAnsi="Times New Roman"/>
          <w:sz w:val="18"/>
          <w:szCs w:val="18"/>
          <w:color w:val="auto"/>
        </w:rPr>
        <w:t>We are the only approved medical cannabis product in the market, which is distributed through our distribution partners to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stakeholders throughout Portugal.</w:t>
      </w:r>
    </w:p>
    <w:p>
      <w:pPr>
        <w:spacing w:after="0" w:line="158" w:lineRule="exact"/>
        <w:rPr>
          <w:sz w:val="20"/>
          <w:szCs w:val="20"/>
          <w:color w:val="auto"/>
        </w:rPr>
      </w:pPr>
    </w:p>
    <w:p>
      <w:pPr>
        <w:jc w:val="both"/>
        <w:ind w:right="2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Luxembourg. </w:t>
      </w:r>
      <w:r>
        <w:rPr>
          <w:rFonts w:ascii="Times New Roman" w:cs="Times New Roman" w:eastAsia="Times New Roman" w:hAnsi="Times New Roman"/>
          <w:sz w:val="18"/>
          <w:szCs w:val="18"/>
          <w:color w:val="auto"/>
        </w:rPr>
        <w:t>We were selected by the Luxembourg Ministry of Health as the exclusive supplier for the country’s medical cannabis program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dried flower and oils.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Switzerland</w:t>
      </w:r>
      <w:r>
        <w:rPr>
          <w:rFonts w:ascii="Times New Roman" w:cs="Times New Roman" w:eastAsia="Times New Roman" w:hAnsi="Times New Roman"/>
          <w:sz w:val="18"/>
          <w:szCs w:val="18"/>
          <w:color w:val="auto"/>
        </w:rPr>
        <w:t>. We distribute our cannabinoid-based medical extract products to Suisse patients through our partner “Lehenmatt Apotheke”.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France</w:t>
      </w:r>
      <w:r>
        <w:rPr>
          <w:rFonts w:ascii="Times New Roman" w:cs="Times New Roman" w:eastAsia="Times New Roman" w:hAnsi="Times New Roman"/>
          <w:sz w:val="18"/>
          <w:szCs w:val="18"/>
          <w:color w:val="auto"/>
        </w:rPr>
        <w:t>. We were selected as one of the four suppliers in a two-year pilot experiment to supply approximately 3,000 patients with medical cannabis.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approximately 1,500 patients are enrolled in the experiment.</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Italy. </w:t>
      </w:r>
      <w:r>
        <w:rPr>
          <w:rFonts w:ascii="Times New Roman" w:cs="Times New Roman" w:eastAsia="Times New Roman" w:hAnsi="Times New Roman"/>
          <w:sz w:val="18"/>
          <w:szCs w:val="18"/>
          <w:color w:val="auto"/>
        </w:rPr>
        <w:t>We are one of five distributors licensed to import medical cannabis into the Italian medical cannabis market.</w:t>
      </w:r>
    </w:p>
    <w:p>
      <w:pPr>
        <w:spacing w:after="0" w:line="225" w:lineRule="exact"/>
        <w:rPr>
          <w:sz w:val="20"/>
          <w:szCs w:val="20"/>
          <w:color w:val="auto"/>
        </w:rPr>
      </w:pPr>
    </w:p>
    <w:p>
      <w:pPr>
        <w:jc w:val="both"/>
        <w:ind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United Kingdom</w:t>
      </w:r>
      <w:r>
        <w:rPr>
          <w:rFonts w:ascii="Times New Roman" w:cs="Times New Roman" w:eastAsia="Times New Roman" w:hAnsi="Times New Roman"/>
          <w:sz w:val="18"/>
          <w:szCs w:val="18"/>
          <w:color w:val="auto"/>
        </w:rPr>
        <w:t>. In the prior quarter, we completed a shipment of a wide range of dried flower products with high, medium and balanced potencies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the UK medical cannabis market.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Ireland</w:t>
      </w:r>
      <w:r>
        <w:rPr>
          <w:rFonts w:ascii="Times New Roman" w:cs="Times New Roman" w:eastAsia="Times New Roman" w:hAnsi="Times New Roman"/>
          <w:sz w:val="18"/>
          <w:szCs w:val="18"/>
          <w:color w:val="auto"/>
        </w:rPr>
        <w:t>. We are one out of only two suppliers within the Irish market whose cannabinoid-based medical products are eligible for reimbursement.</w:t>
      </w:r>
    </w:p>
    <w:p>
      <w:pPr>
        <w:spacing w:after="0" w:line="225" w:lineRule="exact"/>
        <w:rPr>
          <w:sz w:val="20"/>
          <w:szCs w:val="20"/>
          <w:color w:val="auto"/>
        </w:rPr>
      </w:pPr>
    </w:p>
    <w:p>
      <w:pPr>
        <w:jc w:val="both"/>
        <w:ind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Australia. </w:t>
      </w:r>
      <w:r>
        <w:rPr>
          <w:rFonts w:ascii="Times New Roman" w:cs="Times New Roman" w:eastAsia="Times New Roman" w:hAnsi="Times New Roman"/>
          <w:sz w:val="18"/>
          <w:szCs w:val="18"/>
          <w:color w:val="auto"/>
        </w:rPr>
        <w:t>We continue to strengthen the reputation of our Tilray medical brand whereby, through a contract with the Department of Health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Victoria, 90 children are now participating in a government funded seizure program utilizing our cannabinoid-based medical products, which will continue to the end of calendar year 2024.</w:t>
      </w:r>
    </w:p>
    <w:p>
      <w:pPr>
        <w:spacing w:after="0" w:line="173" w:lineRule="exact"/>
        <w:rPr>
          <w:sz w:val="20"/>
          <w:szCs w:val="20"/>
          <w:color w:val="auto"/>
        </w:rPr>
      </w:pPr>
    </w:p>
    <w:p>
      <w:pPr>
        <w:jc w:val="both"/>
        <w:ind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Malta. </w:t>
      </w:r>
      <w:r>
        <w:rPr>
          <w:rFonts w:ascii="Times New Roman" w:cs="Times New Roman" w:eastAsia="Times New Roman" w:hAnsi="Times New Roman"/>
          <w:sz w:val="18"/>
          <w:szCs w:val="18"/>
          <w:color w:val="auto"/>
        </w:rPr>
        <w:t>We completed our first sale of medical cannabis dried flower in Malta in the quarter, and then in March, we expanded the offering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launched the first EU GMP medical cannabis oil products in Malta. Our EU-GMP medical cannabis products are now available in pharmacies across Malta, providing patients with safe and reliable access to high-quality medical cannabis.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revenue</w:t>
      </w:r>
    </w:p>
    <w:p>
      <w:pPr>
        <w:spacing w:after="0" w:line="121"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Revenue from Distribution operations decreased 11% to $62.5 million and 6% to $198.6 million for the three and nine months ended February 28, 2022 compared to revenue of $70.2 million and $210.5 million for the prior year same periods. The decrease 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revenue during the three months ended February 28, 2022 is primarily due to the impact of changes in the exchange rate between the Euro and USD totaling a $6.7 million and $14.6 million reduction for the three and nine months ended February 28, 2022, when compared to prior year same periods. Additionally, the decrease in revenue during the nine months ended February 28, 2022 was also the result of the negative impact of an isolated weather event in Densborn, Germany. Specifically, heavy flooding impacted CC Pharma and forced a business closure for approximately five days leading to a decrease in net revenue in the period of almost $5.0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Beverage alcohol revenue</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Revenue from our Beverage operations increased to $19.6 million and $48.8 million for the three and nine months ended February 28, 2022 compared to revenue of $11.9 million and $12.7 million for the prior year same periods. The increase in the three-month period relates primarily to our acquisition of Breckenridge on December 7, 2021 but also includes an increase of almost $2.0 million in revenues generated by SweetWater. The increase in the nine-month period is consistent with the increase in the three-month period.</w:t>
      </w:r>
    </w:p>
    <w:p>
      <w:pPr>
        <w:spacing w:after="0" w:line="180"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Earlier in the year, our beverage operations began operating our new brewing facility in Colorado and opened a new taproom at the Denver International Airport in connection with its strategic expansion initiative. In addition, we released an extensive new line of innovative products, including seltzers, as well as a new beer offering developed in collaboration with our Canadian cannabis Broken Coast brand and a new vodka soda offering developed in collaboration with our Canadian cannabis Riff brand as Tilray continues to strengthen its strategic position in the U.S. by expanding its presence through acquisitions and collaboration with other Tilray cannabis brands. This strategy of leveraging our growing portfolio of brands enables the company to launch THC-based product adjacencies upon federal legalization in the 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Wellness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Included in Wellness revenue is $14.7 million and $43.4 million from Manitoba Harvest, for the three and nine months ended February 28,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Manitoba Harvest was part of the assets acquired in the Arrangement. There are no comparable revenues in the prior year being presented.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Gross profit, gross margin and adjusted gross margin</w:t>
      </w:r>
      <w:r>
        <w:rPr>
          <w:rFonts w:ascii="Times New Roman" w:cs="Times New Roman" w:eastAsia="Times New Roman" w:hAnsi="Times New Roman"/>
          <w:sz w:val="15"/>
          <w:szCs w:val="15"/>
          <w:b w:val="1"/>
          <w:bCs w:val="1"/>
          <w:color w:val="auto"/>
        </w:rPr>
        <w:t>(1)</w:t>
      </w:r>
      <w:r>
        <w:rPr>
          <w:rFonts w:ascii="Times New Roman" w:cs="Times New Roman" w:eastAsia="Times New Roman" w:hAnsi="Times New Roman"/>
          <w:sz w:val="18"/>
          <w:szCs w:val="18"/>
          <w:b w:val="1"/>
          <w:bCs w:val="1"/>
          <w:color w:val="auto"/>
        </w:rPr>
        <w:t xml:space="preserve"> for our reporting segments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gross profit and gross margin for the three and nine months ended February 28, 2022 and 2021,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6"/>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6"/>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120" w:type="dxa"/>
            <w:vAlign w:val="bottom"/>
          </w:tcPr>
          <w:p>
            <w:pPr>
              <w:spacing w:after="0"/>
              <w:rPr>
                <w:sz w:val="13"/>
                <w:szCs w:val="13"/>
                <w:color w:val="auto"/>
              </w:rPr>
            </w:pPr>
          </w:p>
        </w:tc>
        <w:tc>
          <w:tcPr>
            <w:tcW w:w="1020" w:type="dxa"/>
            <w:vAlign w:val="bottom"/>
            <w:gridSpan w:val="2"/>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6"/>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6"/>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00" w:type="dxa"/>
            <w:vAlign w:val="bottom"/>
            <w:tcBorders>
              <w:bottom w:val="single" w:sz="8" w:color="CFF0FC"/>
            </w:tcBorders>
          </w:tcPr>
          <w:p>
            <w:pPr>
              <w:jc w:val="center"/>
              <w:ind w:left="48"/>
              <w:spacing w:after="0" w:line="155" w:lineRule="exact"/>
              <w:rPr>
                <w:sz w:val="20"/>
                <w:szCs w:val="20"/>
                <w:color w:val="auto"/>
              </w:rPr>
            </w:pPr>
            <w:r>
              <w:rPr>
                <w:rFonts w:ascii="Times New Roman" w:cs="Times New Roman" w:eastAsia="Times New Roman" w:hAnsi="Times New Roman"/>
                <w:sz w:val="14"/>
                <w:szCs w:val="14"/>
                <w:b w:val="1"/>
                <w:bCs w:val="1"/>
                <w:color w:val="auto"/>
              </w:rPr>
              <w:t>Cannabis</w:t>
            </w:r>
          </w:p>
        </w:tc>
        <w:tc>
          <w:tcPr>
            <w:tcW w:w="1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760" w:type="dxa"/>
            <w:vAlign w:val="bottom"/>
            <w:tcBorders>
              <w:top w:val="single" w:sz="8" w:color="auto"/>
              <w:bottom w:val="single" w:sz="8" w:color="auto"/>
            </w:tcBorders>
            <w:gridSpan w:val="3"/>
          </w:tcPr>
          <w:p>
            <w:pPr>
              <w:jc w:val="right"/>
              <w:ind w:right="468"/>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780" w:type="dxa"/>
            <w:vAlign w:val="bottom"/>
            <w:tcBorders>
              <w:top w:val="single" w:sz="8" w:color="auto"/>
              <w:bottom w:val="single" w:sz="8" w:color="auto"/>
            </w:tcBorders>
            <w:gridSpan w:val="3"/>
          </w:tcPr>
          <w:p>
            <w:pPr>
              <w:jc w:val="right"/>
              <w:ind w:right="488"/>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Revenue</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69,178</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55,702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13,476</w:t>
            </w:r>
          </w:p>
        </w:tc>
        <w:tc>
          <w:tcPr>
            <w:tcW w:w="3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232,540</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192,977</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39,563</w:t>
            </w:r>
          </w:p>
        </w:tc>
        <w:tc>
          <w:tcPr>
            <w:tcW w:w="3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18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Excise taxes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(14,133)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(13,981)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(152)</w:t>
            </w: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(48,271)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(45,288)</w:t>
            </w:r>
          </w:p>
        </w:tc>
        <w:tc>
          <w:tcPr>
            <w:tcW w:w="120" w:type="dxa"/>
            <w:vAlign w:val="bottom"/>
          </w:tcPr>
          <w:p>
            <w:pPr>
              <w:spacing w:after="0"/>
              <w:rPr>
                <w:sz w:val="14"/>
                <w:szCs w:val="14"/>
                <w:color w:val="auto"/>
              </w:rPr>
            </w:pPr>
          </w:p>
        </w:tc>
        <w:tc>
          <w:tcPr>
            <w:tcW w:w="102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color w:val="auto"/>
              </w:rPr>
              <w:t>(2,983)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revenue</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55,045</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41,721</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13,324</w:t>
            </w:r>
          </w:p>
        </w:tc>
        <w:tc>
          <w:tcPr>
            <w:tcW w:w="3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184,269</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147,689</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36,580</w:t>
            </w:r>
          </w:p>
        </w:tc>
        <w:tc>
          <w:tcPr>
            <w:tcW w:w="3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37,042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11,669</w:t>
            </w:r>
          </w:p>
        </w:tc>
        <w:tc>
          <w:tcPr>
            <w:tcW w:w="34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122,492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80,780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41,712</w:t>
            </w:r>
          </w:p>
        </w:tc>
        <w:tc>
          <w:tcPr>
            <w:tcW w:w="3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18,003</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16,348</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1,655</w:t>
            </w:r>
          </w:p>
        </w:tc>
        <w:tc>
          <w:tcPr>
            <w:tcW w:w="3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61,777</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66,909</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(5,132)</w:t>
            </w:r>
          </w:p>
        </w:tc>
        <w:tc>
          <w:tcPr>
            <w:tcW w:w="340" w:type="dxa"/>
            <w:vAlign w:val="bottom"/>
            <w:vMerge w:val="continue"/>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33%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(6%)</w:t>
            </w:r>
          </w:p>
        </w:tc>
        <w:tc>
          <w:tcPr>
            <w:tcW w:w="100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3"/>
                <w:szCs w:val="13"/>
                <w:color w:val="auto"/>
              </w:rPr>
            </w:pPr>
          </w:p>
        </w:tc>
        <w:tc>
          <w:tcPr>
            <w:tcW w:w="1020" w:type="dxa"/>
            <w:vAlign w:val="bottom"/>
            <w:gridSpan w:val="2"/>
          </w:tcPr>
          <w:p>
            <w:pPr>
              <w:jc w:val="right"/>
              <w:ind w:right="139"/>
              <w:spacing w:after="0" w:line="155" w:lineRule="exact"/>
              <w:rPr>
                <w:sz w:val="20"/>
                <w:szCs w:val="20"/>
                <w:color w:val="auto"/>
              </w:rPr>
            </w:pPr>
            <w:r>
              <w:rPr>
                <w:rFonts w:ascii="Times New Roman" w:cs="Times New Roman" w:eastAsia="Times New Roman" w:hAnsi="Times New Roman"/>
                <w:sz w:val="14"/>
                <w:szCs w:val="14"/>
                <w:color w:val="auto"/>
              </w:rPr>
              <w:t>(12%)</w:t>
            </w:r>
          </w:p>
        </w:tc>
        <w:tc>
          <w:tcPr>
            <w:tcW w:w="9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55"/>
        </w:trPr>
        <w:tc>
          <w:tcPr>
            <w:tcW w:w="20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Inventory valuation adjustments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Adjusted gross profit </w:t>
            </w:r>
            <w:r>
              <w:rPr>
                <w:rFonts w:ascii="Times New Roman" w:cs="Times New Roman" w:eastAsia="Times New Roman" w:hAnsi="Times New Roman"/>
                <w:sz w:val="12"/>
                <w:szCs w:val="12"/>
                <w:color w:val="auto"/>
              </w:rPr>
              <w:t>(1)</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18,003</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16,348</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73,777</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66,909</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6,868</w:t>
            </w:r>
          </w:p>
        </w:tc>
        <w:tc>
          <w:tcPr>
            <w:tcW w:w="3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Adjusted gross margin </w:t>
            </w:r>
            <w:r>
              <w:rPr>
                <w:rFonts w:ascii="Times New Roman" w:cs="Times New Roman" w:eastAsia="Times New Roman" w:hAnsi="Times New Roman"/>
                <w:sz w:val="12"/>
                <w:szCs w:val="12"/>
                <w:color w:val="auto"/>
              </w:rPr>
              <w:t>(1)</w:t>
            </w: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33%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(6%)</w:t>
            </w:r>
          </w:p>
        </w:tc>
        <w:tc>
          <w:tcPr>
            <w:tcW w:w="100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40%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3"/>
                <w:szCs w:val="13"/>
                <w:color w:val="auto"/>
              </w:rPr>
            </w:pPr>
          </w:p>
        </w:tc>
        <w:tc>
          <w:tcPr>
            <w:tcW w:w="1020" w:type="dxa"/>
            <w:vAlign w:val="bottom"/>
            <w:gridSpan w:val="2"/>
          </w:tcPr>
          <w:p>
            <w:pPr>
              <w:jc w:val="right"/>
              <w:ind w:right="139"/>
              <w:spacing w:after="0" w:line="155" w:lineRule="exact"/>
              <w:rPr>
                <w:sz w:val="20"/>
                <w:szCs w:val="20"/>
                <w:color w:val="auto"/>
              </w:rPr>
            </w:pPr>
            <w:r>
              <w:rPr>
                <w:rFonts w:ascii="Times New Roman" w:cs="Times New Roman" w:eastAsia="Times New Roman" w:hAnsi="Times New Roman"/>
                <w:sz w:val="14"/>
                <w:szCs w:val="14"/>
                <w:color w:val="auto"/>
              </w:rPr>
              <w:t>(5%)</w:t>
            </w:r>
          </w:p>
        </w:tc>
        <w:tc>
          <w:tcPr>
            <w:tcW w:w="9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20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62,532</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70,237</w:t>
            </w:r>
          </w:p>
        </w:tc>
        <w:tc>
          <w:tcPr>
            <w:tcW w:w="2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(7,705)</w:t>
            </w:r>
          </w:p>
        </w:tc>
        <w:tc>
          <w:tcPr>
            <w:tcW w:w="10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3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198,587</w:t>
            </w:r>
          </w:p>
        </w:tc>
        <w:tc>
          <w:tcPr>
            <w:tcW w:w="14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210,508</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4"/>
                <w:szCs w:val="14"/>
                <w:color w:val="auto"/>
              </w:rPr>
              <w:t>(11,921)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Excise taxes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NM</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56"/>
        </w:trPr>
        <w:tc>
          <w:tcPr>
            <w:tcW w:w="200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revenue</w:t>
            </w:r>
          </w:p>
        </w:tc>
        <w:tc>
          <w:tcPr>
            <w:tcW w:w="1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62,532</w:t>
            </w: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70,237</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(7,705)</w:t>
            </w:r>
          </w:p>
        </w:tc>
        <w:tc>
          <w:tcPr>
            <w:tcW w:w="34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w:t>
            </w:r>
          </w:p>
        </w:tc>
        <w:tc>
          <w:tcPr>
            <w:tcW w:w="260" w:type="dxa"/>
            <w:vAlign w:val="bottom"/>
            <w:tcBorders>
              <w:top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97"/>
              </w:rPr>
              <w:t>%)</w:t>
            </w:r>
          </w:p>
        </w:tc>
        <w:tc>
          <w:tcPr>
            <w:tcW w:w="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198,587</w:t>
            </w:r>
          </w:p>
        </w:tc>
        <w:tc>
          <w:tcPr>
            <w:tcW w:w="1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210,508</w:t>
            </w:r>
          </w:p>
        </w:tc>
        <w:tc>
          <w:tcPr>
            <w:tcW w:w="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(11,921</w:t>
            </w:r>
          </w:p>
        </w:tc>
        <w:tc>
          <w:tcPr>
            <w:tcW w:w="340" w:type="dxa"/>
            <w:vAlign w:val="bottom"/>
            <w:tcBorders>
              <w:top w:val="single" w:sz="8" w:color="CFF0FC"/>
            </w:tcBorders>
            <w:shd w:val="clear" w:color="auto" w:fill="CFF0FC"/>
          </w:tcPr>
          <w:p>
            <w:pPr>
              <w:jc w:val="right"/>
              <w:ind w:right="259"/>
              <w:spacing w:after="0"/>
              <w:rPr>
                <w:sz w:val="20"/>
                <w:szCs w:val="20"/>
                <w:color w:val="auto"/>
              </w:rPr>
            </w:pPr>
            <w:r>
              <w:rPr>
                <w:rFonts w:ascii="Times New Roman" w:cs="Times New Roman" w:eastAsia="Times New Roman" w:hAnsi="Times New Roman"/>
                <w:sz w:val="8"/>
                <w:szCs w:val="8"/>
                <w:color w:val="auto"/>
                <w:w w:val="73"/>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w w:val="97"/>
              </w:rPr>
              <w:t>%)</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57,566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61,015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(3,449)</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178,093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182,048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color w:val="auto"/>
              </w:rPr>
              <w:t>(3,955)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4,966</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9,222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(4,256)</w:t>
            </w:r>
          </w:p>
        </w:tc>
        <w:tc>
          <w:tcPr>
            <w:tcW w:w="340" w:type="dxa"/>
            <w:vAlign w:val="bottom"/>
            <w:vMerge w:val="continue"/>
            <w:shd w:val="clear" w:color="auto" w:fill="CFF0FC"/>
          </w:tcPr>
          <w:p>
            <w:pPr>
              <w:spacing w:after="0"/>
              <w:rPr>
                <w:sz w:val="13"/>
                <w:szCs w:val="13"/>
                <w:color w:val="auto"/>
              </w:rPr>
            </w:pPr>
          </w:p>
        </w:tc>
        <w:tc>
          <w:tcPr>
            <w:tcW w:w="1000" w:type="dxa"/>
            <w:vAlign w:val="bottom"/>
            <w:gridSpan w:val="2"/>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20,494</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28,460</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(7,966)</w:t>
            </w:r>
          </w:p>
        </w:tc>
        <w:tc>
          <w:tcPr>
            <w:tcW w:w="340" w:type="dxa"/>
            <w:vAlign w:val="bottom"/>
            <w:vMerge w:val="continue"/>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(5%)</w:t>
            </w:r>
          </w:p>
        </w:tc>
        <w:tc>
          <w:tcPr>
            <w:tcW w:w="100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7"/>
                <w:szCs w:val="17"/>
                <w:color w:val="auto"/>
              </w:rPr>
            </w:pPr>
          </w:p>
        </w:tc>
        <w:tc>
          <w:tcPr>
            <w:tcW w:w="1020" w:type="dxa"/>
            <w:vAlign w:val="bottom"/>
            <w:gridSpan w:val="2"/>
          </w:tcPr>
          <w:p>
            <w:pPr>
              <w:jc w:val="right"/>
              <w:ind w:right="139"/>
              <w:spacing w:after="0" w:line="155" w:lineRule="exact"/>
              <w:rPr>
                <w:sz w:val="20"/>
                <w:szCs w:val="20"/>
                <w:color w:val="auto"/>
              </w:rPr>
            </w:pPr>
            <w:r>
              <w:rPr>
                <w:rFonts w:ascii="Times New Roman" w:cs="Times New Roman" w:eastAsia="Times New Roman" w:hAnsi="Times New Roman"/>
                <w:sz w:val="14"/>
                <w:szCs w:val="14"/>
                <w:color w:val="auto"/>
              </w:rPr>
              <w:t>(3%)</w:t>
            </w:r>
          </w:p>
        </w:tc>
        <w:tc>
          <w:tcPr>
            <w:tcW w:w="9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3"/>
        </w:trPr>
        <w:tc>
          <w:tcPr>
            <w:tcW w:w="2000" w:type="dxa"/>
            <w:vAlign w:val="bottom"/>
          </w:tcPr>
          <w:p>
            <w:pPr>
              <w:jc w:val="center"/>
              <w:ind w:left="48"/>
              <w:spacing w:after="0" w:line="143" w:lineRule="exact"/>
              <w:rPr>
                <w:sz w:val="20"/>
                <w:szCs w:val="20"/>
                <w:color w:val="auto"/>
              </w:rPr>
            </w:pPr>
            <w:r>
              <w:rPr>
                <w:rFonts w:ascii="Times New Roman" w:cs="Times New Roman" w:eastAsia="Times New Roman" w:hAnsi="Times New Roman"/>
                <w:sz w:val="14"/>
                <w:szCs w:val="14"/>
                <w:b w:val="1"/>
                <w:bCs w:val="1"/>
                <w:color w:val="auto"/>
              </w:rPr>
              <w:t>Beverage alcohol</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20,473</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12,358</w:t>
            </w:r>
          </w:p>
        </w:tc>
        <w:tc>
          <w:tcPr>
            <w:tcW w:w="2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8,115</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66%</w:t>
            </w:r>
          </w:p>
        </w:tc>
        <w:tc>
          <w:tcPr>
            <w:tcW w:w="3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51,500</w:t>
            </w:r>
          </w:p>
        </w:tc>
        <w:tc>
          <w:tcPr>
            <w:tcW w:w="14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13,112</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38,388</w:t>
            </w:r>
          </w:p>
        </w:tc>
        <w:tc>
          <w:tcPr>
            <w:tcW w:w="3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Excise taxes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(876)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(460)</w:t>
            </w: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(2,735)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(460)</w:t>
            </w:r>
          </w:p>
        </w:tc>
        <w:tc>
          <w:tcPr>
            <w:tcW w:w="120" w:type="dxa"/>
            <w:vAlign w:val="bottom"/>
          </w:tcPr>
          <w:p>
            <w:pPr>
              <w:spacing w:after="0"/>
              <w:rPr>
                <w:sz w:val="14"/>
                <w:szCs w:val="14"/>
                <w:color w:val="auto"/>
              </w:rPr>
            </w:pPr>
          </w:p>
        </w:tc>
        <w:tc>
          <w:tcPr>
            <w:tcW w:w="102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color w:val="auto"/>
              </w:rPr>
              <w:t>(2,275)</w:t>
            </w:r>
          </w:p>
        </w:tc>
        <w:tc>
          <w:tcPr>
            <w:tcW w:w="9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revenue</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19,597</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11,942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7,655</w:t>
            </w:r>
          </w:p>
        </w:tc>
        <w:tc>
          <w:tcPr>
            <w:tcW w:w="3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48,765</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12,652</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36,113</w:t>
            </w:r>
          </w:p>
        </w:tc>
        <w:tc>
          <w:tcPr>
            <w:tcW w:w="3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NM</w:t>
            </w:r>
          </w:p>
        </w:tc>
        <w:tc>
          <w:tcPr>
            <w:tcW w:w="180" w:type="dxa"/>
            <w:vAlign w:val="bottom"/>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34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13,337</w:t>
            </w:r>
          </w:p>
        </w:tc>
        <w:tc>
          <w:tcPr>
            <w:tcW w:w="340" w:type="dxa"/>
            <w:vAlign w:val="bottom"/>
          </w:tcPr>
          <w:p>
            <w:pPr>
              <w:spacing w:after="0"/>
              <w:rPr>
                <w:sz w:val="14"/>
                <w:szCs w:val="14"/>
                <w:color w:val="auto"/>
              </w:rPr>
            </w:pPr>
          </w:p>
        </w:tc>
        <w:tc>
          <w:tcPr>
            <w:tcW w:w="9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11,506</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4,886</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6,620</w:t>
            </w:r>
          </w:p>
        </w:tc>
        <w:tc>
          <w:tcPr>
            <w:tcW w:w="3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135%</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28,091</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5,315</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22,776</w:t>
            </w:r>
          </w:p>
        </w:tc>
        <w:tc>
          <w:tcPr>
            <w:tcW w:w="3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NM</w:t>
            </w:r>
          </w:p>
        </w:tc>
        <w:tc>
          <w:tcPr>
            <w:tcW w:w="180" w:type="dxa"/>
            <w:vAlign w:val="bottom"/>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59%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100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58%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7"/>
                <w:szCs w:val="17"/>
                <w:color w:val="auto"/>
              </w:rPr>
            </w:pPr>
          </w:p>
        </w:tc>
        <w:tc>
          <w:tcPr>
            <w:tcW w:w="1020" w:type="dxa"/>
            <w:vAlign w:val="bottom"/>
            <w:gridSpan w:val="2"/>
          </w:tcPr>
          <w:p>
            <w:pPr>
              <w:jc w:val="right"/>
              <w:ind w:right="179"/>
              <w:spacing w:after="0" w:line="155" w:lineRule="exact"/>
              <w:rPr>
                <w:sz w:val="20"/>
                <w:szCs w:val="20"/>
                <w:color w:val="auto"/>
              </w:rPr>
            </w:pPr>
            <w:r>
              <w:rPr>
                <w:rFonts w:ascii="Times New Roman" w:cs="Times New Roman" w:eastAsia="Times New Roman" w:hAnsi="Times New Roman"/>
                <w:sz w:val="14"/>
                <w:szCs w:val="14"/>
                <w:color w:val="auto"/>
              </w:rPr>
              <w:t>16%</w:t>
            </w:r>
          </w:p>
        </w:tc>
        <w:tc>
          <w:tcPr>
            <w:tcW w:w="9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3"/>
        </w:trPr>
        <w:tc>
          <w:tcPr>
            <w:tcW w:w="2000" w:type="dxa"/>
            <w:vAlign w:val="bottom"/>
          </w:tcPr>
          <w:p>
            <w:pPr>
              <w:jc w:val="center"/>
              <w:ind w:left="48"/>
              <w:spacing w:after="0" w:line="143" w:lineRule="exact"/>
              <w:rPr>
                <w:sz w:val="20"/>
                <w:szCs w:val="20"/>
                <w:color w:val="auto"/>
              </w:rPr>
            </w:pPr>
            <w:r>
              <w:rPr>
                <w:rFonts w:ascii="Times New Roman" w:cs="Times New Roman" w:eastAsia="Times New Roman" w:hAnsi="Times New Roman"/>
                <w:sz w:val="14"/>
                <w:szCs w:val="14"/>
                <w:b w:val="1"/>
                <w:bCs w:val="1"/>
                <w:color w:val="auto"/>
                <w:w w:val="98"/>
              </w:rPr>
              <w:t>Wellness</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14,697</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14,697</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NM</w:t>
            </w:r>
          </w:p>
        </w:tc>
        <w:tc>
          <w:tcPr>
            <w:tcW w:w="3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43,426</w:t>
            </w:r>
          </w:p>
        </w:tc>
        <w:tc>
          <w:tcPr>
            <w:tcW w:w="14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43,426</w:t>
            </w:r>
          </w:p>
        </w:tc>
        <w:tc>
          <w:tcPr>
            <w:tcW w:w="3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Excise taxes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NM</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55"/>
        </w:trPr>
        <w:tc>
          <w:tcPr>
            <w:tcW w:w="200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revenue</w:t>
            </w:r>
          </w:p>
        </w:tc>
        <w:tc>
          <w:tcPr>
            <w:tcW w:w="1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14,697</w:t>
            </w: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14,697</w:t>
            </w:r>
          </w:p>
        </w:tc>
        <w:tc>
          <w:tcPr>
            <w:tcW w:w="34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NM</w:t>
            </w: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43,426</w:t>
            </w:r>
          </w:p>
        </w:tc>
        <w:tc>
          <w:tcPr>
            <w:tcW w:w="1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43,426</w:t>
            </w:r>
          </w:p>
        </w:tc>
        <w:tc>
          <w:tcPr>
            <w:tcW w:w="34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NM</w:t>
            </w: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9,343</w:t>
            </w:r>
          </w:p>
        </w:tc>
        <w:tc>
          <w:tcPr>
            <w:tcW w:w="340" w:type="dxa"/>
            <w:vAlign w:val="bottom"/>
          </w:tcPr>
          <w:p>
            <w:pPr>
              <w:spacing w:after="0"/>
              <w:rPr>
                <w:sz w:val="14"/>
                <w:szCs w:val="14"/>
                <w:color w:val="auto"/>
              </w:rPr>
            </w:pPr>
          </w:p>
        </w:tc>
        <w:tc>
          <w:tcPr>
            <w:tcW w:w="10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NM</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30,238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30,238</w:t>
            </w:r>
          </w:p>
        </w:tc>
        <w:tc>
          <w:tcPr>
            <w:tcW w:w="340" w:type="dxa"/>
            <w:vAlign w:val="bottom"/>
          </w:tcPr>
          <w:p>
            <w:pPr>
              <w:spacing w:after="0"/>
              <w:rPr>
                <w:sz w:val="14"/>
                <w:szCs w:val="14"/>
                <w:color w:val="auto"/>
              </w:rPr>
            </w:pPr>
          </w:p>
        </w:tc>
        <w:tc>
          <w:tcPr>
            <w:tcW w:w="9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55"/>
        </w:trPr>
        <w:tc>
          <w:tcPr>
            <w:tcW w:w="200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5,354</w:t>
            </w: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5,354</w:t>
            </w:r>
          </w:p>
        </w:tc>
        <w:tc>
          <w:tcPr>
            <w:tcW w:w="34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NM</w:t>
            </w: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13,188</w:t>
            </w:r>
          </w:p>
        </w:tc>
        <w:tc>
          <w:tcPr>
            <w:tcW w:w="1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13,188</w:t>
            </w:r>
          </w:p>
        </w:tc>
        <w:tc>
          <w:tcPr>
            <w:tcW w:w="34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NM</w:t>
            </w: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Gross margin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36%</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NM</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7"/>
                <w:szCs w:val="17"/>
                <w:color w:val="auto"/>
              </w:rPr>
            </w:pPr>
          </w:p>
        </w:tc>
        <w:tc>
          <w:tcPr>
            <w:tcW w:w="1020" w:type="dxa"/>
            <w:vAlign w:val="bottom"/>
            <w:gridSpan w:val="2"/>
          </w:tcPr>
          <w:p>
            <w:pPr>
              <w:jc w:val="right"/>
              <w:ind w:right="179"/>
              <w:spacing w:after="0" w:line="155" w:lineRule="exact"/>
              <w:rPr>
                <w:sz w:val="20"/>
                <w:szCs w:val="20"/>
                <w:color w:val="auto"/>
              </w:rPr>
            </w:pPr>
            <w:r>
              <w:rPr>
                <w:rFonts w:ascii="Times New Roman" w:cs="Times New Roman" w:eastAsia="Times New Roman" w:hAnsi="Times New Roman"/>
                <w:sz w:val="14"/>
                <w:szCs w:val="14"/>
                <w:color w:val="auto"/>
              </w:rPr>
              <w:t>30%</w:t>
            </w: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NM</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00" w:type="dxa"/>
            <w:vAlign w:val="bottom"/>
          </w:tcPr>
          <w:p>
            <w:pPr>
              <w:jc w:val="center"/>
              <w:ind w:left="48"/>
              <w:spacing w:after="0" w:line="143"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166,880</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138,297</w:t>
            </w:r>
          </w:p>
        </w:tc>
        <w:tc>
          <w:tcPr>
            <w:tcW w:w="2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28,583</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21%</w:t>
            </w:r>
          </w:p>
        </w:tc>
        <w:tc>
          <w:tcPr>
            <w:tcW w:w="3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526,053</w:t>
            </w:r>
          </w:p>
        </w:tc>
        <w:tc>
          <w:tcPr>
            <w:tcW w:w="14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416,597</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109,456</w:t>
            </w:r>
          </w:p>
        </w:tc>
        <w:tc>
          <w:tcPr>
            <w:tcW w:w="3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Excise taxes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(15,009)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(14,397)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(612)</w:t>
            </w: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(51,006)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(45,748)</w:t>
            </w:r>
          </w:p>
        </w:tc>
        <w:tc>
          <w:tcPr>
            <w:tcW w:w="120" w:type="dxa"/>
            <w:vAlign w:val="bottom"/>
          </w:tcPr>
          <w:p>
            <w:pPr>
              <w:spacing w:after="0"/>
              <w:rPr>
                <w:sz w:val="14"/>
                <w:szCs w:val="14"/>
                <w:color w:val="auto"/>
              </w:rPr>
            </w:pPr>
          </w:p>
        </w:tc>
        <w:tc>
          <w:tcPr>
            <w:tcW w:w="102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color w:val="auto"/>
              </w:rPr>
              <w:t>(5,258)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revenue</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151,871</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123,900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27,971</w:t>
            </w:r>
          </w:p>
        </w:tc>
        <w:tc>
          <w:tcPr>
            <w:tcW w:w="3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475,047</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370,849</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104,198</w:t>
            </w:r>
          </w:p>
        </w:tc>
        <w:tc>
          <w:tcPr>
            <w:tcW w:w="3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112,042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93,444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18,598</w:t>
            </w:r>
          </w:p>
        </w:tc>
        <w:tc>
          <w:tcPr>
            <w:tcW w:w="34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351,497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270,165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81,332</w:t>
            </w:r>
          </w:p>
        </w:tc>
        <w:tc>
          <w:tcPr>
            <w:tcW w:w="3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39,829</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30,456</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9,373</w:t>
            </w:r>
          </w:p>
        </w:tc>
        <w:tc>
          <w:tcPr>
            <w:tcW w:w="3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123,550</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100,684</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22,866</w:t>
            </w:r>
          </w:p>
        </w:tc>
        <w:tc>
          <w:tcPr>
            <w:tcW w:w="3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2%</w:t>
            </w:r>
          </w:p>
        </w:tc>
        <w:tc>
          <w:tcPr>
            <w:tcW w:w="100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7"/>
                <w:szCs w:val="17"/>
                <w:color w:val="auto"/>
              </w:rPr>
            </w:pPr>
          </w:p>
        </w:tc>
        <w:tc>
          <w:tcPr>
            <w:tcW w:w="1020" w:type="dxa"/>
            <w:vAlign w:val="bottom"/>
            <w:gridSpan w:val="2"/>
          </w:tcPr>
          <w:p>
            <w:pPr>
              <w:jc w:val="right"/>
              <w:ind w:right="139"/>
              <w:spacing w:after="0" w:line="155" w:lineRule="exact"/>
              <w:rPr>
                <w:sz w:val="20"/>
                <w:szCs w:val="20"/>
                <w:color w:val="auto"/>
              </w:rPr>
            </w:pPr>
            <w:r>
              <w:rPr>
                <w:rFonts w:ascii="Times New Roman" w:cs="Times New Roman" w:eastAsia="Times New Roman" w:hAnsi="Times New Roman"/>
                <w:sz w:val="14"/>
                <w:szCs w:val="14"/>
                <w:color w:val="auto"/>
              </w:rPr>
              <w:t>(1%)</w:t>
            </w:r>
          </w:p>
        </w:tc>
        <w:tc>
          <w:tcPr>
            <w:tcW w:w="9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3"/>
        </w:trPr>
        <w:tc>
          <w:tcPr>
            <w:tcW w:w="20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Inventory valuation adjustments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Adjusted gross profit </w:t>
            </w:r>
            <w:r>
              <w:rPr>
                <w:rFonts w:ascii="Times New Roman" w:cs="Times New Roman" w:eastAsia="Times New Roman" w:hAnsi="Times New Roman"/>
                <w:sz w:val="12"/>
                <w:szCs w:val="12"/>
                <w:color w:val="auto"/>
              </w:rPr>
              <w:t>(1)</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39,829</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30,456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135,550</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100,684</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34,866</w:t>
            </w:r>
          </w:p>
        </w:tc>
        <w:tc>
          <w:tcPr>
            <w:tcW w:w="3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Adjusted gross margin </w:t>
            </w:r>
            <w:r>
              <w:rPr>
                <w:rFonts w:ascii="Times New Roman" w:cs="Times New Roman" w:eastAsia="Times New Roman" w:hAnsi="Times New Roman"/>
                <w:sz w:val="12"/>
                <w:szCs w:val="12"/>
                <w:color w:val="auto"/>
              </w:rPr>
              <w:t>(1)</w:t>
            </w: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2%</w:t>
            </w:r>
          </w:p>
        </w:tc>
        <w:tc>
          <w:tcPr>
            <w:tcW w:w="100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3"/>
                <w:szCs w:val="13"/>
                <w:color w:val="auto"/>
              </w:rPr>
            </w:pPr>
          </w:p>
        </w:tc>
        <w:tc>
          <w:tcPr>
            <w:tcW w:w="1020" w:type="dxa"/>
            <w:vAlign w:val="bottom"/>
            <w:gridSpan w:val="2"/>
          </w:tcPr>
          <w:p>
            <w:pPr>
              <w:jc w:val="right"/>
              <w:ind w:right="179"/>
              <w:spacing w:after="0" w:line="155" w:lineRule="exact"/>
              <w:rPr>
                <w:sz w:val="20"/>
                <w:szCs w:val="20"/>
                <w:color w:val="auto"/>
              </w:rPr>
            </w:pPr>
            <w:r>
              <w:rPr>
                <w:rFonts w:ascii="Times New Roman" w:cs="Times New Roman" w:eastAsia="Times New Roman" w:hAnsi="Times New Roman"/>
                <w:sz w:val="14"/>
                <w:szCs w:val="14"/>
                <w:color w:val="auto"/>
              </w:rPr>
              <w:t>1%</w:t>
            </w:r>
          </w:p>
        </w:tc>
        <w:tc>
          <w:tcPr>
            <w:tcW w:w="9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1000" w:hanging="493"/>
        <w:spacing w:after="0" w:line="258" w:lineRule="auto"/>
        <w:tabs>
          <w:tab w:leader="none" w:pos="100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gross profit is our Gross profit (adjusted to exclude inventory valuation adjustments) and adjusted gross margin percentage is our Gross margin adjusted to exclude inventory valuation adjustments) and are non-GAAP financial measures. See “Use of Non-GAAP Measures” below for additional discussion regarding these non-GAAP measures. The Company’s management believes that adjusted gross profit and adjusted gross margin are useful to our management to evaluate our business and operations, measure our performance, identify trends affecting our business, project our future performance, and make strategic decisions.</w:t>
      </w:r>
    </w:p>
    <w:p>
      <w:pPr>
        <w:spacing w:after="0" w:line="22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Cannabis gross margin: </w:t>
      </w:r>
      <w:r>
        <w:rPr>
          <w:rFonts w:ascii="Times New Roman" w:cs="Times New Roman" w:eastAsia="Times New Roman" w:hAnsi="Times New Roman"/>
          <w:sz w:val="18"/>
          <w:szCs w:val="18"/>
          <w:color w:val="auto"/>
        </w:rPr>
        <w:t>Gross margin decreased during the three and nine months ended February 28, 2022 to 33% and 34% from 39% and 45%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versus the prior year same periods. The three months’ decrease in cannabis gross margin is primarily related to a single wholesale cannabis sale resulting in revenue of $3.0 and negative gross profit of $2.6 million, lowering the cannabis gross margin by 7% solely related to the single transaction. The transaction was a sale of aged dried cannabis that was nearing the end of its shelf life. In addition, margins were impacted by our price reduction on vape and pre-rolled products originally initiated in the prior quarter. The nine months decrease in cannabis gross margin is a result of selling the acquired legacy-Tilray brands, which had higher costs to produce, and the Company took an additional non-cash inventory write down of $12 million in November 2021. Significant efforts have been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jc w:val="both"/>
        <w:spacing w:after="0" w:line="261" w:lineRule="auto"/>
        <w:rPr>
          <w:sz w:val="20"/>
          <w:szCs w:val="20"/>
          <w:color w:val="auto"/>
        </w:rPr>
      </w:pPr>
      <w:r>
        <w:rPr>
          <w:rFonts w:ascii="Times New Roman" w:cs="Times New Roman" w:eastAsia="Times New Roman" w:hAnsi="Times New Roman"/>
          <w:sz w:val="18"/>
          <w:szCs w:val="18"/>
          <w:color w:val="auto"/>
        </w:rPr>
        <w:t>taken to reduce the Company’s cultivation costs at its legacy-Tilray Canadian facilities, including announcing the shutdown of both the Enniskillen and Nanaimo Canadian facilities. In the interim and until the inventory cultivated at these facilities is depleted, we expect to report lower gross margins until the inventory cultivated at legacy Aphria facilities replaces these products. Our European operations continue to work to optimize the cost structure for their cannabis growing facilities, including working with the Canadian operations team, all in an effort to continually lower our per unit costs.</w:t>
      </w:r>
    </w:p>
    <w:p>
      <w:pPr>
        <w:spacing w:after="0" w:line="20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Distribution gross margin: </w:t>
      </w:r>
      <w:r>
        <w:rPr>
          <w:rFonts w:ascii="Times New Roman" w:cs="Times New Roman" w:eastAsia="Times New Roman" w:hAnsi="Times New Roman"/>
          <w:sz w:val="18"/>
          <w:szCs w:val="18"/>
          <w:color w:val="auto"/>
        </w:rPr>
        <w:t>Gross margin of 8% and 10% for the three and nine months ended February 28, 2022 decreased from 13% and 14%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periods in the prior year. These declines were driven by increased costs as the Company’s primary source of products were unable to ship during border closures and during periods of peak demand. The Company also experienced higher than normal discounts and returns in the three months ended February 28, 2022.</w:t>
      </w:r>
    </w:p>
    <w:p>
      <w:pPr>
        <w:spacing w:after="0" w:line="180"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Beverage alcohol gross margin: </w:t>
      </w:r>
      <w:r>
        <w:rPr>
          <w:rFonts w:ascii="Times New Roman" w:cs="Times New Roman" w:eastAsia="Times New Roman" w:hAnsi="Times New Roman"/>
          <w:sz w:val="18"/>
          <w:szCs w:val="18"/>
          <w:color w:val="auto"/>
        </w:rPr>
        <w:t>Gross margin of 59% and 58% for the three and nine months ended February 28, 2022 increased from 41%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42% from the same periods in the prior year. These increases are due to the addition of Breckenridge, and its higher gross margin, during the period and a resurgence of SweetWater’s on-premises activities from the return of indoor dining. Additionally, we acquired this segment in the final week of the second quarter of the prior year, which hinders a representative comparison.</w:t>
      </w:r>
    </w:p>
    <w:p>
      <w:pPr>
        <w:spacing w:after="0" w:line="180" w:lineRule="exact"/>
        <w:rPr>
          <w:sz w:val="20"/>
          <w:szCs w:val="20"/>
          <w:color w:val="auto"/>
        </w:rPr>
      </w:pPr>
    </w:p>
    <w:p>
      <w:pPr>
        <w:jc w:val="both"/>
        <w:ind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Wellness gross margin: </w:t>
      </w:r>
      <w:r>
        <w:rPr>
          <w:rFonts w:ascii="Times New Roman" w:cs="Times New Roman" w:eastAsia="Times New Roman" w:hAnsi="Times New Roman"/>
          <w:sz w:val="18"/>
          <w:szCs w:val="18"/>
          <w:color w:val="auto"/>
        </w:rPr>
        <w:t>Gross margin of 36% and 30% for the three and nine months ended February 28, 2022 are consistent with the preceding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quarter. We acquired the wellness business in the Arrangement and did not operate in this segment during the same periods during prior year.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40" w:type="dxa"/>
            <w:vAlign w:val="bottom"/>
          </w:tcPr>
          <w:p>
            <w:pPr>
              <w:spacing w:after="0"/>
              <w:rPr>
                <w:sz w:val="13"/>
                <w:szCs w:val="13"/>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3"/>
                <w:szCs w:val="13"/>
                <w:color w:val="auto"/>
              </w:rPr>
            </w:pPr>
          </w:p>
        </w:tc>
        <w:tc>
          <w:tcPr>
            <w:tcW w:w="19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140" w:type="dxa"/>
            <w:vAlign w:val="bottom"/>
          </w:tcPr>
          <w:p>
            <w:pPr>
              <w:spacing w:after="0"/>
              <w:rPr>
                <w:sz w:val="13"/>
                <w:szCs w:val="13"/>
                <w:color w:val="auto"/>
              </w:rPr>
            </w:pPr>
          </w:p>
        </w:tc>
        <w:tc>
          <w:tcPr>
            <w:tcW w:w="9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00" w:type="dxa"/>
            <w:vAlign w:val="bottom"/>
          </w:tcPr>
          <w:p>
            <w:pPr>
              <w:spacing w:after="0"/>
              <w:rPr>
                <w:sz w:val="15"/>
                <w:szCs w:val="15"/>
                <w:color w:val="auto"/>
              </w:rPr>
            </w:pPr>
          </w:p>
        </w:tc>
        <w:tc>
          <w:tcPr>
            <w:tcW w:w="19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540" w:type="dxa"/>
            <w:vAlign w:val="bottom"/>
            <w:tcBorders>
              <w:bottom w:val="single" w:sz="8" w:color="CFF0FC"/>
            </w:tcBorders>
            <w:vMerge w:val="continue"/>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800" w:type="dxa"/>
            <w:vAlign w:val="bottom"/>
            <w:tcBorders>
              <w:top w:val="single" w:sz="8" w:color="auto"/>
              <w:bottom w:val="single" w:sz="8" w:color="auto"/>
            </w:tcBorders>
            <w:gridSpan w:val="3"/>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3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780" w:type="dxa"/>
            <w:vAlign w:val="bottom"/>
            <w:tcBorders>
              <w:top w:val="single" w:sz="8" w:color="auto"/>
              <w:bottom w:val="single" w:sz="8" w:color="auto"/>
            </w:tcBorders>
            <w:gridSpan w:val="3"/>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38,445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121,401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78,736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42,665</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Selling</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13,804</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84,345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65,224</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9"/>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promotion</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1"/>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w:t>
            </w:r>
          </w:p>
        </w:tc>
        <w:tc>
          <w:tcPr>
            <w:tcW w:w="200" w:type="dxa"/>
            <w:vAlign w:val="bottom"/>
          </w:tcPr>
          <w:p>
            <w:pPr>
              <w:spacing w:after="0"/>
              <w:rPr>
                <w:sz w:val="18"/>
                <w:szCs w:val="18"/>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(29,065)</w:t>
            </w:r>
          </w:p>
        </w:tc>
        <w:tc>
          <w:tcPr>
            <w:tcW w:w="200" w:type="dxa"/>
            <w:vAlign w:val="bottom"/>
          </w:tcPr>
          <w:p>
            <w:pPr>
              <w:spacing w:after="0"/>
              <w:rPr>
                <w:sz w:val="18"/>
                <w:szCs w:val="18"/>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(29,065)</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tcPr>
          <w:p>
            <w:pPr>
              <w:spacing w:after="0"/>
              <w:rPr>
                <w:sz w:val="18"/>
                <w:szCs w:val="18"/>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(29,065)</w:t>
            </w:r>
          </w:p>
        </w:tc>
        <w:tc>
          <w:tcPr>
            <w:tcW w:w="180" w:type="dxa"/>
            <w:vAlign w:val="bottom"/>
          </w:tcPr>
          <w:p>
            <w:pPr>
              <w:spacing w:after="0"/>
              <w:rPr>
                <w:sz w:val="18"/>
                <w:szCs w:val="18"/>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(29,065)</w:t>
            </w:r>
          </w:p>
        </w:tc>
        <w:tc>
          <w:tcPr>
            <w:tcW w:w="10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26"/>
        </w:trPr>
        <w:tc>
          <w:tcPr>
            <w:tcW w:w="2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(450)</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59,591</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266,528</w:t>
            </w:r>
          </w:p>
        </w:tc>
        <w:tc>
          <w:tcPr>
            <w:tcW w:w="22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159,168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107,360</w:t>
            </w: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Operating expenses are comprised of general and administrative, share-based compensation, selling, amortization, marketing and promotion, research and development, and transaction costs. These costs increased by $5.1 million and $107.4 million for the three and nine months ended February 28, 2022 as compared to the same periods of the prior year. This increase was primarily due to reporting full quarters of operating expenses for the acquired SweetWater and legacy-Tilray in fiscal 2022 and Breckenridge beginning on December 7, 2021, including non-cash amortization charges associated with definite life intangible assets acquired and general and administrative expenses. These increases were partially offset by a change in fair value of contingent consideration of $29.1 million as a result of a change in the likelihood of achieving specified earn-out EBITDA targets.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General and administrative costs</w:t>
      </w:r>
    </w:p>
    <w:p>
      <w:pPr>
        <w:spacing w:after="0" w:line="121"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February 28, 2022, general and administrative costs increased by 57% and 54% as compared to prior year same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5"/>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5"/>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5"/>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5"/>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32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780" w:type="dxa"/>
            <w:vAlign w:val="bottom"/>
            <w:tcBorders>
              <w:top w:val="single" w:sz="8" w:color="auto"/>
              <w:bottom w:val="single" w:sz="8" w:color="auto"/>
            </w:tcBorders>
            <w:gridSpan w:val="3"/>
          </w:tcPr>
          <w:p>
            <w:pPr>
              <w:jc w:val="right"/>
              <w:ind w:right="475"/>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820" w:type="dxa"/>
            <w:vAlign w:val="bottom"/>
            <w:tcBorders>
              <w:top w:val="single" w:sz="8" w:color="auto"/>
              <w:bottom w:val="single" w:sz="8" w:color="auto"/>
            </w:tcBorders>
            <w:gridSpan w:val="3"/>
          </w:tcPr>
          <w:p>
            <w:pPr>
              <w:jc w:val="right"/>
              <w:ind w:right="495"/>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capital assets</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(861)</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NM</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(631)</w:t>
            </w:r>
          </w:p>
        </w:tc>
        <w:tc>
          <w:tcPr>
            <w:tcW w:w="10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Insurance proceeds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(4,032)</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NM</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(4,032)</w:t>
            </w:r>
          </w:p>
        </w:tc>
        <w:tc>
          <w:tcPr>
            <w:tcW w:w="10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23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w:t>
            </w: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320" w:type="dxa"/>
            <w:vAlign w:val="bottom"/>
            <w:vMerge w:val="continue"/>
            <w:shd w:val="clear" w:color="auto" w:fill="CFF0FC"/>
          </w:tcPr>
          <w:p>
            <w:pPr>
              <w:spacing w:after="0"/>
              <w:rPr>
                <w:sz w:val="17"/>
                <w:szCs w:val="17"/>
                <w:color w:val="auto"/>
              </w:rPr>
            </w:pPr>
          </w:p>
        </w:tc>
        <w:tc>
          <w:tcPr>
            <w:tcW w:w="420" w:type="dxa"/>
            <w:vAlign w:val="bottom"/>
            <w:gridSpan w:val="2"/>
            <w:vMerge w:val="restart"/>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38,445</w:t>
            </w:r>
          </w:p>
        </w:tc>
        <w:tc>
          <w:tcPr>
            <w:tcW w:w="140" w:type="dxa"/>
            <w:vAlign w:val="bottom"/>
            <w:shd w:val="clear" w:color="auto" w:fill="CFF0FC"/>
          </w:tcPr>
          <w:p>
            <w:pPr>
              <w:spacing w:after="0"/>
              <w:rPr>
                <w:sz w:val="17"/>
                <w:szCs w:val="17"/>
                <w:color w:val="auto"/>
              </w:rPr>
            </w:pPr>
          </w:p>
        </w:tc>
        <w:tc>
          <w:tcPr>
            <w:tcW w:w="260" w:type="dxa"/>
            <w:vAlign w:val="bottom"/>
            <w:gridSpan w:val="2"/>
            <w:vMerge w:val="restart"/>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24,491</w:t>
            </w:r>
          </w:p>
        </w:tc>
        <w:tc>
          <w:tcPr>
            <w:tcW w:w="3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200" w:type="dxa"/>
            <w:vAlign w:val="bottom"/>
            <w:shd w:val="clear" w:color="auto" w:fill="CFF0FC"/>
          </w:tcPr>
          <w:p>
            <w:pPr>
              <w:spacing w:after="0"/>
              <w:rPr>
                <w:sz w:val="17"/>
                <w:szCs w:val="17"/>
                <w:color w:val="auto"/>
              </w:rPr>
            </w:pPr>
          </w:p>
        </w:tc>
        <w:tc>
          <w:tcPr>
            <w:tcW w:w="10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gridSpan w:val="2"/>
            <w:vMerge w:val="restart"/>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121,401</w:t>
            </w:r>
          </w:p>
        </w:tc>
        <w:tc>
          <w:tcPr>
            <w:tcW w:w="140" w:type="dxa"/>
            <w:vAlign w:val="bottom"/>
            <w:shd w:val="clear" w:color="auto" w:fill="CFF0FC"/>
          </w:tcPr>
          <w:p>
            <w:pPr>
              <w:spacing w:after="0"/>
              <w:rPr>
                <w:sz w:val="17"/>
                <w:szCs w:val="17"/>
                <w:color w:val="auto"/>
              </w:rPr>
            </w:pPr>
          </w:p>
        </w:tc>
        <w:tc>
          <w:tcPr>
            <w:tcW w:w="260" w:type="dxa"/>
            <w:vAlign w:val="bottom"/>
            <w:gridSpan w:val="2"/>
            <w:vMerge w:val="restart"/>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78,736</w:t>
            </w:r>
          </w:p>
        </w:tc>
        <w:tc>
          <w:tcPr>
            <w:tcW w:w="3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42,665</w:t>
            </w:r>
          </w:p>
        </w:tc>
        <w:tc>
          <w:tcPr>
            <w:tcW w:w="200" w:type="dxa"/>
            <w:vAlign w:val="bottom"/>
            <w:shd w:val="clear" w:color="auto" w:fill="CFF0FC"/>
          </w:tcPr>
          <w:p>
            <w:pPr>
              <w:spacing w:after="0"/>
              <w:rPr>
                <w:sz w:val="17"/>
                <w:szCs w:val="17"/>
                <w:color w:val="auto"/>
              </w:rPr>
            </w:pPr>
          </w:p>
        </w:tc>
        <w:tc>
          <w:tcPr>
            <w:tcW w:w="10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26"/>
        </w:trPr>
        <w:tc>
          <w:tcPr>
            <w:tcW w:w="232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administrative costs</w:t>
            </w:r>
          </w:p>
        </w:tc>
        <w:tc>
          <w:tcPr>
            <w:tcW w:w="420" w:type="dxa"/>
            <w:vAlign w:val="bottom"/>
            <w:gridSpan w:val="2"/>
            <w:vMerge w:val="continue"/>
            <w:shd w:val="clear" w:color="auto" w:fill="CFF0FC"/>
          </w:tcPr>
          <w:p>
            <w:pPr>
              <w:spacing w:after="0"/>
              <w:rPr>
                <w:sz w:val="10"/>
                <w:szCs w:val="10"/>
                <w:color w:val="auto"/>
              </w:rPr>
            </w:pPr>
          </w:p>
        </w:tc>
        <w:tc>
          <w:tcPr>
            <w:tcW w:w="68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0" w:type="dxa"/>
            <w:vAlign w:val="bottom"/>
            <w:gridSpan w:val="2"/>
            <w:vMerge w:val="continue"/>
            <w:shd w:val="clear" w:color="auto" w:fill="CFF0FC"/>
          </w:tcPr>
          <w:p>
            <w:pPr>
              <w:spacing w:after="0"/>
              <w:rPr>
                <w:sz w:val="10"/>
                <w:szCs w:val="10"/>
                <w:color w:val="auto"/>
              </w:rPr>
            </w:pPr>
          </w:p>
        </w:tc>
        <w:tc>
          <w:tcPr>
            <w:tcW w:w="680" w:type="dxa"/>
            <w:vAlign w:val="bottom"/>
            <w:vMerge w:val="continue"/>
            <w:shd w:val="clear" w:color="auto" w:fill="CFF0FC"/>
          </w:tcPr>
          <w:p>
            <w:pPr>
              <w:spacing w:after="0"/>
              <w:rPr>
                <w:sz w:val="10"/>
                <w:szCs w:val="10"/>
                <w:color w:val="auto"/>
              </w:rPr>
            </w:pPr>
          </w:p>
        </w:tc>
        <w:tc>
          <w:tcPr>
            <w:tcW w:w="360" w:type="dxa"/>
            <w:vAlign w:val="bottom"/>
            <w:gridSpan w:val="2"/>
            <w:vMerge w:val="continue"/>
            <w:shd w:val="clear" w:color="auto" w:fill="CFF0FC"/>
          </w:tcPr>
          <w:p>
            <w:pPr>
              <w:spacing w:after="0"/>
              <w:rPr>
                <w:sz w:val="10"/>
                <w:szCs w:val="10"/>
                <w:color w:val="auto"/>
              </w:rPr>
            </w:pPr>
          </w:p>
        </w:tc>
        <w:tc>
          <w:tcPr>
            <w:tcW w:w="72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80" w:type="dxa"/>
            <w:vAlign w:val="bottom"/>
            <w:gridSpan w:val="2"/>
            <w:vMerge w:val="continue"/>
            <w:shd w:val="clear" w:color="auto" w:fill="CFF0FC"/>
          </w:tcPr>
          <w:p>
            <w:pPr>
              <w:spacing w:after="0"/>
              <w:rPr>
                <w:sz w:val="10"/>
                <w:szCs w:val="10"/>
                <w:color w:val="auto"/>
              </w:rPr>
            </w:pPr>
          </w:p>
        </w:tc>
        <w:tc>
          <w:tcPr>
            <w:tcW w:w="260" w:type="dxa"/>
            <w:vAlign w:val="bottom"/>
            <w:gridSpan w:val="2"/>
            <w:vMerge w:val="continue"/>
            <w:shd w:val="clear" w:color="auto" w:fill="CFF0FC"/>
          </w:tcPr>
          <w:p>
            <w:pPr>
              <w:spacing w:after="0"/>
              <w:rPr>
                <w:sz w:val="10"/>
                <w:szCs w:val="10"/>
                <w:color w:val="auto"/>
              </w:rPr>
            </w:pPr>
          </w:p>
        </w:tc>
        <w:tc>
          <w:tcPr>
            <w:tcW w:w="68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0" w:type="dxa"/>
            <w:vAlign w:val="bottom"/>
            <w:gridSpan w:val="2"/>
            <w:vMerge w:val="continue"/>
            <w:shd w:val="clear" w:color="auto" w:fill="CFF0FC"/>
          </w:tcPr>
          <w:p>
            <w:pPr>
              <w:spacing w:after="0"/>
              <w:rPr>
                <w:sz w:val="10"/>
                <w:szCs w:val="10"/>
                <w:color w:val="auto"/>
              </w:rPr>
            </w:pPr>
          </w:p>
        </w:tc>
        <w:tc>
          <w:tcPr>
            <w:tcW w:w="680" w:type="dxa"/>
            <w:vAlign w:val="bottom"/>
            <w:vMerge w:val="continue"/>
            <w:shd w:val="clear" w:color="auto" w:fill="CFF0FC"/>
          </w:tcPr>
          <w:p>
            <w:pPr>
              <w:spacing w:after="0"/>
              <w:rPr>
                <w:sz w:val="10"/>
                <w:szCs w:val="10"/>
                <w:color w:val="auto"/>
              </w:rPr>
            </w:pPr>
          </w:p>
        </w:tc>
        <w:tc>
          <w:tcPr>
            <w:tcW w:w="360" w:type="dxa"/>
            <w:vAlign w:val="bottom"/>
            <w:gridSpan w:val="2"/>
            <w:vMerge w:val="continue"/>
            <w:shd w:val="clear" w:color="auto" w:fill="CFF0FC"/>
          </w:tcPr>
          <w:p>
            <w:pPr>
              <w:spacing w:after="0"/>
              <w:rPr>
                <w:sz w:val="10"/>
                <w:szCs w:val="10"/>
                <w:color w:val="auto"/>
              </w:rPr>
            </w:pPr>
          </w:p>
        </w:tc>
        <w:tc>
          <w:tcPr>
            <w:tcW w:w="74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20" w:type="dxa"/>
            <w:vAlign w:val="bottom"/>
            <w:tcBorders>
              <w:bottom w:val="single" w:sz="8" w:color="CFF0FC"/>
            </w:tcBorders>
            <w:vMerge w:val="continue"/>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680" w:type="dxa"/>
            <w:vAlign w:val="bottom"/>
            <w:tcBorders>
              <w:bottom w:val="single" w:sz="8" w:color="auto"/>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680" w:type="dxa"/>
            <w:vAlign w:val="bottom"/>
            <w:tcBorders>
              <w:bottom w:val="single" w:sz="8" w:color="auto"/>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720" w:type="dxa"/>
            <w:vAlign w:val="bottom"/>
            <w:tcBorders>
              <w:bottom w:val="single" w:sz="8" w:color="auto"/>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auto"/>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680" w:type="dxa"/>
            <w:vAlign w:val="bottom"/>
            <w:tcBorders>
              <w:bottom w:val="single" w:sz="8" w:color="auto"/>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680" w:type="dxa"/>
            <w:vAlign w:val="bottom"/>
            <w:tcBorders>
              <w:bottom w:val="single" w:sz="8" w:color="auto"/>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740" w:type="dxa"/>
            <w:vAlign w:val="bottom"/>
            <w:tcBorders>
              <w:bottom w:val="single" w:sz="8" w:color="auto"/>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880" w:type="dxa"/>
            <w:vAlign w:val="bottom"/>
            <w:tcBorders>
              <w:bottom w:val="single" w:sz="8" w:color="auto"/>
            </w:tcBorders>
            <w:shd w:val="clear" w:color="auto" w:fill="CFF0FC"/>
          </w:tcPr>
          <w:p>
            <w:pPr>
              <w:spacing w:after="0"/>
              <w:rPr>
                <w:sz w:val="9"/>
                <w:szCs w:val="9"/>
                <w:color w:val="auto"/>
              </w:rPr>
            </w:pPr>
          </w:p>
        </w:tc>
        <w:tc>
          <w:tcPr>
            <w:tcW w:w="18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Executive compensation increased by 121% and 39% in the three months and nine months ended February 28, 2022, primarily due to an increase in the number of directors and executive level personnel on our board of directors and executive management team following the Tilray and Aphria combination, and an increase in base salaries commensurate with the increased complexity of our Company.</w:t>
      </w:r>
    </w:p>
    <w:p>
      <w:pPr>
        <w:spacing w:after="0" w:line="203"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Office and general increased by 16% and 77% during the three and nine months ended February 28, 2022 primarily due to the inclusion of the acquired SweetWater and legacy-Tilray entities, and the additional one-time costs associated with the upcoming closure of our Nanaimo, Canada, facility.</w:t>
      </w:r>
    </w:p>
    <w:p>
      <w:pPr>
        <w:spacing w:after="0" w:line="20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Salaries and wages increased 58% and 39% in the three months and nine months ended February 28, 2022. The increase is primarily due to additions associated with the aforementioned acquisitions from the prior year. The Company’s headcount increased to approximately 1,700 employees as a result of the Arrangement compared to 1,000 employees as of February 28, 2021.</w:t>
      </w:r>
    </w:p>
    <w:p>
      <w:pPr>
        <w:spacing w:after="0" w:line="176"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of $9.4 million and $27.0 million for the three and nine months ended February 28, 2022 compared to $3.1 million and $11.4 million for the same periods in the prior year. The increase is primarily driven by the increased number of employees and the accelerated vesting of certain elements of our stock-based compensation awards related to the Arrangement.</w:t>
      </w:r>
    </w:p>
    <w:p>
      <w:pPr>
        <w:spacing w:after="0" w:line="176"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Insurance expenses increased by 53% and 56% for the three and nine months ended February 28, 2022 due primarily to our revised directors and officers’ insurance policy. This increase reflects an increase in premium rates, as the Company continued with legacy-Tilray’s rating history.</w:t>
      </w:r>
    </w:p>
    <w:p>
      <w:pPr>
        <w:spacing w:after="0" w:line="162"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The Company recognized $4.0 million for the three and nine months ended February 28, 2022 related to insurance recoveries under the Business Interruption and Extra Expense portions of CC Pharma’s property insurance.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costs</w:t>
      </w:r>
    </w:p>
    <w:p>
      <w:pPr>
        <w:spacing w:after="0" w:line="12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For the three months ended February 28, 2022, the Company incurred selling costs of $8.6 million or 5.7% of revenue as compared to $6.2 million and 5.3% of revenue in the prior year same period. For the nine months ended February 28, 2022, the Company incurred selling costs of $25.3 million or 5.3% of revenue as compared to $18.1 million and 4.9% of revenue in the prior year same period. These costs relate to third-party distributor commissions, shipping costs, Health Canada cannabis fees, and patient acquisition and maintenance costs. Patient acquisition and ongoing patient maintenance costs include funding to individual clinics to assist with additional costs incurred by clinics resulting from the education of patients using the Company’s products. The increase in selling costs as a percent of revenue in both the three and nine-month periods resulted from incurred costs associated with having both Great North Distributors and Rose Lifesciences as distributors in Canada, a strategic decision intended to increase Canadian cannabis revenue. The increase is mainly driven by the combination of legacy-Tilray.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Company incurred non-production related amortization charges of $24.6 million and $84.3 million for the three and nine months ended February 28, 2022 compared to $10.8 million and $19.1 million in the prior year same periods. The increase is associated with the amortization on the acquired definite life intangible assets from SweetWater, legacy-Tilray and Breckenridge.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promotion costs</w:t>
      </w:r>
    </w:p>
    <w:p>
      <w:pPr>
        <w:spacing w:after="0" w:line="121"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February 28, 2022, the Company incurred marketing and promotion costs of $7.6 million and $20.2 million as compared to $3.3 million and $12.4 million in the prior year same periods. The increase is mainly driven by the combination of legacy-Tilray.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Research and development costs were $0.2 million and $1.5 million during the three and nine months ended February 28, 2022 compared to $0.1 million and $0.5 million in the prior year same periods. These relate to external costs associated with the development of new products. Although the Company spends a significant amount on research and development, the majority of these costs remain in costs of sales, as the Company does not reclassify research and development costs related to the cost of products consumed in research and development activities.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costs</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The three months decrease of 5% is associated with the closing of the SweetWater acquisition in the prior period. The nine months increase of 41% is associated with the solicitation of stockholder votes supporting an increase in the number of authorized common stock shares, transaction closing costs related to the Arrangement, the MedMen Transaction, the Breckenridge transaction and the evaluation of other potential acquisitions and one-time litigation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(expense)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Non-operating (expense) income is comprised of:</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21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1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1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90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1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9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500" w:type="dxa"/>
            <w:vAlign w:val="bottom"/>
            <w:vMerge w:val="continue"/>
          </w:tcPr>
          <w:p>
            <w:pPr>
              <w:spacing w:after="0"/>
              <w:rPr>
                <w:sz w:val="13"/>
                <w:szCs w:val="13"/>
                <w:color w:val="auto"/>
              </w:rPr>
            </w:pPr>
          </w:p>
        </w:tc>
        <w:tc>
          <w:tcPr>
            <w:tcW w:w="86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3"/>
                <w:szCs w:val="13"/>
                <w:color w:val="auto"/>
              </w:rPr>
            </w:pPr>
          </w:p>
        </w:tc>
        <w:tc>
          <w:tcPr>
            <w:tcW w:w="1920" w:type="dxa"/>
            <w:vAlign w:val="bottom"/>
            <w:tcBorders>
              <w:top w:val="single" w:sz="8" w:color="auto"/>
              <w:bottom w:val="single" w:sz="8" w:color="auto"/>
            </w:tcBorders>
            <w:gridSpan w:val="2"/>
          </w:tcPr>
          <w:p>
            <w:pPr>
              <w:ind w:left="540"/>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34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1940" w:type="dxa"/>
            <w:vAlign w:val="bottom"/>
            <w:tcBorders>
              <w:top w:val="single" w:sz="8" w:color="auto"/>
              <w:bottom w:val="single" w:sz="8" w:color="auto"/>
            </w:tcBorders>
            <w:gridSpan w:val="2"/>
          </w:tcPr>
          <w:p>
            <w:pPr>
              <w:ind w:left="560"/>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91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p>
      <w:pPr>
        <w:jc w:val="center"/>
        <w:ind w:right="80"/>
        <w:spacing w:after="0" w:line="260" w:lineRule="auto"/>
        <w:rPr>
          <w:sz w:val="20"/>
          <w:szCs w:val="20"/>
          <w:color w:val="auto"/>
        </w:rPr>
      </w:pPr>
      <w:r>
        <w:rPr>
          <w:rFonts w:ascii="Times New Roman" w:cs="Times New Roman" w:eastAsia="Times New Roman" w:hAnsi="Times New Roman"/>
          <w:sz w:val="18"/>
          <w:szCs w:val="18"/>
          <w:color w:val="auto"/>
        </w:rPr>
        <w:t>Change in fair value of convertible debenture Change in fair value of</w:t>
      </w:r>
    </w:p>
    <w:p>
      <w:pPr>
        <w:spacing w:after="0" w:line="2" w:lineRule="exact"/>
        <w:rPr>
          <w:sz w:val="20"/>
          <w:szCs w:val="20"/>
          <w:color w:val="auto"/>
        </w:rPr>
      </w:pPr>
    </w:p>
    <w:p>
      <w:pPr>
        <w:ind w:right="160" w:firstLine="135"/>
        <w:spacing w:after="0" w:line="260" w:lineRule="auto"/>
        <w:rPr>
          <w:sz w:val="20"/>
          <w:szCs w:val="20"/>
          <w:color w:val="auto"/>
        </w:rPr>
      </w:pPr>
      <w:r>
        <w:rPr>
          <w:rFonts w:ascii="Times New Roman" w:cs="Times New Roman" w:eastAsia="Times New Roman" w:hAnsi="Times New Roman"/>
          <w:sz w:val="18"/>
          <w:szCs w:val="18"/>
          <w:color w:val="auto"/>
        </w:rPr>
        <w:t>warrant liability Foreign exchange loss Loss on long-term</w:t>
      </w:r>
    </w:p>
    <w:p>
      <w:pPr>
        <w:spacing w:after="0" w:line="2" w:lineRule="exact"/>
        <w:rPr>
          <w:sz w:val="20"/>
          <w:szCs w:val="20"/>
          <w:color w:val="auto"/>
        </w:rPr>
      </w:pPr>
    </w:p>
    <w:p>
      <w:pPr>
        <w:ind w:right="300" w:firstLine="135"/>
        <w:spacing w:after="0" w:line="258" w:lineRule="auto"/>
        <w:rPr>
          <w:sz w:val="20"/>
          <w:szCs w:val="20"/>
          <w:color w:val="auto"/>
        </w:rPr>
      </w:pPr>
      <w:r>
        <w:rPr>
          <w:rFonts w:ascii="Times New Roman" w:cs="Times New Roman" w:eastAsia="Times New Roman" w:hAnsi="Times New Roman"/>
          <w:sz w:val="18"/>
          <w:szCs w:val="18"/>
          <w:color w:val="auto"/>
        </w:rPr>
        <w:t>investments Other non-operating</w:t>
      </w:r>
    </w:p>
    <w:p>
      <w:pPr>
        <w:jc w:val="center"/>
        <w:ind w:right="360"/>
        <w:spacing w:after="0" w:line="294" w:lineRule="auto"/>
        <w:rPr>
          <w:sz w:val="20"/>
          <w:szCs w:val="20"/>
          <w:color w:val="auto"/>
        </w:rPr>
      </w:pPr>
      <w:r>
        <w:rPr>
          <w:rFonts w:ascii="Times New Roman" w:cs="Times New Roman" w:eastAsia="Times New Roman" w:hAnsi="Times New Roman"/>
          <w:sz w:val="17"/>
          <w:szCs w:val="17"/>
          <w:color w:val="auto"/>
        </w:rPr>
        <w:t>(losses) gains, net Total non-operating income (expense)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56,128</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(213,538)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269,666</w:t>
            </w:r>
          </w:p>
        </w:tc>
        <w:tc>
          <w:tcPr>
            <w:tcW w:w="2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151,851</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(283,881)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435,732</w:t>
            </w: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445"/>
        </w:trPr>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20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58,802</w:t>
            </w:r>
          </w:p>
        </w:tc>
        <w:tc>
          <w:tcPr>
            <w:tcW w:w="2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338"/>
        </w:trPr>
        <w:tc>
          <w:tcPr>
            <w:tcW w:w="2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(2,548)</w:t>
            </w:r>
          </w:p>
        </w:tc>
        <w:tc>
          <w:tcPr>
            <w:tcW w:w="1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(3,884)</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0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(18,452)</w:t>
            </w:r>
          </w:p>
        </w:tc>
        <w:tc>
          <w:tcPr>
            <w:tcW w:w="1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(23,586)</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2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38"/>
        </w:trPr>
        <w:tc>
          <w:tcPr>
            <w:tcW w:w="2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(3,326)</w:t>
            </w:r>
          </w:p>
        </w:tc>
        <w:tc>
          <w:tcPr>
            <w:tcW w:w="1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(2,733)</w:t>
            </w:r>
          </w:p>
        </w:tc>
        <w:tc>
          <w:tcPr>
            <w:tcW w:w="16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(593)</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(6,834)</w:t>
            </w:r>
          </w:p>
        </w:tc>
        <w:tc>
          <w:tcPr>
            <w:tcW w:w="1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(4,252)</w:t>
            </w: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(2,582)</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r>
        <w:trPr>
          <w:trHeight w:val="445"/>
        </w:trPr>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0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(844%)</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(4,409)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108"/>
        </w:trPr>
        <w:tc>
          <w:tcPr>
            <w:tcW w:w="2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331"/>
        </w:trPr>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72,719</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(220,340)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293,059</w:t>
            </w:r>
          </w:p>
        </w:tc>
        <w:tc>
          <w:tcPr>
            <w:tcW w:w="20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186,329</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(306,348)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492,677</w:t>
            </w:r>
          </w:p>
        </w:tc>
        <w:tc>
          <w:tcPr>
            <w:tcW w:w="2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108"/>
        </w:trPr>
        <w:tc>
          <w:tcPr>
            <w:tcW w:w="2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-1028065</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-599440</wp:posOffset>
            </wp:positionV>
            <wp:extent cx="7132320" cy="282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1780" w:space="720"/>
            <w:col w:w="8740"/>
          </w:cols>
          <w:pgMar w:left="320" w:top="657" w:right="339" w:bottom="1440" w:gutter="0" w:footer="0" w:header="0"/>
          <w:type w:val="continuous"/>
        </w:sectPr>
      </w:pPr>
    </w:p>
    <w:p>
      <w:pPr>
        <w:spacing w:after="0" w:line="22"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February 28, 2022, the Company recognized a change in fair value of its APHA 24 convertible debentures of $56.1 million and $151.9 million, compared to a change in fair value of $(213.5) million and $(283.9) million for the prior year same periods. The change is driven primarily by the changes in the Company’s share price and the change in the trading price of the convertible debentures. Additionally, for the three and nine months ended February 28, 2022, the Company recognized a change in fair value of its warrants, resulting in a gain of $21.1 million and $58.8 million acquired as part of the Arrangement, also as a result of the change in our share price. Furthermore, for three and nine months ended February 28, 2022, the Company recognized a loss of $(2.5) million and $(18.5) million, resulting from the changes in foreign exchange rates during the period, compared to losses of $(3.9) million and $(23.6) million for the prior year same periods, largely associated with the strengthening of the US dollar against the Canadian dollar. The remaining other losses relate to changes in fair value in the Company’s convertible notes receivable and long-term investments.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121"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We have included in this report measures of financial performance that are not defined by GAAP. We believe that these measures provide useful information to investors and include these measures in other communications to investors. These non-GAAP measures include:</w:t>
      </w:r>
    </w:p>
    <w:p>
      <w:pPr>
        <w:spacing w:after="0" w:line="54" w:lineRule="exact"/>
        <w:rPr>
          <w:sz w:val="20"/>
          <w:szCs w:val="20"/>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18"/>
          <w:szCs w:val="18"/>
          <w:color w:val="212529"/>
        </w:rPr>
        <w:t>(excluding inventory valuation adjustments),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adjusted gross margin percentage,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adjusted net income (loss),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free cash flow,</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adjusted </w:t>
      </w:r>
      <w:r>
        <w:rPr>
          <w:rFonts w:ascii="Times New Roman" w:cs="Times New Roman" w:eastAsia="Times New Roman" w:hAnsi="Times New Roman"/>
          <w:sz w:val="18"/>
          <w:szCs w:val="18"/>
          <w:color w:val="212529"/>
        </w:rPr>
        <w:t>free cash flow,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adjusted EBITDA</w:t>
      </w:r>
      <w:r>
        <w:rPr>
          <w:rFonts w:ascii="Times New Roman" w:cs="Times New Roman" w:eastAsia="Times New Roman" w:hAnsi="Times New Roman"/>
          <w:sz w:val="18"/>
          <w:szCs w:val="18"/>
          <w:color w:val="000000"/>
        </w:rPr>
        <w:t>.</w:t>
      </w:r>
    </w:p>
    <w:p>
      <w:pPr>
        <w:spacing w:after="0" w:line="252"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For each of these non-GAAP financial measures, we have provided above or are providing below a reconciliation of the differences between the non-GAAP measure and the most directly comparable GAAP measure, an explanation of why our management and Board of Directors believe the non-GAAP measure provides useful information to investors and any additional purposes for which our management and Board of Directors use the non-GAAP measures. These non-GAAP measures should be viewed in addition to, and not in lieu of, the comparable GAAP measures.</w:t>
      </w:r>
    </w:p>
    <w:p>
      <w:pPr>
        <w:spacing w:after="0" w:line="180"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All of these non-GAAP financial measures should be considered in addition, and not in lieu of, the financial measures calculated and presented in accordance with accounting principles generally accepted in the United States of America, (“GAAP”). These measures, which may be different than similarly titled measures used by other companies, are presented to help investors’ overall understanding of our financial performance and should not be considered a substitute for, or superior to, the financial information prepared and presented in accordance with GAAP.</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(loss) and adjusted EBITDA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0" w:type="dxa"/>
            <w:vAlign w:val="bottom"/>
          </w:tcPr>
          <w:p>
            <w:pPr>
              <w:spacing w:after="0"/>
              <w:rPr>
                <w:sz w:val="13"/>
                <w:szCs w:val="13"/>
                <w:color w:val="auto"/>
              </w:rPr>
            </w:pPr>
          </w:p>
        </w:tc>
        <w:tc>
          <w:tcPr>
            <w:tcW w:w="76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6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gridSpan w:val="2"/>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2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gridSpan w:val="2"/>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52,475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(258,643)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w w:val="99"/>
              </w:rPr>
              <w:t>311,118</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0"/>
              </w:rPr>
              <w:t>(369,636)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w w:val="99"/>
              </w:rPr>
              <w:t>393,304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(32,666)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(28,458)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(115,636)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719</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36,543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27,576</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8,967</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(loss)</w:t>
      </w:r>
    </w:p>
    <w:p>
      <w:pPr>
        <w:spacing w:after="0" w:line="12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Adjusted net loss represents a non-GAAP financial measure that does not have any standardized meaning prescribed under GAAP and may not be comparable to similar measures presented by other companies. Adjusted net income is calculated as net (loss) income plus (minus) the unrealized loss (gain) on convertible debentures, a non-cash item, share-based compensation, foreign exchange (loss) gain, all non-cash items, and transaction costs, costs which will not necessarily continue in future periods depending on the frequency of additional M&amp;A considered by the Company. It represents a measure management uses in evaluating operating results to reduce the impact of the volatility caused by fair value accounting of instruments associated with our capital structure, that have no impact on operations. The increase in adjusted net loss is primarily driven by higher net loss stemming from higher amortization costs associated with the definite lived assets acquired during the year, the additional general and administrative costs associated with Tilray for the full quarter and increased non-cash unrealized loss on changes to the fair value of our convertible debentures.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6"/>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0" w:type="dxa"/>
            <w:vAlign w:val="bottom"/>
          </w:tcPr>
          <w:p>
            <w:pPr>
              <w:spacing w:after="0"/>
              <w:rPr>
                <w:sz w:val="13"/>
                <w:szCs w:val="13"/>
                <w:color w:val="auto"/>
              </w:rPr>
            </w:pPr>
          </w:p>
        </w:tc>
        <w:tc>
          <w:tcPr>
            <w:tcW w:w="86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3"/>
                <w:szCs w:val="13"/>
                <w:color w:val="auto"/>
              </w:rPr>
            </w:pPr>
          </w:p>
        </w:tc>
        <w:tc>
          <w:tcPr>
            <w:tcW w:w="18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100" w:type="dxa"/>
            <w:vAlign w:val="bottom"/>
          </w:tcPr>
          <w:p>
            <w:pPr>
              <w:spacing w:after="0"/>
              <w:rPr>
                <w:sz w:val="13"/>
                <w:szCs w:val="13"/>
                <w:color w:val="auto"/>
              </w:rPr>
            </w:pPr>
          </w:p>
        </w:tc>
        <w:tc>
          <w:tcPr>
            <w:tcW w:w="86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 net loss reconciliation:</w:t>
            </w:r>
          </w:p>
        </w:tc>
        <w:tc>
          <w:tcPr>
            <w:tcW w:w="120" w:type="dxa"/>
            <w:vAlign w:val="bottom"/>
          </w:tcPr>
          <w:p>
            <w:pPr>
              <w:spacing w:after="0"/>
              <w:rPr>
                <w:sz w:val="15"/>
                <w:szCs w:val="15"/>
                <w:color w:val="auto"/>
              </w:rPr>
            </w:pPr>
          </w:p>
        </w:tc>
        <w:tc>
          <w:tcPr>
            <w:tcW w:w="1740" w:type="dxa"/>
            <w:vAlign w:val="bottom"/>
            <w:gridSpan w:val="6"/>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80" w:type="dxa"/>
            <w:vAlign w:val="bottom"/>
            <w:tcBorders>
              <w:bottom w:val="single" w:sz="8" w:color="CFF0FC"/>
            </w:tcBorders>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gridSpan w:val="3"/>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3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gridSpan w:val="3"/>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0"/>
              </w:rPr>
              <w:t>(258,643)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311,118</w:t>
            </w:r>
          </w:p>
        </w:tc>
        <w:tc>
          <w:tcPr>
            <w:tcW w:w="20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0"/>
              </w:rPr>
              <w:t>(369,636)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393,304</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convertible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debentures</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213,538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(269,666)</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(151,851)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283,881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(435,732)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(1,336)</w:t>
            </w:r>
          </w:p>
        </w:tc>
        <w:tc>
          <w:tcPr>
            <w:tcW w:w="10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(5,134)</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(21,089)</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(58,802)</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20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(29,065)</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(29,065)</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write down</w:t>
            </w: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(32,666</w:t>
            </w:r>
          </w:p>
        </w:tc>
        <w:tc>
          <w:tcPr>
            <w:tcW w:w="120" w:type="dxa"/>
            <w:vAlign w:val="bottom"/>
            <w:vMerge w:val="continue"/>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(28,458</w:t>
            </w:r>
          </w:p>
        </w:tc>
        <w:tc>
          <w:tcPr>
            <w:tcW w:w="2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200" w:type="dxa"/>
            <w:vAlign w:val="bottom"/>
            <w:vMerge w:val="continue"/>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(115,636</w:t>
            </w:r>
          </w:p>
        </w:tc>
        <w:tc>
          <w:tcPr>
            <w:tcW w:w="1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(20,403</w:t>
            </w:r>
          </w:p>
        </w:tc>
        <w:tc>
          <w:tcPr>
            <w:tcW w:w="2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(95,233</w:t>
            </w:r>
          </w:p>
        </w:tc>
        <w:tc>
          <w:tcPr>
            <w:tcW w:w="200" w:type="dxa"/>
            <w:vAlign w:val="bottom"/>
            <w:vMerge w:val="continue"/>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Adjusted EBITDA is a non-GAAP financial measure that does not have any standardized meaning prescribed by GAAP and may not be comparable to similar measures presented by other companies. The Company calculates adjusted EBITDA as net (loss) income before income taxes, net interest expense, depreciation and amortization, equity in net loss of equity-method investees, inventory write downs, stock-based compensation, integration activities, transaction costs, unrealized currency gains and losses and other adjustments.</w:t>
      </w:r>
    </w:p>
    <w:p>
      <w:pPr>
        <w:spacing w:after="0" w:line="18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Company’s management believes that this presentation provides useful information to management, analysts and investors regarding certain additional financial and business trends relating to its results of operations and financial condition. In addition, management uses this measure for reviewing the financial results of the Company and as a component of performance-based executive compensation.</w:t>
      </w:r>
    </w:p>
    <w:p>
      <w:pPr>
        <w:spacing w:after="0" w:line="176"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We do not consider Adjusted EBITDA in isolation or as an alternative to financial measures determined in accordance with GAAP. The principal limitation of Adjusted EBITDA is that it excludes certain expenses and income that are required by GAAP to be recorded in our consolidated financial statements. In addition, Adjusted EBITDA is subject to inherent limitations as this metric reflects the exercise of judgment by management about which expenses and income are excluded or included in determining Adjusted EBITDA. In order to compensate for these limitations, management presents Adjusted EBITDA in connection with GAAP results.</w:t>
      </w:r>
    </w:p>
    <w:p>
      <w:pPr>
        <w:spacing w:after="0" w:line="183"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For the period ended February 28, 2022, adjusted EBITDA increased primarily from favorable effects of new lines of business, offset by the inclusion of legacy Tilray’s cannabis business, while we work to achieve our synergies plan,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0" w:type="dxa"/>
            <w:vAlign w:val="bottom"/>
          </w:tcPr>
          <w:p>
            <w:pPr>
              <w:spacing w:after="0"/>
              <w:rPr>
                <w:sz w:val="13"/>
                <w:szCs w:val="13"/>
                <w:color w:val="auto"/>
              </w:rPr>
            </w:pPr>
          </w:p>
        </w:tc>
        <w:tc>
          <w:tcPr>
            <w:tcW w:w="8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 EBITDA reconciliation:</w:t>
            </w:r>
          </w:p>
        </w:tc>
        <w:tc>
          <w:tcPr>
            <w:tcW w:w="120" w:type="dxa"/>
            <w:vAlign w:val="bottom"/>
          </w:tcPr>
          <w:p>
            <w:pPr>
              <w:spacing w:after="0"/>
              <w:rPr>
                <w:sz w:val="15"/>
                <w:szCs w:val="15"/>
                <w:color w:val="auto"/>
              </w:rPr>
            </w:pPr>
          </w:p>
        </w:tc>
        <w:tc>
          <w:tcPr>
            <w:tcW w:w="174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580" w:type="dxa"/>
            <w:vAlign w:val="bottom"/>
            <w:tcBorders>
              <w:bottom w:val="single" w:sz="8" w:color="CFF0FC"/>
            </w:tcBorders>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gridSpan w:val="3"/>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2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gridSpan w:val="3"/>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52,475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0"/>
              </w:rPr>
              <w:t>(258,643)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311,118</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0"/>
              </w:rPr>
              <w:t>(369,636)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393,304</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(8,140)</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(5,631)</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expense (income), net</w:t>
            </w:r>
          </w:p>
        </w:tc>
        <w:tc>
          <w:tcPr>
            <w:tcW w:w="1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(72,719)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220,340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(293,059)</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(186,329)</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306,348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(492,677)</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37,020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16,738</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113,824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43,292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70,532</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2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1"/>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contingent</w:t>
            </w:r>
          </w:p>
        </w:tc>
        <w:tc>
          <w:tcPr>
            <w:tcW w:w="120" w:type="dxa"/>
            <w:vAlign w:val="bottom"/>
            <w:shd w:val="clear" w:color="auto" w:fill="CFF0FC"/>
          </w:tcPr>
          <w:p>
            <w:pPr>
              <w:spacing w:after="0"/>
              <w:rPr>
                <w:sz w:val="18"/>
                <w:szCs w:val="18"/>
                <w:color w:val="auto"/>
              </w:rPr>
            </w:pPr>
          </w:p>
        </w:tc>
        <w:tc>
          <w:tcPr>
            <w:tcW w:w="7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(29,065)</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(29,065)</w:t>
            </w:r>
          </w:p>
        </w:tc>
        <w:tc>
          <w:tcPr>
            <w:tcW w:w="9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(29,065)</w:t>
            </w:r>
          </w:p>
        </w:tc>
        <w:tc>
          <w:tcPr>
            <w:tcW w:w="100" w:type="dxa"/>
            <w:vAlign w:val="bottom"/>
            <w:shd w:val="clear" w:color="auto" w:fill="CFF0FC"/>
          </w:tcPr>
          <w:p>
            <w:pPr>
              <w:spacing w:after="0"/>
              <w:rPr>
                <w:sz w:val="18"/>
                <w:szCs w:val="18"/>
                <w:color w:val="auto"/>
              </w:rPr>
            </w:pPr>
          </w:p>
        </w:tc>
        <w:tc>
          <w:tcPr>
            <w:tcW w:w="8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(29,065)</w:t>
            </w: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26"/>
        </w:trPr>
        <w:tc>
          <w:tcPr>
            <w:tcW w:w="35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120" w:type="dxa"/>
            <w:vAlign w:val="bottom"/>
            <w:shd w:val="clear" w:color="auto" w:fill="CFF0FC"/>
          </w:tcPr>
          <w:p>
            <w:pPr>
              <w:spacing w:after="0"/>
              <w:rPr>
                <w:sz w:val="10"/>
                <w:szCs w:val="10"/>
                <w:color w:val="auto"/>
              </w:rPr>
            </w:pPr>
          </w:p>
        </w:tc>
        <w:tc>
          <w:tcPr>
            <w:tcW w:w="72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5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Facility start-up and closure costs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2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expense</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Inventory write down</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(450)</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14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27,576</w:t>
            </w:r>
          </w:p>
        </w:tc>
        <w:tc>
          <w:tcPr>
            <w:tcW w:w="14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99"/>
              </w:rPr>
              <w:t>38</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41" w:name="page42"/>
    <w:bookmarkEnd w:id="41"/>
    <w:p>
      <w:pPr>
        <w:ind w:left="520"/>
        <w:spacing w:after="0"/>
        <w:rPr>
          <w:sz w:val="20"/>
          <w:szCs w:val="20"/>
          <w:color w:val="auto"/>
        </w:rPr>
      </w:pPr>
      <w:r>
        <w:rPr>
          <w:rFonts w:ascii="Times New Roman" w:cs="Times New Roman" w:eastAsia="Times New Roman" w:hAnsi="Times New Roman"/>
          <w:sz w:val="18"/>
          <w:szCs w:val="18"/>
          <w:color w:val="auto"/>
        </w:rPr>
        <w:t>Adjusted EBITDA should not be considered in isolation from, or as a substitute for, net loss. There are a number of limitations related to the use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as compared to net loss, the closest comparable GAAP measure. Adjusted EBITDA adjusts for the following:</w:t>
      </w:r>
    </w:p>
    <w:p>
      <w:pPr>
        <w:spacing w:after="0" w:line="99" w:lineRule="exact"/>
        <w:rPr>
          <w:sz w:val="20"/>
          <w:szCs w:val="20"/>
          <w:color w:val="auto"/>
        </w:rPr>
      </w:pPr>
    </w:p>
    <w:p>
      <w:pPr>
        <w:ind w:left="1000" w:hanging="493"/>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deferred income tax expenses and recoveries, which could be a significant recurring expense or recovery in our business in the future and reduce or increase cash available to us.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and loss on disposal of property and equipment to reflect ongoing operating activities;</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foreign exchange gains or losses, which accounts for the effect of both realized and unrealized foreign exchange transactions. Unrealized gains or losses represent foreign exchange revaluation of foreign denominated monetary assets and liabilities;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change in fair value of warrant liability;</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amortization and amortization expenses and, although these are non-cash charges, the assets being depreciated and amortized may have to be replaced in the future;</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 which has been, and will continue to be for the foreseeable future, a significant recurring expense in our business and an important part of our compensation strategy;</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inventory valuation adjustments;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loss from equity method investments;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start up new facilities and/or to close facilities in Nanaimo, Canada and Enniskillen, Canada;</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expense;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inventory write down;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associated with current and future business acquisitions.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We actively manage our cash and investments in order to internally fund operating needs, make scheduled interest and principal payments on our borrowings, and make acquisitions. On March 3, 2021, we entered into an at the market offering arrangement (the ATM Program) pursuant to which we may offer and sell common stock having an aggregate offering price of up to $400 million. The ATM Program is intended to strengthen our balance sheet and improve our liquidity position (refer to Part I, Financial Information, Note 24 Subsequent Events of this interim report). In addition, the Company may from time to time use excess cash to repurchase its outstanding convertible debentures in open market transactions. We believe that existing cash, cash equivalents, short-term investments and cash generated by operations, together with expected proceeds from the ATM Program and access to external sources of funds, will be sufficient to meet our domestic and foreign capital needs in the foreseeable future.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statements of cash flows for the periods presented:</w:t>
      </w:r>
    </w:p>
    <w:p>
      <w:pPr>
        <w:spacing w:after="0" w:line="232"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ind w:left="8820"/>
        <w:spacing w:after="0"/>
        <w:rPr>
          <w:sz w:val="20"/>
          <w:szCs w:val="20"/>
          <w:color w:val="auto"/>
        </w:rPr>
      </w:pPr>
      <w:r>
        <w:rPr>
          <w:rFonts w:ascii="Times New Roman" w:cs="Times New Roman" w:eastAsia="Times New Roman" w:hAnsi="Times New Roman"/>
          <w:sz w:val="14"/>
          <w:szCs w:val="14"/>
          <w:b w:val="1"/>
          <w:bCs w:val="1"/>
          <w:color w:val="auto"/>
        </w:rPr>
        <w:t>ended February 28,</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(156,738</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(52,966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(16,618)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(303,082)</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(33,612)</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187,184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Effect on cash of foreign currency translation</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(2,284)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488,466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360,646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279,214</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210,591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(209,252)</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(150,055)</w:t>
            </w:r>
          </w:p>
        </w:tc>
      </w:tr>
    </w:tbl>
    <w:p>
      <w:pPr>
        <w:spacing w:after="0" w:line="3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change in net cash used in operating activities during the nine months ended February 28, 2022 compared to the prior year same period is primarily related to payments associated with the Arrangement, income taxes at Aphria Diamond, investments in inventory and settlement of accounts payable and accrued liabilities in the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2" w:name="page43"/>
    <w:bookmarkEnd w:id="42"/>
    <w:p>
      <w:pPr>
        <w:ind w:left="52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change in net cash used in investing activities in the first three fiscal quarters of 2022 as compared to the first three fiscal quarters of 2021 is primarily due to the disbursement of cash used for the SweetWater acquisition in fiscal year 2021.</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change in cash used in financing activities in the first three fiscal quarters of 2022 as compared to the first three fiscal quarters of 2021 is primarily due to an early payment on SweetWater’s term loan facility in fiscal year 2022, and the share capital and debt financings completed in fiscal year 2021 that did not recur in fiscal year 2022.</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Free cash flow and adjusted free cash flow</w:t>
      </w:r>
    </w:p>
    <w:p>
      <w:pPr>
        <w:spacing w:after="0" w:line="11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Free cash flow and adjusted free cash flow are non-GAAP measures. Free cash flow is relevant to management and investors, because it represents the cash flow available to the Company to repay creditors or potentially make distributions to investors. The measure is comprised of two GAAP amounts deducted from each other which are net cash flow used in operating activities less investments, net of proceeds from disposals, in capital and intangible assets. Adjusted free cash flow removes the cash impact of acquisitions from free cash flow. Our free cash flow and adjusted free cash flow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840" w:type="dxa"/>
            <w:vAlign w:val="bottom"/>
            <w:gridSpan w:val="5"/>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90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20" w:type="dxa"/>
            <w:vAlign w:val="bottom"/>
            <w:gridSpan w:val="4"/>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Free cash flow</w:t>
            </w:r>
          </w:p>
        </w:tc>
        <w:tc>
          <w:tcPr>
            <w:tcW w:w="1840" w:type="dxa"/>
            <w:vAlign w:val="bottom"/>
            <w:gridSpan w:val="5"/>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90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20" w:type="dxa"/>
            <w:vAlign w:val="bottom"/>
            <w:gridSpan w:val="4"/>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680" w:type="dxa"/>
            <w:vAlign w:val="bottom"/>
            <w:tcBorders>
              <w:bottom w:val="single" w:sz="8" w:color="CFF0FC"/>
            </w:tcBorders>
            <w:vMerge w:val="continue"/>
          </w:tcPr>
          <w:p>
            <w:pPr>
              <w:spacing w:after="0"/>
              <w:rPr>
                <w:sz w:val="13"/>
                <w:szCs w:val="13"/>
                <w:color w:val="auto"/>
              </w:rPr>
            </w:pPr>
          </w:p>
        </w:tc>
        <w:tc>
          <w:tcPr>
            <w:tcW w:w="72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1620" w:type="dxa"/>
            <w:vAlign w:val="bottom"/>
            <w:tcBorders>
              <w:top w:val="single" w:sz="8" w:color="auto"/>
              <w:bottom w:val="single" w:sz="8" w:color="auto"/>
            </w:tcBorders>
            <w:gridSpan w:val="3"/>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30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gridSpan w:val="3"/>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6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7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900" w:type="dxa"/>
            <w:vAlign w:val="bottom"/>
            <w:tcBorders>
              <w:right w:val="single" w:sz="8" w:color="CFF0FC"/>
            </w:tcBorders>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 (46,390)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 (47,086)</w:t>
            </w:r>
          </w:p>
        </w:tc>
        <w:tc>
          <w:tcPr>
            <w:tcW w:w="10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(6,765%)</w:t>
            </w:r>
          </w:p>
        </w:tc>
        <w:tc>
          <w:tcPr>
            <w:tcW w:w="9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w w:val="97"/>
              </w:rPr>
              <w:t>$ (156,738)</w:t>
            </w:r>
          </w:p>
        </w:tc>
        <w:tc>
          <w:tcPr>
            <w:tcW w:w="8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 (52,966)</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w w:val="99"/>
              </w:rPr>
              <w:t>(103,772)</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1"/>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Less: investments in capital and intangible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net</w:t>
            </w: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(1,352)</w:t>
            </w:r>
          </w:p>
        </w:tc>
        <w:tc>
          <w:tcPr>
            <w:tcW w:w="160" w:type="dxa"/>
            <w:vAlign w:val="bottom"/>
          </w:tcPr>
          <w:p>
            <w:pPr>
              <w:spacing w:after="0"/>
              <w:rPr>
                <w:sz w:val="20"/>
                <w:szCs w:val="20"/>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(4,068)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(16,944)</w:t>
            </w: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(27,324)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 (47,742</w:t>
            </w:r>
          </w:p>
        </w:tc>
        <w:tc>
          <w:tcPr>
            <w:tcW w:w="180" w:type="dxa"/>
            <w:vAlign w:val="bottom"/>
            <w:tcBorders>
              <w:right w:val="single" w:sz="8" w:color="CFF0FC"/>
            </w:tcBorders>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22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 (44,370</w:t>
            </w:r>
          </w:p>
        </w:tc>
        <w:tc>
          <w:tcPr>
            <w:tcW w:w="180" w:type="dxa"/>
            <w:vAlign w:val="bottom"/>
            <w:vMerge w:val="continue"/>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1,316%</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(173,682</w:t>
            </w:r>
          </w:p>
        </w:tc>
        <w:tc>
          <w:tcPr>
            <w:tcW w:w="18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 (80,290</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(93,392</w:t>
            </w:r>
          </w:p>
        </w:tc>
        <w:tc>
          <w:tcPr>
            <w:tcW w:w="200" w:type="dxa"/>
            <w:vAlign w:val="bottom"/>
            <w:vMerge w:val="continue"/>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Cash expended related to acquisitions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38,300</w:t>
            </w: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free cash flow</w:t>
            </w: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 (35,600</w:t>
            </w:r>
          </w:p>
        </w:tc>
        <w:tc>
          <w:tcPr>
            <w:tcW w:w="180" w:type="dxa"/>
            <w:vAlign w:val="bottom"/>
            <w:tcBorders>
              <w:right w:val="single" w:sz="8" w:color="CFF0FC"/>
            </w:tcBorders>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 (41,916</w:t>
            </w:r>
          </w:p>
        </w:tc>
        <w:tc>
          <w:tcPr>
            <w:tcW w:w="180" w:type="dxa"/>
            <w:vAlign w:val="bottom"/>
            <w:vMerge w:val="continue"/>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(105,030</w:t>
            </w:r>
          </w:p>
        </w:tc>
        <w:tc>
          <w:tcPr>
            <w:tcW w:w="18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 (49,938</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(55,092</w:t>
            </w:r>
          </w:p>
        </w:tc>
        <w:tc>
          <w:tcPr>
            <w:tcW w:w="200" w:type="dxa"/>
            <w:vAlign w:val="bottom"/>
            <w:vMerge w:val="continue"/>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Refer to Part I, Financial Information, Note 24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of this interim report.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At February 28, 2022, we did not have any off-balance sheet arrangements as defined in Item 303(a)(4) of Regulation S-K that have had, or are likely to have, a material current or future effect on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In addition to the litigation described in the Part II, Item 1 - Legal Proceedings, the Company is and may be a defendant in lawsuits from time to time in the normal course of business. While the results of litigation and claims cannot be predicted with certainty, the Company believes the reasonably possible losses of such matters, individually and in the aggregate, are not material. Additionally, the Company believes the probable final outcome of such matters will not have a material adverse effect on the Company’s consolidated results of operations, financial position, cash flows or liquidity.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The accounting principles we use require us to make estimates and assumptions that affect the reported amounts of assets and liabilities at the date of the financial statements and amounts of income and expenses during the reporting periods presented. We believe in the quality and reasonableness of our critical accounting policies; however, materially different amounts may be reported under different conditions or using assumptions different from those that we have applied. The accounting policies that have been identified as critical to our business operations and to understanding the results of our operations pertain to revenue recognition, valuation of inventory, valuation of long-lived assets, goodwill and intangible assets, stock-based compensation and valuation allowances for deferred tax assets. The application of each of these critical accounting policies and estimates is discussed in Part II, Item 7, Management’s Discussion and Analysis of Financial Condition and Results of Operations, of our Annual Report on Form 10-K for the fiscal year ended May 31, 2021.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“Part I, Item 1. Note 2 – Basis of presentation and summary of significant accounting policies” to our financial statements appearing elsewhere in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337"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market risk from those addressed in the Company’s Annual Report on Form 10-K for the fiscal year ended May 31, 2021 during the nine months ended February 28, 2022. See the information set forth in Part II, Item 7A, Quantitative and Qualitative Disclosures About Market Risk, of the Company’s Annual Report on Form 10-K for the fiscal year ended May 31,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that are designed to ensure that information required to be disclosed in our reports under the Exchange Act is recorded, processed, and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An evaluation of the effectiveness of the design and operation of our disclosure controls and procedures as of the end of the period covered by this Quarterly Report was made under the supervision and with the participation of our management, including our Chief Executive Officer and Chief Financial Officer.</w:t>
      </w:r>
    </w:p>
    <w:p>
      <w:pPr>
        <w:spacing w:after="0" w:line="18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Based upon this evaluation, our Chief Executive Officer and Chief Financial Officer have concluded that, as of February 28, 2022, our disclosure controls and procedures (a) are effective to ensure that information required to be disclosed by us in reports filed or submitted under the Exchange Act is timely recorded, processed, summarized and reported and (b)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Consistent with guidance issued by the SEC, the scope of management’s assessment of the effectiveness of our disclosure controls and procedures did not include the internal controls over financial reporting of legacy Tilray and Breckenridge, which we acquired on April 30, 2021 and December 7, 2021 respectively. Legacy Tilray and Breckenridge represented 7.6% and 2.1% of our consolidated assets and 24.5% and 1.2% of our consolidated revenues as of and for the nine months ended February 28,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On January 1, 2022, Tilray successfully implemented a new Enterprise Resource Planning (ERP) system in the Company's SweetWater Brewery operations. As a result, financial and operating transactions are recorded utilizing modern functionality provided by the new ERP system. This new system is not in response to any identified deficiency or weakness in internal controls over financial reporting but to replace an aging system. The system implementation was designed, in part, to enhance the overall system of internal controls over financial reporting through further automation of various business processes. Except for the preceding change, there have been no changes in Tilray’s internal control over financial reporting (as defined in Rules 13a-15(f) and 15d-15(f) under the Exchange Act) that occurred during the period covered by this Quarterly Report that have materially affected, or are reasonably likely to materially affect, our internal control over financial reporting. As mentioned above, the Company acquired legacy Tilray and Breckenridge on April 30, 2021 and December 7, 2022 respectively. The Company is in the process of reviewing the internal control structure of legacy Tilray and Breckenridge and, if necessary, will make appropriate changes as it integrates legacy Tilray and Breckenridge into the Company’s overall internal control over financial reporting process.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"Item 3. Legal Proceedings" of our Annual Report on Form 10-K for the fiscal year ended May 31, 2021 includes a discussion of our legal proceedings. There have been no material changes from the legal proceedings described in our Form 10-K, except with respect to the matters disclosed below.</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Action Suits and Stockholder Derivative Suits – U.S. and Canada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Dismissal of Authentic Brands Group Related Class Action (New York, United States)</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On May 4, 2020, Ganesh Kasilingam filed a lawsuit in the U.S. District Court for the Southern District of New York, against Tilray Brands, Inc., Brendan Kennedy and Mark Castaneda, on behalf of himself and a putative class, seeking to recover damages for alleged violations of Sections 10(b) and 20(a) of the Securities Exchange Act of 1934 (the “Kasilingam litigation”). The complaint alleged that Tilray and the individual defendants overstated the anticipated advantages of the Company’s revenue sharing agreement with Authentic Brands Group (“ABG”), announced on January 15, 2019, and that the plaintiff suffered losses when Tilray’s stock price dropped after Tilray recognized an impairment with respect to the ABG deal on March 2, 2020.</w:t>
      </w:r>
    </w:p>
    <w:p>
      <w:pPr>
        <w:spacing w:after="0" w:line="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September 27, 2021, the U.S. District Court entered an Opinion &amp; Order granting the Defendants’ motion to dismiss the complaint in the Kasilingam litigation. On December 3, 2021, the lead plaintiff filed a second amended complaint alleging similar claims against Tilray and Brendan Kennedy. The Defendants intend to file a motion to dismiss this amended complaint as well.</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Tilray Brands, Inc. Reorganization Litigation (Delaware, New York) – Special Litigation Committee</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On February 27, 2020, Tilray stockholders Deborah Braun and Nader Noorian filed a class action and derivative complaint in the Delaware Court of Chancery styled Braun v. Kennedy, C.A. No. 2020-0137-KSJM. On March 2, 2020, Tilray stockholders Catherine Bouvier, James Hawkins, and Stephanie Hawkins filed a class action and derivative complaint in the Delaware Court of Chancery styled Bouvier v. Kennedy, C.A. No. 2020-0154-KSJM.</w:t>
      </w:r>
    </w:p>
    <w:p>
      <w:pPr>
        <w:spacing w:after="0" w:line="68"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On March 4, 2020, the Delaware Court of Chancery entered an order consolidating the two cases and designating the complaint in the Braun/Noorian action as the operative complaint. The operative complaint asserts claims for breach of fiduciary duty against Brendan Kennedy, Christian Groh, Michael Blue, and Privateer Evolution, LLC (the “Privateer Defendants”) for alleged breaches of fiduciary duty in their alleged capacities as Tilray’s controlling stockholders and against Kennedy, Maryscott Greenwood, and Michael Auerbach for alleged breaches of fiduciary duties in their capacities as directors and/or officers of Tilray in connection with the prior merger of Privateer Holdings, Inc. with and into a wholly owned subsidiary (the “Downstream Merger”). The complaint alleges that the Privateer Defendants breached their fiduciary duties by causing Tilray to enter into the Downstream Merger and Tilray’s Board to approve that Downstream Merger, and that Defendants Kennedy, Greenwood, and Auerbach breached their fiduciary duties as directors by approving the Downstream Merger. Plaintiffs allege that the Downstream Merger gave the Privateer Defendants hundreds of millions of dollars of tax savings without providing a corresponding benefit to Tilray and its minority stockholders and that the Downstream Merger unfairly transferred and extended Kennedy, Blue, and Groh’s control over Tilray. On July 17, 2020, the plaintiffs filed an amended complaint asserting substantially similar claims. On August 14, 2020, Tilray and the Privateer Defendants moved to dismiss the amended complaint. At the February 5, 2021 hearing on Defendants’ Motions to Dismiss, the Plaintiffs agreed that their perpetuation of control claims are moot and stated that they intend to move for a fee award in connection with those claims. On June 1, 2021, the Court denied Defendants’ Motions to Dismiss the Amended Complaint.</w:t>
      </w:r>
    </w:p>
    <w:p>
      <w:pPr>
        <w:spacing w:after="0" w:line="7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In August 2021, the Company’s Board of Directors established a Special Litigation Committee (the “SLC”) of independent directors to re-assert director control and investigate the derivative claims in this litigation matter. The SLC has appointed the law firm Wilson Sonsini to assist the SLC with an ongoing investigation of the underlying claim and determine whether continued prosecution of such claims is in the best interests of the Company. The SLC has successfully moved to have the Plaintiff’s discovery stayed during their investigation.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Docklight Litigation</w:t>
      </w:r>
    </w:p>
    <w:p>
      <w:pPr>
        <w:spacing w:after="0" w:line="12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On November 5, 2021 Docklight Brands, Inc. (“Docklight”) filed a complaint against the Company and its wholly-owned subsidiary, High Park Holdings, Ltd. (“High Park”) in Superior Court of the State of Washington, King County. Docklight claimed breach of contract against High Park arising from a 2018 license agreement pursuant to which Docklight licensed certain Bob Marley-related brands to High Park (as amended in 2020 and 2021, the “High Park License”). In addition, Docklight brought a negligent misrepresentation claim against Tilray, alleging that certain individuals at Tilray or Aphria had made false statements to Docklight in order to induce Docklight to waive Docklight’s alleged right to terminate the High Park License for change-of-control on the basis of the 2021 Tilray-Aphria merger. Docklight seeks injunctive relief as well as unspecified damages. On December 21, 2021, the Company removed the case to the United States District Court, Federal District of Washington. The Company’s answer to the complaint, denying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substantially all of Docklight’s allegations, was timely filed on January 21, 2022, together with numerous counterclaims. Tilray intends to vigorously defend Docklight’s claims.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“Item 1A. Risk Factors” of our Annual Report on Form 10-K for the fiscal year ended May 31, 2021 includes a discussion of our known material risk factors, other than risks that could apply to any issuer or offering. A summary of our risk factors is included below. There have been no material changes from the risk factors described in our Form 10-K.</w:t>
      </w:r>
    </w:p>
    <w:p>
      <w:pPr>
        <w:spacing w:after="0" w:line="68" w:lineRule="exact"/>
        <w:rPr>
          <w:sz w:val="20"/>
          <w:szCs w:val="20"/>
          <w:color w:val="auto"/>
        </w:rPr>
      </w:pPr>
    </w:p>
    <w:p>
      <w:pPr>
        <w:jc w:val="both"/>
        <w:ind w:left="1000" w:hanging="493"/>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HEXO transaction remains subject to the Company’s satisfactory completion of confirmatory due diligence and the Company successfully negotiating and executing definitive agreements with HEXO and the other parties. We may not be able to successfully complete the HEXO transaction, and there can be no assurance that Company will be able to achieve the expected production efficiencies and potential cost saving synergies resulting from the Transaction or other proposed commercial arrangements.</w:t>
      </w:r>
    </w:p>
    <w:p>
      <w:pPr>
        <w:spacing w:after="0" w:line="71"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and conditions relating to Russia’s current conflict with Ukraine have had, and may continue to have, a significant adverse impact on fuel and transportation costs and may cause supply and demand disruptions in the markets we serve, including Europe.</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still completing our integration efforts following completion of the Arrangement between Tilray and Aphria on April 30, 2021 and may experience challenges fully achieving the expected benefits of the Arrangement.</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ongoing risks related to the ongoing COVID-19 pandemic. The impact of the Delta, Omicron and any new variants will continue to adversely impact our operations and adversely adverse effect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regulatory approvals and licenses, ongoing compliance and reporting obligations, and timely renewals.</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is evolving, and unfavorable changes could impact our ability to carry on our business as currently conducted and the potential expansion of our business.</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and processing facilities are integral to our business and adverse changes or developments affecting our facilities may have an adverse impact on our business.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anticipate competition will increase, which could hurt our business.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develop new products or commercialize such products.</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effect of the legalization of adult-use cannabis in Canada on the medical cannabis industry is unknown, and may negatively impact our medical cannabis business.</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regulations relating to hemp-derived CBD products are unclear and rapidly evolving, and changes may not develop in the timeframe or manner most favorable to our business objectives.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a history of net losses, and we may not achieve or maintain profitability in the future.</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arbitration and demands, which could result in significant liability and costs, and impact our resources and reputation.</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relating to the laws of various countries as a result of our international operations.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alliances and other third-party business relationships may not achieve the intended beneficial impact and expose us to risks.</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interruptions in our access to certain supply chains for key inputs such as raw materials, supplies, electricity, water and other utilities may impair our operations.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 </w:t>
      </w:r>
      <w:r>
        <w:rPr>
          <w:rFonts w:ascii="Times New Roman" w:cs="Times New Roman" w:eastAsia="Times New Roman" w:hAnsi="Times New Roman"/>
          <w:sz w:val="18"/>
          <w:szCs w:val="18"/>
          <w:color w:val="212529"/>
        </w:rPr>
        <w:t>may not be able to successfully establish and maintain effective internal controls over financial reporting.</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in public markets has experienced and may continue to experience severe volatility and fluctuations.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ind w:left="500" w:hanging="493"/>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and the stockholder base may hinder or prevent us from engaging in beneficial corporate initiatives.</w:t>
      </w:r>
    </w:p>
    <w:p>
      <w:pPr>
        <w:spacing w:after="0" w:line="117" w:lineRule="exact"/>
        <w:rPr>
          <w:rFonts w:ascii="Times New Roman" w:cs="Times New Roman" w:eastAsia="Times New Roman" w:hAnsi="Times New Roman"/>
          <w:sz w:val="18"/>
          <w:szCs w:val="18"/>
          <w:color w:val="auto"/>
        </w:rPr>
      </w:pPr>
    </w:p>
    <w:p>
      <w:pPr>
        <w:ind w:left="500" w:hanging="493"/>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our outstanding </w:t>
      </w:r>
      <w:r>
        <w:rPr>
          <w:rFonts w:ascii="Times New Roman" w:cs="Times New Roman" w:eastAsia="Times New Roman" w:hAnsi="Times New Roman"/>
          <w:sz w:val="18"/>
          <w:szCs w:val="18"/>
          <w:color w:val="212529"/>
        </w:rPr>
        <w:t>warrants may limit our ability to raise additional equity capital or pursue acquisitions, which may impact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funding of our ongoing operations and cause significant dilution to existing stockholders.</w:t>
      </w:r>
    </w:p>
    <w:p>
      <w:pPr>
        <w:spacing w:after="0" w:line="53" w:lineRule="exact"/>
        <w:rPr>
          <w:rFonts w:ascii="Times New Roman" w:cs="Times New Roman" w:eastAsia="Times New Roman" w:hAnsi="Times New Roman"/>
          <w:sz w:val="18"/>
          <w:szCs w:val="18"/>
          <w:color w:val="auto"/>
        </w:rPr>
      </w:pPr>
    </w:p>
    <w:p>
      <w:pPr>
        <w:ind w:left="500" w:right="20" w:hanging="493"/>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We may not have the ability to raise the funds necessary to settle conversions of the convertible securities in cash or to repurchase the convertible securities upon a fundamental change.</w:t>
      </w:r>
    </w:p>
    <w:p>
      <w:pPr>
        <w:spacing w:after="0" w:line="53"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not become </w:t>
      </w:r>
      <w:r>
        <w:rPr>
          <w:rFonts w:ascii="Times New Roman" w:cs="Times New Roman" w:eastAsia="Times New Roman" w:hAnsi="Times New Roman"/>
          <w:sz w:val="18"/>
          <w:szCs w:val="18"/>
          <w:color w:val="1C1D20"/>
        </w:rPr>
        <w:t>the world's leading cannabis-focused consumer branded company with up to $4 billion of revenue by 2024</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We are subject to other risks generally applicable to our industry and the conduct of our business.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44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On December 1, 2021, the Company acquired all of the membership interests of Cheese Grits, LLC, a Georgia based company (the “SW Acquisition”) that owned the real estate utilized and previously leased by SweetWater Brewing Company. As consideration for the SW Acquisition, the Company paid a purchase price at closing equal to $30,665,000, which was satisfied through the assumption of outstanding debt as well as the issuance of 843,687 shares of Tilray’s Class 2 common stock. On December 17, 2021, the Company issued an additional 82,224 Class 2 common shares as consideration for the SW Acquisition.</w:t>
      </w:r>
    </w:p>
    <w:p>
      <w:pPr>
        <w:spacing w:after="0" w:line="183"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On December 7, 2021, the Company acquired all of the membership interests of Double Diamond Distillery LLC (d/b/a Breckenridge Distillery), a Colorado limited liability company (the “Breckenridge Acquisition”). As consideration for the Breckenridge Acquisition, the Company paid a purchase price in an aggregate amount equal to $102,900,000, which purchase price was satisfied through the issuance of 11,245,511 shares of Tilray’s Class 2 common shares to the selling unitholders.</w:t>
      </w:r>
    </w:p>
    <w:p>
      <w:pPr>
        <w:spacing w:after="0" w:line="18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On December 17, 2021, the Company acquired intellectual property and inventory relating to the Alpine and Green Flash craft brew brands from WC IPA LLC (the “Alpine Acquisition”). As consideration for the Alpine Acquisition, the Company paid a purchase price in an aggregate amount equal to $5,133,000 which purchase price was satisfied through the payment of cash and the issuance of 366,308 shares of Tilray’s Class 2 common shares.</w:t>
      </w:r>
    </w:p>
    <w:p>
      <w:pPr>
        <w:spacing w:after="0" w:line="176"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On January 11, 2022, the Company issued an additional 1,294,968 Class 2 common shares to the selling unitholders to meet its contractual obligations in connection with the Breckenridge Acquisition.</w:t>
      </w:r>
    </w:p>
    <w:p>
      <w:pPr>
        <w:spacing w:after="0" w:line="162"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On January 11, 2022, the Company issued an additional 2,743,485 Class 2 common shares to Wyckoff Farms, Inc. to meet its contractual obligations in pursuant to certain settlement arrangements.</w:t>
      </w:r>
    </w:p>
    <w:p>
      <w:pPr>
        <w:spacing w:after="0" w:line="162"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 xml:space="preserve">Each of the foregoing issuances of Tilray’s Class 2 common stock was made in reliance on the exemption provided by Section 4(a)(2) of the Securities Act of 1933, as amended, for the offer and sale of securities not involving a public offering. </w:t>
      </w:r>
      <w:r>
        <w:rPr>
          <w:rFonts w:ascii="Times New Roman" w:cs="Times New Roman" w:eastAsia="Times New Roman" w:hAnsi="Times New Roman"/>
          <w:sz w:val="18"/>
          <w:szCs w:val="18"/>
          <w:color w:val="auto"/>
          <w:highlight w:val="white"/>
        </w:rPr>
        <w:t>No underwriter participated in the offer and sale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the shares issued pursuant to the foregoing issuances, and no commission or other remuneration was paid or given directly or indirectly in connection therewith.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center"/>
        <w:ind w:right="91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center"/>
        <w:ind w:right="9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jc w:val="both"/>
        <w:ind w:left="920" w:hanging="903"/>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83">
        <w:r>
          <w:rPr>
            <w:rFonts w:ascii="Times New Roman" w:cs="Times New Roman" w:eastAsia="Times New Roman" w:hAnsi="Times New Roman"/>
            <w:sz w:val="18"/>
            <w:szCs w:val="18"/>
            <w:u w:val="single" w:color="auto"/>
            <w:color w:val="0000EE"/>
          </w:rPr>
          <w:t>Second Certificate of Amendment of the Amended and Restated Certificate of Incorporation of Tilray, Inc. as of January 10, 2022</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(incorporated by reference to Exhibit 3.1 to the Company’s Current Report on Form 8-K filed on January 10, 2022)</w:t>
        </w:r>
      </w:hyperlink>
    </w:p>
    <w:p>
      <w:pPr>
        <w:spacing w:after="0" w:line="175" w:lineRule="exact"/>
        <w:rPr>
          <w:sz w:val="20"/>
          <w:szCs w:val="20"/>
          <w:color w:val="auto"/>
        </w:rPr>
      </w:pPr>
    </w:p>
    <w:p>
      <w:pPr>
        <w:jc w:val="both"/>
        <w:ind w:left="920" w:hanging="903"/>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83">
        <w:r>
          <w:rPr>
            <w:rFonts w:ascii="Times New Roman" w:cs="Times New Roman" w:eastAsia="Times New Roman" w:hAnsi="Times New Roman"/>
            <w:sz w:val="18"/>
            <w:szCs w:val="18"/>
            <w:u w:val="single" w:color="auto"/>
            <w:color w:val="0000EE"/>
          </w:rPr>
          <w:t>Amended and Restated Bylaws, as of January 10, 2022 (incorporated by reference to Exhibit 3.2 to the Company’s Current Report on Form 8-</w:t>
        </w:r>
      </w:hyperlink>
      <w:hyperlink r:id="rId83">
        <w:r>
          <w:rPr>
            <w:rFonts w:ascii="Times New Roman" w:cs="Times New Roman" w:eastAsia="Times New Roman" w:hAnsi="Times New Roman"/>
            <w:sz w:val="18"/>
            <w:szCs w:val="18"/>
            <w:u w:val="single" w:color="auto"/>
            <w:color w:val="0000EE"/>
          </w:rPr>
          <w:t>K filed on January 10, 2022)</w:t>
        </w:r>
      </w:hyperlink>
    </w:p>
    <w:p>
      <w:pPr>
        <w:spacing w:after="0" w:line="175" w:lineRule="exact"/>
        <w:rPr>
          <w:sz w:val="20"/>
          <w:szCs w:val="20"/>
          <w:color w:val="auto"/>
        </w:rPr>
      </w:pPr>
    </w:p>
    <w:p>
      <w:pPr>
        <w:jc w:val="both"/>
        <w:ind w:left="920" w:hanging="903"/>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84">
        <w:r>
          <w:rPr>
            <w:rFonts w:ascii="Times New Roman" w:cs="Times New Roman" w:eastAsia="Times New Roman" w:hAnsi="Times New Roman"/>
            <w:sz w:val="18"/>
            <w:szCs w:val="18"/>
            <w:u w:val="single" w:color="auto"/>
            <w:color w:val="0000EE"/>
          </w:rPr>
          <w:t>Agreement Of Resignation, Appointment and Acceptance, dated as of January 27, 2022, by and among Tilray Brands, Inc., Glas Trust</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Company LLC and Computershare Trust Company, N.A. (incorporated by reference to Exhibit 4.1 to the Company’s Current Report on Form</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8-K filed on January 28, 2022)</w:t>
        </w:r>
      </w:hyperlink>
    </w:p>
    <w:p>
      <w:pPr>
        <w:spacing w:after="0" w:line="189" w:lineRule="exact"/>
        <w:rPr>
          <w:rFonts w:ascii="Times New Roman" w:cs="Times New Roman" w:eastAsia="Times New Roman" w:hAnsi="Times New Roman"/>
          <w:sz w:val="18"/>
          <w:szCs w:val="18"/>
          <w:u w:val="single" w:color="auto"/>
          <w:color w:val="0000EE"/>
        </w:rPr>
      </w:pPr>
    </w:p>
    <w:p>
      <w:pPr>
        <w:jc w:val="both"/>
        <w:ind w:left="920" w:hanging="903"/>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84">
        <w:r>
          <w:rPr>
            <w:rFonts w:ascii="Times New Roman" w:cs="Times New Roman" w:eastAsia="Times New Roman" w:hAnsi="Times New Roman"/>
            <w:sz w:val="18"/>
            <w:szCs w:val="18"/>
            <w:u w:val="single" w:color="auto"/>
            <w:color w:val="0000EE"/>
          </w:rPr>
          <w:t>Agreement Of Resignation, Appointment and Acceptance, dated as of January 27, 2022, by and among Tilray Brands, Inc., Glas Trust</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Company LLC and Computershare Trust Company, N.A. (incorporated by reference to Exhibit 4.2 to the Company’s Current Report on Form</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8-K filed on January 28, 2022)</w:t>
        </w:r>
      </w:hyperlink>
    </w:p>
    <w:p>
      <w:pPr>
        <w:spacing w:after="0" w:line="189" w:lineRule="exact"/>
        <w:rPr>
          <w:rFonts w:ascii="Times New Roman" w:cs="Times New Roman" w:eastAsia="Times New Roman" w:hAnsi="Times New Roman"/>
          <w:sz w:val="18"/>
          <w:szCs w:val="18"/>
          <w:u w:val="single" w:color="auto"/>
          <w:color w:val="0000EE"/>
        </w:rPr>
      </w:pPr>
    </w:p>
    <w:p>
      <w:pPr>
        <w:jc w:val="both"/>
        <w:ind w:left="920" w:hanging="903"/>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84">
        <w:r>
          <w:rPr>
            <w:rFonts w:ascii="Times New Roman" w:cs="Times New Roman" w:eastAsia="Times New Roman" w:hAnsi="Times New Roman"/>
            <w:sz w:val="18"/>
            <w:szCs w:val="18"/>
            <w:u w:val="single" w:color="auto"/>
            <w:color w:val="0000EE"/>
          </w:rPr>
          <w:t>Agreement Of Resignation, Appointment and Acceptance, dated as of January 27, 2022, by and among Tilray Brands, Inc., Glas Trust</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Company LLC and Computershare Trust Company, N.A. (incorporated by reference to Exhibit 4.3 to the Company’s Current Report on Form</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8-K filed on January 28, 2022)</w:t>
        </w:r>
      </w:hyperlink>
    </w:p>
    <w:p>
      <w:pPr>
        <w:spacing w:after="0" w:line="189" w:lineRule="exact"/>
        <w:rPr>
          <w:rFonts w:ascii="Times New Roman" w:cs="Times New Roman" w:eastAsia="Times New Roman" w:hAnsi="Times New Roman"/>
          <w:sz w:val="18"/>
          <w:szCs w:val="18"/>
          <w:u w:val="single" w:color="auto"/>
          <w:color w:val="0000EE"/>
        </w:rPr>
      </w:pPr>
    </w:p>
    <w:p>
      <w:pPr>
        <w:jc w:val="both"/>
        <w:ind w:left="920" w:hanging="903"/>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51">
        <w:r>
          <w:rPr>
            <w:rFonts w:ascii="Times New Roman" w:cs="Times New Roman" w:eastAsia="Times New Roman" w:hAnsi="Times New Roman"/>
            <w:sz w:val="18"/>
            <w:szCs w:val="18"/>
            <w:u w:val="single" w:color="auto"/>
            <w:color w:val="0000EE"/>
          </w:rPr>
          <w:t>Certification of Principal Executive Officer Pursuant to Rules 13a-14(a) and 15d-14(a) under the Securities Exchange Act of 1934, as Adopted</w:t>
        </w:r>
      </w:hyperlink>
      <w:r>
        <w:rPr>
          <w:rFonts w:ascii="Times New Roman" w:cs="Times New Roman" w:eastAsia="Times New Roman" w:hAnsi="Times New Roman"/>
          <w:sz w:val="18"/>
          <w:szCs w:val="18"/>
          <w:u w:val="single" w:color="auto"/>
          <w:color w:val="0000EE"/>
        </w:rPr>
        <w:t xml:space="preserve"> </w:t>
      </w:r>
      <w:hyperlink w:anchor="page51">
        <w:r>
          <w:rPr>
            <w:rFonts w:ascii="Times New Roman" w:cs="Times New Roman" w:eastAsia="Times New Roman" w:hAnsi="Times New Roman"/>
            <w:sz w:val="18"/>
            <w:szCs w:val="18"/>
            <w:u w:val="single" w:color="auto"/>
            <w:color w:val="0000EE"/>
          </w:rPr>
          <w:t>Pursuant to Section 302 of the Sarbanes-Oxley Act of 2002.</w:t>
        </w:r>
      </w:hyperlink>
    </w:p>
    <w:p>
      <w:pPr>
        <w:spacing w:after="0" w:line="94" w:lineRule="exact"/>
        <w:rPr>
          <w:sz w:val="20"/>
          <w:szCs w:val="20"/>
          <w:color w:val="auto"/>
        </w:rPr>
      </w:pPr>
    </w:p>
    <w:p>
      <w:pPr>
        <w:jc w:val="both"/>
        <w:ind w:left="920" w:hanging="903"/>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52">
        <w:r>
          <w:rPr>
            <w:rFonts w:ascii="Times New Roman" w:cs="Times New Roman" w:eastAsia="Times New Roman" w:hAnsi="Times New Roman"/>
            <w:sz w:val="18"/>
            <w:szCs w:val="18"/>
            <w:u w:val="single" w:color="auto"/>
            <w:color w:val="0000EE"/>
          </w:rPr>
          <w:t>Certification of Principal Financial Officer Pursuant to Rules 13a-14(a) and 15d-14(a) under the Securities Exchange Act of 1934, as Adopted</w:t>
        </w:r>
      </w:hyperlink>
      <w:r>
        <w:rPr>
          <w:rFonts w:ascii="Times New Roman" w:cs="Times New Roman" w:eastAsia="Times New Roman" w:hAnsi="Times New Roman"/>
          <w:sz w:val="18"/>
          <w:szCs w:val="18"/>
          <w:u w:val="single" w:color="auto"/>
          <w:color w:val="0000EE"/>
        </w:rPr>
        <w:t xml:space="preserve"> </w:t>
      </w:r>
      <w:hyperlink w:anchor="page52">
        <w:r>
          <w:rPr>
            <w:rFonts w:ascii="Times New Roman" w:cs="Times New Roman" w:eastAsia="Times New Roman" w:hAnsi="Times New Roman"/>
            <w:sz w:val="18"/>
            <w:szCs w:val="18"/>
            <w:u w:val="single" w:color="auto"/>
            <w:color w:val="0000EE"/>
          </w:rPr>
          <w:t>Pursuant to Section 302 of the Sarbanes-Oxley Act of 2002.</w:t>
        </w:r>
      </w:hyperlink>
    </w:p>
    <w:p>
      <w:pPr>
        <w:spacing w:after="0" w:line="94" w:lineRule="exact"/>
        <w:rPr>
          <w:sz w:val="20"/>
          <w:szCs w:val="20"/>
          <w:color w:val="auto"/>
        </w:rPr>
      </w:pPr>
    </w:p>
    <w:p>
      <w:pPr>
        <w:jc w:val="both"/>
        <w:ind w:left="920" w:hanging="903"/>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32.1*</w:t>
      </w:r>
      <w:r>
        <w:rPr>
          <w:sz w:val="20"/>
          <w:szCs w:val="20"/>
          <w:color w:val="auto"/>
        </w:rPr>
        <w:tab/>
      </w:r>
      <w:hyperlink w:anchor="page53">
        <w:r>
          <w:rPr>
            <w:rFonts w:ascii="Times New Roman" w:cs="Times New Roman" w:eastAsia="Times New Roman" w:hAnsi="Times New Roman"/>
            <w:sz w:val="18"/>
            <w:szCs w:val="18"/>
            <w:u w:val="single" w:color="auto"/>
            <w:color w:val="0000EE"/>
          </w:rPr>
          <w:t>Certification of Principal Executive Officer Pursuant to 18 U.S.C. Section 1350, as Adopted Pursuant to Section 906 of the Sarbanes-Oxley</w:t>
        </w:r>
      </w:hyperlink>
      <w:r>
        <w:rPr>
          <w:rFonts w:ascii="Times New Roman" w:cs="Times New Roman" w:eastAsia="Times New Roman" w:hAnsi="Times New Roman"/>
          <w:sz w:val="18"/>
          <w:szCs w:val="18"/>
          <w:u w:val="single" w:color="auto"/>
          <w:color w:val="0000EE"/>
        </w:rPr>
        <w:t xml:space="preserve"> </w:t>
      </w:r>
      <w:hyperlink w:anchor="page53">
        <w:r>
          <w:rPr>
            <w:rFonts w:ascii="Times New Roman" w:cs="Times New Roman" w:eastAsia="Times New Roman" w:hAnsi="Times New Roman"/>
            <w:sz w:val="18"/>
            <w:szCs w:val="18"/>
            <w:u w:val="single" w:color="auto"/>
            <w:color w:val="0000EE"/>
          </w:rPr>
          <w:t>Act of 2002.</w:t>
        </w:r>
      </w:hyperlink>
    </w:p>
    <w:p>
      <w:pPr>
        <w:spacing w:after="0" w:line="94" w:lineRule="exact"/>
        <w:rPr>
          <w:sz w:val="20"/>
          <w:szCs w:val="20"/>
          <w:color w:val="auto"/>
        </w:rPr>
      </w:pPr>
    </w:p>
    <w:p>
      <w:pPr>
        <w:jc w:val="both"/>
        <w:ind w:left="920" w:hanging="903"/>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32.2*</w:t>
      </w:r>
      <w:r>
        <w:rPr>
          <w:sz w:val="20"/>
          <w:szCs w:val="20"/>
          <w:color w:val="auto"/>
        </w:rPr>
        <w:tab/>
      </w:r>
      <w:hyperlink w:anchor="page54">
        <w:r>
          <w:rPr>
            <w:rFonts w:ascii="Times New Roman" w:cs="Times New Roman" w:eastAsia="Times New Roman" w:hAnsi="Times New Roman"/>
            <w:sz w:val="18"/>
            <w:szCs w:val="18"/>
            <w:u w:val="single" w:color="auto"/>
            <w:color w:val="0000EE"/>
          </w:rPr>
          <w:t>Certification of Principal Financial Officer Pursuant to 18 U.S.C. Section 1350, as Adopted Pursuant to Section 906 of the Sarbanes-Oxley Act</w:t>
        </w:r>
      </w:hyperlink>
      <w:r>
        <w:rPr>
          <w:rFonts w:ascii="Times New Roman" w:cs="Times New Roman" w:eastAsia="Times New Roman" w:hAnsi="Times New Roman"/>
          <w:sz w:val="18"/>
          <w:szCs w:val="18"/>
          <w:u w:val="single" w:color="auto"/>
          <w:color w:val="0000EE"/>
        </w:rPr>
        <w:t xml:space="preserve"> </w:t>
      </w:r>
      <w:hyperlink w:anchor="page54">
        <w:r>
          <w:rPr>
            <w:rFonts w:ascii="Times New Roman" w:cs="Times New Roman" w:eastAsia="Times New Roman" w:hAnsi="Times New Roman"/>
            <w:sz w:val="18"/>
            <w:szCs w:val="18"/>
            <w:u w:val="single" w:color="auto"/>
            <w:color w:val="0000EE"/>
          </w:rPr>
          <w:t>of 2002.</w:t>
        </w:r>
      </w:hyperlink>
    </w:p>
    <w:p>
      <w:pPr>
        <w:spacing w:after="0" w:line="189" w:lineRule="exact"/>
        <w:rPr>
          <w:sz w:val="20"/>
          <w:szCs w:val="20"/>
          <w:color w:val="auto"/>
        </w:rPr>
      </w:pPr>
    </w:p>
    <w:p>
      <w:pPr>
        <w:jc w:val="both"/>
        <w:ind w:left="920" w:hanging="919"/>
        <w:spacing w:after="0" w:line="261" w:lineRule="auto"/>
        <w:tabs>
          <w:tab w:leader="none" w:pos="9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financial statements from the Company's Quarterly Report on Form 10-Q for the quarter ended February 28, 2022, formatted in Inline XBRL: (i) Consolidated Statements of Financial Position, (ii) Consolidated Statements of Loss and Comprehensive Loss , (iii) Consolidated Statements of Stockholders' Equity, (iv) Consolidated Statements of Cash Flows, and (v) Notes to Consolidated Financial Statements, tagged as blocks of text and including detailed tags.</w:t>
      </w:r>
    </w:p>
    <w:p>
      <w:pPr>
        <w:spacing w:after="0" w:line="20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8"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52" w:lineRule="exact"/>
        <w:rPr>
          <w:sz w:val="20"/>
          <w:szCs w:val="20"/>
          <w:color w:val="auto"/>
        </w:rPr>
      </w:pPr>
    </w:p>
    <w:p>
      <w:pPr>
        <w:spacing w:after="0"/>
        <w:tabs>
          <w:tab w:leader="none" w:pos="5720" w:val="left"/>
          <w:tab w:leader="none" w:pos="6280" w:val="left"/>
        </w:tabs>
        <w:rPr>
          <w:sz w:val="20"/>
          <w:szCs w:val="20"/>
          <w:color w:val="auto"/>
        </w:rPr>
      </w:pPr>
      <w:r>
        <w:rPr>
          <w:rFonts w:ascii="Times New Roman" w:cs="Times New Roman" w:eastAsia="Times New Roman" w:hAnsi="Times New Roman"/>
          <w:sz w:val="18"/>
          <w:szCs w:val="18"/>
          <w:color w:val="auto"/>
        </w:rPr>
        <w:t>Date: April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3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47" w:lineRule="exact"/>
        <w:rPr>
          <w:sz w:val="20"/>
          <w:szCs w:val="20"/>
          <w:color w:val="auto"/>
        </w:rPr>
      </w:pPr>
    </w:p>
    <w:p>
      <w:pPr>
        <w:spacing w:after="0"/>
        <w:tabs>
          <w:tab w:leader="none" w:pos="5720" w:val="left"/>
          <w:tab w:leader="none" w:pos="6280" w:val="left"/>
        </w:tabs>
        <w:rPr>
          <w:sz w:val="20"/>
          <w:szCs w:val="20"/>
          <w:color w:val="auto"/>
        </w:rPr>
      </w:pPr>
      <w:r>
        <w:rPr>
          <w:rFonts w:ascii="Times New Roman" w:cs="Times New Roman" w:eastAsia="Times New Roman" w:hAnsi="Times New Roman"/>
          <w:sz w:val="18"/>
          <w:szCs w:val="18"/>
          <w:color w:val="auto"/>
        </w:rPr>
        <w:t>Date: April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Carl Merton</w:t>
      </w:r>
    </w:p>
    <w:p>
      <w:pPr>
        <w:spacing w:after="0" w:line="3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54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Irwin D. Simon, certify that:</w:t>
      </w:r>
    </w:p>
    <w:p>
      <w:pPr>
        <w:spacing w:after="0" w:line="225"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Tilray Brands,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April 6, 2022</w:t>
      </w:r>
      <w:r>
        <w:rPr>
          <w:sz w:val="20"/>
          <w:szCs w:val="20"/>
          <w:color w:val="auto"/>
        </w:rPr>
        <w:tab/>
      </w:r>
      <w:r>
        <w:rPr>
          <w:rFonts w:ascii="Times New Roman" w:cs="Times New Roman" w:eastAsia="Times New Roman" w:hAnsi="Times New Roman"/>
          <w:sz w:val="18"/>
          <w:szCs w:val="18"/>
          <w:color w:val="auto"/>
        </w:rPr>
        <w:t>By: /s/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3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34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Merton, certify that:</w:t>
      </w:r>
    </w:p>
    <w:p>
      <w:pPr>
        <w:spacing w:after="0" w:line="225"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Tilray Brands,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April 6, 2022</w:t>
      </w:r>
      <w:r>
        <w:rPr>
          <w:sz w:val="20"/>
          <w:szCs w:val="20"/>
          <w:color w:val="auto"/>
        </w:rPr>
        <w:tab/>
      </w:r>
      <w:r>
        <w:rPr>
          <w:rFonts w:ascii="Times New Roman" w:cs="Times New Roman" w:eastAsia="Times New Roman" w:hAnsi="Times New Roman"/>
          <w:sz w:val="18"/>
          <w:szCs w:val="18"/>
          <w:color w:val="auto"/>
        </w:rPr>
        <w:t>By: /s/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Carl A. Merton</w:t>
      </w:r>
    </w:p>
    <w:p>
      <w:pPr>
        <w:spacing w:after="0" w:line="3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34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Tilray Brands, Inc. (the “Company”) on Form 10-Q for the period ending February 28, 2022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April 6, 2022</w:t>
      </w:r>
      <w:r>
        <w:rPr>
          <w:sz w:val="20"/>
          <w:szCs w:val="20"/>
          <w:color w:val="auto"/>
        </w:rPr>
        <w:tab/>
      </w:r>
      <w:r>
        <w:rPr>
          <w:rFonts w:ascii="Times New Roman" w:cs="Times New Roman" w:eastAsia="Times New Roman" w:hAnsi="Times New Roman"/>
          <w:sz w:val="18"/>
          <w:szCs w:val="18"/>
          <w:color w:val="auto"/>
        </w:rPr>
        <w:t>By: /s/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3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34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Tilray Brands, Inc. (the “Company”) on Form 10-Q for the period ending February 28, 2022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April 6, 2022</w:t>
      </w:r>
      <w:r>
        <w:rPr>
          <w:sz w:val="20"/>
          <w:szCs w:val="20"/>
          <w:color w:val="auto"/>
        </w:rPr>
        <w:tab/>
      </w:r>
      <w:r>
        <w:rPr>
          <w:rFonts w:ascii="Times New Roman" w:cs="Times New Roman" w:eastAsia="Times New Roman" w:hAnsi="Times New Roman"/>
          <w:sz w:val="18"/>
          <w:szCs w:val="18"/>
          <w:color w:val="auto"/>
        </w:rPr>
        <w:t>By: /s/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Carl A. Merton</w:t>
      </w:r>
    </w:p>
    <w:p>
      <w:pPr>
        <w:spacing w:after="0" w:line="3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upperLetter"/>
      <w:start w:val="29"/>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83" Type="http://schemas.openxmlformats.org/officeDocument/2006/relationships/hyperlink" Target="https://www.sec.gov/ix?doc=/Archives/edgar/data/1731348/000156459022000856/tlry-8k_20220110.htm" TargetMode="External"/><Relationship Id="rId84" Type="http://schemas.openxmlformats.org/officeDocument/2006/relationships/hyperlink" Target="https://www.sec.gov/ix?doc=/Archives/edgar/data/1731348/000117184322000583/f8k_0128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2022-04-06T15:06:12Z</dcterms:created>
  <dcterms:modified xsi:type="dcterms:W3CDTF">2022-04-06T15:06:12Z</dcterms:modified>
</cp:coreProperties>
</file>