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1" w:lineRule="exact"/>
        <w:rPr>
          <w:sz w:val="24"/>
          <w:szCs w:val="24"/>
          <w:color w:val="auto"/>
        </w:rPr>
      </w:pPr>
    </w:p>
    <w:p>
      <w:pPr>
        <w:ind w:left="320" w:right="20"/>
        <w:spacing w:after="0" w:line="282"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-187325</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6" w:lineRule="exact"/>
        <w:rPr>
          <w:sz w:val="24"/>
          <w:szCs w:val="24"/>
          <w:color w:val="auto"/>
        </w:rPr>
      </w:pPr>
    </w:p>
    <w:p>
      <w:pPr>
        <w:ind w:left="320"/>
        <w:spacing w:after="0" w:line="23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-544830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12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4"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2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5160010</wp:posOffset>
            </wp:positionH>
            <wp:positionV relativeFrom="paragraph">
              <wp:posOffset>-589915</wp:posOffset>
            </wp:positionV>
            <wp:extent cx="56515" cy="603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3250"/>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-589915</wp:posOffset>
            </wp:positionV>
            <wp:extent cx="56515" cy="603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325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624205</wp:posOffset>
            </wp:positionV>
            <wp:extent cx="7001510" cy="4650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1510" cy="4650105"/>
                    </a:xfrm>
                    <a:prstGeom prst="rect">
                      <a:avLst/>
                    </a:prstGeom>
                    <a:noFill/>
                  </pic:spPr>
                </pic:pic>
              </a:graphicData>
            </a:graphic>
          </wp:anchor>
        </w:drawing>
      </w:r>
    </w:p>
    <w:p>
      <w:pPr>
        <w:spacing w:after="0" w:line="991" w:lineRule="exact"/>
        <w:rPr>
          <w:sz w:val="24"/>
          <w:szCs w:val="24"/>
          <w:color w:val="auto"/>
        </w:rPr>
      </w:pPr>
    </w:p>
    <w:p>
      <w:pPr>
        <w:sectPr>
          <w:pgSz w:w="11900" w:h="16838" w:orient="portrait"/>
          <w:cols w:equalWidth="0" w:num="2">
            <w:col w:w="2320" w:space="420"/>
            <w:col w:w="8340"/>
          </w:cols>
          <w:pgMar w:left="460" w:top="212"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440" w:type="dxa"/>
            <w:vAlign w:val="bottom"/>
            <w:gridSpan w:val="5"/>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2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1440" w:type="dxa"/>
            <w:vAlign w:val="bottom"/>
            <w:gridSpan w:val="3"/>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SIMON IRWIN D</w:t>
              </w:r>
            </w:hyperlink>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40" w:type="dxa"/>
            <w:vAlign w:val="bottom"/>
            <w:gridSpan w:val="5"/>
          </w:tcPr>
          <w:p>
            <w:pPr>
              <w:spacing w:after="0" w:line="97"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Tilray Brands,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TLRY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94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8"/>
        </w:trPr>
        <w:tc>
          <w:tcPr>
            <w:tcW w:w="100" w:type="dxa"/>
            <w:vAlign w:val="bottom"/>
          </w:tcPr>
          <w:p>
            <w:pPr>
              <w:spacing w:after="0"/>
              <w:rPr>
                <w:sz w:val="4"/>
                <w:szCs w:val="4"/>
                <w:color w:val="auto"/>
              </w:rPr>
            </w:pPr>
          </w:p>
        </w:tc>
        <w:tc>
          <w:tcPr>
            <w:tcW w:w="1440" w:type="dxa"/>
            <w:vAlign w:val="bottom"/>
            <w:tcBorders>
              <w:bottom w:val="single" w:sz="8" w:color="0000EE"/>
            </w:tcBorders>
            <w:gridSpan w:val="3"/>
            <w:vMerge w:val="continue"/>
          </w:tcPr>
          <w:p>
            <w:pPr>
              <w:spacing w:after="0"/>
              <w:rPr>
                <w:sz w:val="4"/>
                <w:szCs w:val="4"/>
                <w:color w:val="auto"/>
              </w:rPr>
            </w:pPr>
          </w:p>
        </w:tc>
        <w:tc>
          <w:tcPr>
            <w:tcW w:w="900" w:type="dxa"/>
            <w:vAlign w:val="bottom"/>
            <w:vMerge w:val="restart"/>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100" w:type="dxa"/>
            <w:vAlign w:val="bottom"/>
          </w:tcPr>
          <w:p>
            <w:pPr>
              <w:spacing w:after="0"/>
              <w:rPr>
                <w:sz w:val="3"/>
                <w:szCs w:val="3"/>
                <w:color w:val="auto"/>
              </w:rPr>
            </w:pPr>
          </w:p>
        </w:tc>
        <w:tc>
          <w:tcPr>
            <w:tcW w:w="1440" w:type="dxa"/>
            <w:vAlign w:val="bottom"/>
            <w:gridSpan w:val="3"/>
          </w:tcPr>
          <w:p>
            <w:pPr>
              <w:spacing w:after="0"/>
              <w:rPr>
                <w:sz w:val="3"/>
                <w:szCs w:val="3"/>
                <w:color w:val="auto"/>
              </w:rPr>
            </w:pPr>
          </w:p>
        </w:tc>
        <w:tc>
          <w:tcPr>
            <w:tcW w:w="9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100"/>
              <w:spacing w:after="0" w:line="128" w:lineRule="exact"/>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11"/>
                <w:szCs w:val="11"/>
                <w:color w:val="auto"/>
              </w:rPr>
            </w:pPr>
          </w:p>
        </w:tc>
        <w:tc>
          <w:tcPr>
            <w:tcW w:w="1420" w:type="dxa"/>
            <w:vAlign w:val="bottom"/>
            <w:gridSpan w:val="4"/>
          </w:tcPr>
          <w:p>
            <w:pPr>
              <w:ind w:left="180"/>
              <w:spacing w:after="0" w:line="128"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56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2"/>
                <w:szCs w:val="12"/>
                <w:color w:val="auto"/>
              </w:rPr>
              <w:t>(Last)</w:t>
            </w:r>
          </w:p>
        </w:tc>
        <w:tc>
          <w:tcPr>
            <w:tcW w:w="660" w:type="dxa"/>
            <w:vAlign w:val="bottom"/>
            <w:tcBorders>
              <w:top w:val="single" w:sz="8" w:color="EEEEEE"/>
            </w:tcBorders>
          </w:tcPr>
          <w:p>
            <w:pPr>
              <w:spacing w:after="0"/>
              <w:rPr>
                <w:sz w:val="11"/>
                <w:szCs w:val="11"/>
                <w:color w:val="auto"/>
              </w:rPr>
            </w:pPr>
          </w:p>
        </w:tc>
        <w:tc>
          <w:tcPr>
            <w:tcW w:w="112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2"/>
                <w:szCs w:val="12"/>
                <w:color w:val="auto"/>
              </w:rPr>
              <w:t>(First)</w:t>
            </w:r>
          </w:p>
        </w:tc>
        <w:tc>
          <w:tcPr>
            <w:tcW w:w="920" w:type="dxa"/>
            <w:vAlign w:val="bottom"/>
            <w:tcBorders>
              <w:top w:val="single" w:sz="8" w:color="EEEEEE"/>
              <w:bottom w:val="single" w:sz="8" w:color="EEEEEE"/>
            </w:tcBorders>
            <w:vMerge w:val="restart"/>
          </w:tcPr>
          <w:p>
            <w:pPr>
              <w:ind w:left="120"/>
              <w:spacing w:after="0"/>
              <w:rPr>
                <w:sz w:val="20"/>
                <w:szCs w:val="20"/>
                <w:color w:val="auto"/>
              </w:rPr>
            </w:pPr>
            <w:r>
              <w:rPr>
                <w:rFonts w:ascii="Arial" w:cs="Arial" w:eastAsia="Arial" w:hAnsi="Arial"/>
                <w:sz w:val="12"/>
                <w:szCs w:val="12"/>
                <w:color w:val="auto"/>
              </w:rPr>
              <w:t>(Middle)</w:t>
            </w:r>
          </w:p>
        </w:tc>
        <w:tc>
          <w:tcPr>
            <w:tcW w:w="80" w:type="dxa"/>
            <w:vAlign w:val="bottom"/>
            <w:tcBorders>
              <w:top w:val="single" w:sz="8" w:color="EEEEEE"/>
            </w:tcBorders>
          </w:tcPr>
          <w:p>
            <w:pPr>
              <w:spacing w:after="0"/>
              <w:rPr>
                <w:sz w:val="11"/>
                <w:szCs w:val="11"/>
                <w:color w:val="auto"/>
              </w:rPr>
            </w:pPr>
          </w:p>
        </w:tc>
        <w:tc>
          <w:tcPr>
            <w:tcW w:w="320" w:type="dxa"/>
            <w:vAlign w:val="bottom"/>
            <w:tcBorders>
              <w:top w:val="single" w:sz="8" w:color="EEEEEE"/>
            </w:tcBorders>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100"/>
              <w:spacing w:after="0" w:line="110" w:lineRule="exact"/>
              <w:rPr>
                <w:sz w:val="20"/>
                <w:szCs w:val="20"/>
                <w:color w:val="auto"/>
              </w:rPr>
            </w:pPr>
            <w:r>
              <w:rPr>
                <w:rFonts w:ascii="Arial" w:cs="Arial" w:eastAsia="Arial" w:hAnsi="Arial"/>
                <w:sz w:val="12"/>
                <w:szCs w:val="12"/>
                <w:color w:val="auto"/>
              </w:rPr>
              <w:t>below)</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ind w:left="180"/>
              <w:spacing w:after="0" w:line="110"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2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20" w:type="dxa"/>
            <w:vAlign w:val="bottom"/>
            <w:gridSpan w:val="4"/>
            <w:vMerge w:val="restart"/>
          </w:tcPr>
          <w:p>
            <w:pPr>
              <w:ind w:left="560"/>
              <w:spacing w:after="0"/>
              <w:rPr>
                <w:sz w:val="20"/>
                <w:szCs w:val="20"/>
                <w:color w:val="auto"/>
              </w:rPr>
            </w:pPr>
            <w:r>
              <w:rPr>
                <w:rFonts w:ascii="Times New Roman" w:cs="Times New Roman" w:eastAsia="Times New Roman" w:hAnsi="Times New Roman"/>
                <w:sz w:val="16"/>
                <w:szCs w:val="16"/>
                <w:color w:val="0000FF"/>
              </w:rPr>
              <w:t>President and CEO</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00" w:type="dxa"/>
            <w:vAlign w:val="bottom"/>
          </w:tcPr>
          <w:p>
            <w:pPr>
              <w:spacing w:after="0"/>
              <w:rPr>
                <w:sz w:val="7"/>
                <w:szCs w:val="7"/>
                <w:color w:val="auto"/>
              </w:rPr>
            </w:pPr>
          </w:p>
        </w:tc>
        <w:tc>
          <w:tcPr>
            <w:tcW w:w="23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C/O TILRAY BRANDS, INC.</w:t>
            </w: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12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2340" w:type="dxa"/>
            <w:vAlign w:val="bottom"/>
            <w:gridSpan w:val="4"/>
            <w:vMerge w:val="continue"/>
          </w:tcPr>
          <w:p>
            <w:pPr>
              <w:spacing w:after="0"/>
              <w:rPr>
                <w:sz w:val="17"/>
                <w:szCs w:val="17"/>
                <w:color w:val="auto"/>
              </w:rPr>
            </w:pPr>
          </w:p>
        </w:tc>
        <w:tc>
          <w:tcPr>
            <w:tcW w:w="920" w:type="dxa"/>
            <w:vAlign w:val="bottom"/>
          </w:tcPr>
          <w:p>
            <w:pPr>
              <w:spacing w:after="0"/>
              <w:rPr>
                <w:sz w:val="17"/>
                <w:szCs w:val="17"/>
                <w:color w:val="auto"/>
              </w:rPr>
            </w:pPr>
          </w:p>
        </w:tc>
        <w:tc>
          <w:tcPr>
            <w:tcW w:w="2000" w:type="dxa"/>
            <w:vAlign w:val="bottom"/>
            <w:gridSpan w:val="6"/>
          </w:tcPr>
          <w:p>
            <w:pPr>
              <w:ind w:left="540"/>
              <w:spacing w:after="0"/>
              <w:rPr>
                <w:sz w:val="20"/>
                <w:szCs w:val="20"/>
                <w:color w:val="auto"/>
              </w:rPr>
            </w:pPr>
            <w:r>
              <w:rPr>
                <w:rFonts w:ascii="Times New Roman" w:cs="Times New Roman" w:eastAsia="Times New Roman" w:hAnsi="Times New Roman"/>
                <w:sz w:val="16"/>
                <w:szCs w:val="16"/>
                <w:color w:val="0000FF"/>
              </w:rPr>
              <w:t>07/29/2025</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23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265 TALBOT STREET WEST</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tcPr>
          <w:p>
            <w:pPr>
              <w:spacing w:after="0"/>
              <w:rPr>
                <w:sz w:val="15"/>
                <w:szCs w:val="15"/>
                <w:color w:val="auto"/>
              </w:rPr>
            </w:pPr>
          </w:p>
        </w:tc>
        <w:tc>
          <w:tcPr>
            <w:tcW w:w="2060" w:type="dxa"/>
            <w:vAlign w:val="bottom"/>
            <w:gridSpan w:val="5"/>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2820" w:type="dxa"/>
            <w:vAlign w:val="bottom"/>
            <w:gridSpan w:val="5"/>
          </w:tcPr>
          <w:p>
            <w:pPr>
              <w:spacing w:after="0"/>
              <w:rPr>
                <w:sz w:val="15"/>
                <w:szCs w:val="15"/>
                <w:color w:val="auto"/>
              </w:rPr>
            </w:pP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40" w:type="dxa"/>
            <w:vAlign w:val="bottom"/>
            <w:tcBorders>
              <w:right w:val="single" w:sz="8" w:color="2C2C2C"/>
            </w:tcBorders>
          </w:tcPr>
          <w:p>
            <w:pPr>
              <w:spacing w:after="0" w:line="20" w:lineRule="exact"/>
              <w:rPr>
                <w:sz w:val="1"/>
                <w:szCs w:val="1"/>
                <w:color w:val="auto"/>
              </w:rPr>
            </w:pPr>
          </w:p>
        </w:tc>
        <w:tc>
          <w:tcPr>
            <w:tcW w:w="1460" w:type="dxa"/>
            <w:vAlign w:val="bottom"/>
            <w:tcBorders>
              <w:top w:val="single" w:sz="8" w:color="808080"/>
            </w:tcBorders>
            <w:gridSpan w:val="3"/>
            <w:shd w:val="clear" w:color="auto" w:fill="2C2C2C"/>
          </w:tcPr>
          <w:p>
            <w:pPr>
              <w:spacing w:after="0" w:line="20" w:lineRule="exact"/>
              <w:rPr>
                <w:sz w:val="1"/>
                <w:szCs w:val="1"/>
                <w:color w:val="auto"/>
              </w:rPr>
            </w:pPr>
          </w:p>
        </w:tc>
        <w:tc>
          <w:tcPr>
            <w:tcW w:w="2060" w:type="dxa"/>
            <w:vAlign w:val="bottom"/>
            <w:tcBorders>
              <w:top w:val="single" w:sz="8" w:color="808080"/>
            </w:tcBorders>
            <w:gridSpan w:val="5"/>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gridSpan w:val="2"/>
            <w:shd w:val="clear" w:color="auto" w:fill="2C2C2C"/>
          </w:tcPr>
          <w:p>
            <w:pPr>
              <w:spacing w:after="0" w:line="20" w:lineRule="exact"/>
              <w:rPr>
                <w:sz w:val="1"/>
                <w:szCs w:val="1"/>
                <w:color w:val="auto"/>
              </w:rPr>
            </w:pPr>
          </w:p>
        </w:tc>
        <w:tc>
          <w:tcPr>
            <w:tcW w:w="2820" w:type="dxa"/>
            <w:vAlign w:val="bottom"/>
            <w:tcBorders>
              <w:top w:val="single" w:sz="8" w:color="808080"/>
            </w:tcBorders>
            <w:gridSpan w:val="5"/>
            <w:shd w:val="clear" w:color="auto" w:fill="2C2C2C"/>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20" w:type="dxa"/>
            <w:vAlign w:val="bottom"/>
            <w:gridSpan w:val="8"/>
          </w:tcPr>
          <w:p>
            <w:pPr>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16"/>
                <w:szCs w:val="16"/>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LEAMINGTON</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A6</w:t>
            </w:r>
          </w:p>
        </w:tc>
        <w:tc>
          <w:tcPr>
            <w:tcW w:w="9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N8H 4H3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7"/>
          </w:tcPr>
          <w:p>
            <w:pPr>
              <w:ind w:left="120"/>
              <w:spacing w:after="0" w:line="134"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920" w:type="dxa"/>
            <w:vAlign w:val="bottom"/>
          </w:tcPr>
          <w:p>
            <w:pPr>
              <w:ind w:left="12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320" w:type="dxa"/>
            <w:vAlign w:val="bottom"/>
            <w:tcBorders>
              <w:bottom w:val="single" w:sz="8" w:color="2C2C2C"/>
            </w:tcBorders>
            <w:gridSpan w:val="6"/>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900" w:type="dxa"/>
            <w:vAlign w:val="bottom"/>
            <w:tcBorders>
              <w:top w:val="single" w:sz="8" w:color="2C2C2C"/>
            </w:tcBorders>
          </w:tcPr>
          <w:p>
            <w:pPr>
              <w:spacing w:after="0"/>
              <w:rPr>
                <w:sz w:val="20"/>
                <w:szCs w:val="20"/>
                <w:color w:val="auto"/>
              </w:rPr>
            </w:pPr>
          </w:p>
        </w:tc>
        <w:tc>
          <w:tcPr>
            <w:tcW w:w="6440" w:type="dxa"/>
            <w:vAlign w:val="bottom"/>
            <w:tcBorders>
              <w:top w:val="single" w:sz="8" w:color="2C2C2C"/>
            </w:tcBorders>
            <w:gridSpan w:val="16"/>
          </w:tcPr>
          <w:p>
            <w:pPr>
              <w:ind w:left="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gridSpan w:val="2"/>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40" w:type="dxa"/>
            <w:vAlign w:val="bottom"/>
            <w:gridSpan w:val="5"/>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920" w:type="dxa"/>
            <w:vAlign w:val="bottom"/>
          </w:tcPr>
          <w:p>
            <w:pPr>
              <w:spacing w:after="0"/>
              <w:rPr>
                <w:sz w:val="13"/>
                <w:szCs w:val="13"/>
                <w:color w:val="auto"/>
              </w:rPr>
            </w:pPr>
          </w:p>
        </w:tc>
        <w:tc>
          <w:tcPr>
            <w:tcW w:w="880" w:type="dxa"/>
            <w:vAlign w:val="bottom"/>
            <w:gridSpan w:val="4"/>
          </w:tcPr>
          <w:p>
            <w:pPr>
              <w:ind w:left="40"/>
              <w:spacing w:after="0"/>
              <w:rPr>
                <w:sz w:val="20"/>
                <w:szCs w:val="20"/>
                <w:color w:val="auto"/>
              </w:rPr>
            </w:pPr>
            <w:r>
              <w:rPr>
                <w:rFonts w:ascii="Arial" w:cs="Arial" w:eastAsia="Arial" w:hAnsi="Arial"/>
                <w:sz w:val="11"/>
                <w:szCs w:val="11"/>
                <w:b w:val="1"/>
                <w:bCs w:val="1"/>
                <w:color w:val="auto"/>
              </w:rPr>
              <w:t>2. Transaction</w:t>
            </w:r>
          </w:p>
        </w:tc>
        <w:tc>
          <w:tcPr>
            <w:tcW w:w="180" w:type="dxa"/>
            <w:vAlign w:val="bottom"/>
          </w:tcPr>
          <w:p>
            <w:pPr>
              <w:spacing w:after="0"/>
              <w:rPr>
                <w:sz w:val="13"/>
                <w:szCs w:val="13"/>
                <w:color w:val="auto"/>
              </w:rPr>
            </w:pP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4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gridSpan w:val="4"/>
          </w:tcPr>
          <w:p>
            <w:pPr>
              <w:ind w:left="40"/>
              <w:spacing w:after="0" w:line="122"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96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60" w:type="dxa"/>
            <w:vAlign w:val="bottom"/>
            <w:gridSpan w:val="5"/>
          </w:tcPr>
          <w:p>
            <w:pPr>
              <w:ind w:left="40"/>
              <w:spacing w:after="0" w:line="122" w:lineRule="exact"/>
              <w:rPr>
                <w:sz w:val="20"/>
                <w:szCs w:val="20"/>
                <w:color w:val="auto"/>
              </w:rPr>
            </w:pPr>
            <w:r>
              <w:rPr>
                <w:rFonts w:ascii="Arial" w:cs="Arial" w:eastAsia="Arial" w:hAnsi="Arial"/>
                <w:sz w:val="11"/>
                <w:szCs w:val="11"/>
                <w:b w:val="1"/>
                <w:bCs w:val="1"/>
                <w:color w:val="auto"/>
              </w:rPr>
              <w:t>(Month/Day/Year)</w:t>
            </w:r>
          </w:p>
        </w:tc>
        <w:tc>
          <w:tcPr>
            <w:tcW w:w="96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60" w:type="dxa"/>
            <w:vAlign w:val="bottom"/>
            <w:gridSpan w:val="2"/>
            <w:vMerge w:val="restart"/>
          </w:tcPr>
          <w:p>
            <w:pPr>
              <w:ind w:left="40"/>
              <w:spacing w:after="0" w:line="122"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46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120"/>
              <w:spacing w:after="0"/>
              <w:rPr>
                <w:sz w:val="20"/>
                <w:szCs w:val="20"/>
                <w:color w:val="auto"/>
              </w:rPr>
            </w:pPr>
            <w:r>
              <w:rPr>
                <w:rFonts w:ascii="Times New Roman" w:cs="Times New Roman" w:eastAsia="Times New Roman" w:hAnsi="Times New Roman"/>
                <w:sz w:val="16"/>
                <w:szCs w:val="16"/>
                <w:color w:val="0000FF"/>
              </w:rPr>
              <w:t>07/30/2025</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8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1,176,467</w:t>
            </w:r>
            <w:r>
              <w:rPr>
                <w:rFonts w:ascii="Times New Roman" w:cs="Times New Roman" w:eastAsia="Times New Roman" w:hAnsi="Times New Roman"/>
                <w:sz w:val="20"/>
                <w:szCs w:val="20"/>
                <w:color w:val="008000"/>
                <w:vertAlign w:val="superscript"/>
              </w:rPr>
              <w:t>(1)</w:t>
            </w:r>
          </w:p>
        </w:tc>
        <w:tc>
          <w:tcPr>
            <w:tcW w:w="4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gridSpan w:val="2"/>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0.61</w:t>
            </w:r>
          </w:p>
        </w:tc>
        <w:tc>
          <w:tcPr>
            <w:tcW w:w="1180" w:type="dxa"/>
            <w:vAlign w:val="bottom"/>
            <w:tcBorders>
              <w:bottom w:val="single" w:sz="8" w:color="2C2C2C"/>
            </w:tcBorders>
            <w:gridSpan w:val="3"/>
          </w:tcPr>
          <w:p>
            <w:pPr>
              <w:jc w:val="right"/>
              <w:ind w:right="184"/>
              <w:spacing w:after="0"/>
              <w:rPr>
                <w:sz w:val="20"/>
                <w:szCs w:val="20"/>
                <w:color w:val="auto"/>
              </w:rPr>
            </w:pPr>
            <w:r>
              <w:rPr>
                <w:rFonts w:ascii="Times New Roman" w:cs="Times New Roman" w:eastAsia="Times New Roman" w:hAnsi="Times New Roman"/>
                <w:sz w:val="16"/>
                <w:szCs w:val="16"/>
                <w:color w:val="0000FF"/>
              </w:rPr>
              <w:t>5,118,100</w:t>
            </w:r>
            <w:r>
              <w:rPr>
                <w:rFonts w:ascii="Times New Roman" w:cs="Times New Roman" w:eastAsia="Times New Roman" w:hAnsi="Times New Roman"/>
                <w:sz w:val="20"/>
                <w:szCs w:val="20"/>
                <w:color w:val="008000"/>
                <w:vertAlign w:val="superscript"/>
              </w:rPr>
              <w:t>(2)</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120"/>
              <w:spacing w:after="0"/>
              <w:rPr>
                <w:sz w:val="20"/>
                <w:szCs w:val="20"/>
                <w:color w:val="auto"/>
              </w:rPr>
            </w:pPr>
            <w:r>
              <w:rPr>
                <w:rFonts w:ascii="Times New Roman" w:cs="Times New Roman" w:eastAsia="Times New Roman" w:hAnsi="Times New Roman"/>
                <w:sz w:val="16"/>
                <w:szCs w:val="16"/>
                <w:color w:val="0000FF"/>
              </w:rPr>
              <w:t>07/30/2025</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8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623,528</w:t>
            </w:r>
            <w:r>
              <w:rPr>
                <w:rFonts w:ascii="Times New Roman" w:cs="Times New Roman" w:eastAsia="Times New Roman" w:hAnsi="Times New Roman"/>
                <w:sz w:val="20"/>
                <w:szCs w:val="20"/>
                <w:color w:val="008000"/>
                <w:vertAlign w:val="superscript"/>
              </w:rPr>
              <w:t>(3)</w:t>
            </w:r>
          </w:p>
        </w:tc>
        <w:tc>
          <w:tcPr>
            <w:tcW w:w="4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gridSpan w:val="2"/>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0.61</w:t>
            </w:r>
          </w:p>
        </w:tc>
        <w:tc>
          <w:tcPr>
            <w:tcW w:w="1180" w:type="dxa"/>
            <w:vAlign w:val="bottom"/>
            <w:tcBorders>
              <w:bottom w:val="single" w:sz="8" w:color="2C2C2C"/>
            </w:tcBorders>
            <w:gridSpan w:val="3"/>
          </w:tcPr>
          <w:p>
            <w:pPr>
              <w:jc w:val="right"/>
              <w:ind w:right="184"/>
              <w:spacing w:after="0"/>
              <w:rPr>
                <w:sz w:val="20"/>
                <w:szCs w:val="20"/>
                <w:color w:val="auto"/>
              </w:rPr>
            </w:pPr>
            <w:r>
              <w:rPr>
                <w:rFonts w:ascii="Times New Roman" w:cs="Times New Roman" w:eastAsia="Times New Roman" w:hAnsi="Times New Roman"/>
                <w:sz w:val="16"/>
                <w:szCs w:val="16"/>
                <w:color w:val="0000FF"/>
              </w:rPr>
              <w:t>4,494,572</w:t>
            </w:r>
            <w:r>
              <w:rPr>
                <w:rFonts w:ascii="Times New Roman" w:cs="Times New Roman" w:eastAsia="Times New Roman" w:hAnsi="Times New Roman"/>
                <w:sz w:val="20"/>
                <w:szCs w:val="20"/>
                <w:color w:val="008000"/>
                <w:vertAlign w:val="superscript"/>
              </w:rPr>
              <w:t>(2)</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40" w:type="dxa"/>
            <w:vAlign w:val="bottom"/>
            <w:gridSpan w:val="16"/>
          </w:tcPr>
          <w:p>
            <w:pPr>
              <w:jc w:val="center"/>
              <w:ind w:right="182"/>
              <w:spacing w:after="0"/>
              <w:rPr>
                <w:sz w:val="20"/>
                <w:szCs w:val="20"/>
                <w:color w:val="auto"/>
              </w:rPr>
            </w:pPr>
            <w:r>
              <w:rPr>
                <w:rFonts w:ascii="Arial" w:cs="Arial" w:eastAsia="Arial" w:hAnsi="Arial"/>
                <w:sz w:val="16"/>
                <w:szCs w:val="16"/>
                <w:b w:val="1"/>
                <w:bCs w:val="1"/>
                <w:color w:val="auto"/>
                <w:w w:val="98"/>
              </w:rPr>
              <w:t>Table II - Derivative Securities Acquired, Disposed of, or Beneficially Owned</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780" w:type="dxa"/>
            <w:vAlign w:val="bottom"/>
            <w:gridSpan w:val="13"/>
          </w:tcPr>
          <w:p>
            <w:pPr>
              <w:jc w:val="center"/>
              <w:ind w:right="359"/>
              <w:spacing w:after="0"/>
              <w:rPr>
                <w:sz w:val="20"/>
                <w:szCs w:val="20"/>
                <w:color w:val="auto"/>
              </w:rPr>
            </w:pPr>
            <w:r>
              <w:rPr>
                <w:rFonts w:ascii="Arial" w:cs="Arial" w:eastAsia="Arial" w:hAnsi="Arial"/>
                <w:sz w:val="16"/>
                <w:szCs w:val="16"/>
                <w:b w:val="1"/>
                <w:bCs w:val="1"/>
                <w:color w:val="auto"/>
                <w:w w:val="98"/>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20" w:type="dxa"/>
            <w:vAlign w:val="bottom"/>
            <w:gridSpan w:val="2"/>
          </w:tcPr>
          <w:p>
            <w:pPr>
              <w:ind w:left="140"/>
              <w:spacing w:after="0"/>
              <w:rPr>
                <w:sz w:val="20"/>
                <w:szCs w:val="20"/>
                <w:color w:val="auto"/>
              </w:rPr>
            </w:pPr>
            <w:r>
              <w:rPr>
                <w:rFonts w:ascii="Arial" w:cs="Arial" w:eastAsia="Arial" w:hAnsi="Arial"/>
                <w:sz w:val="11"/>
                <w:szCs w:val="11"/>
                <w:b w:val="1"/>
                <w:bCs w:val="1"/>
                <w:color w:val="auto"/>
              </w:rPr>
              <w:t>3.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5"/>
              </w:rPr>
              <w:t>Conversion</w:t>
            </w:r>
          </w:p>
        </w:tc>
        <w:tc>
          <w:tcPr>
            <w:tcW w:w="112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Date</w:t>
            </w:r>
          </w:p>
        </w:tc>
        <w:tc>
          <w:tcPr>
            <w:tcW w:w="92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8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1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Derivative Securities</w:t>
            </w:r>
          </w:p>
        </w:tc>
        <w:tc>
          <w:tcPr>
            <w:tcW w:w="144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8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7"/>
              </w:rPr>
              <w:t>or Exercise</w:t>
            </w:r>
          </w:p>
        </w:tc>
        <w:tc>
          <w:tcPr>
            <w:tcW w:w="112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8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1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Acquired (A) or</w:t>
            </w:r>
          </w:p>
        </w:tc>
        <w:tc>
          <w:tcPr>
            <w:tcW w:w="144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ind w:left="40"/>
              <w:spacing w:after="0" w:line="122" w:lineRule="exact"/>
              <w:rPr>
                <w:sz w:val="20"/>
                <w:szCs w:val="20"/>
                <w:color w:val="auto"/>
              </w:rPr>
            </w:pPr>
            <w:r>
              <w:rPr>
                <w:rFonts w:ascii="Arial" w:cs="Arial" w:eastAsia="Arial" w:hAnsi="Arial"/>
                <w:sz w:val="11"/>
                <w:szCs w:val="11"/>
                <w:b w:val="1"/>
                <w:bCs w:val="1"/>
                <w:color w:val="auto"/>
                <w:w w:val="95"/>
              </w:rPr>
              <w:t>(Month/Day/Year)</w:t>
            </w:r>
          </w:p>
        </w:tc>
        <w:tc>
          <w:tcPr>
            <w:tcW w:w="40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2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line="122"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restart"/>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gridSpan w:val="2"/>
            <w:vMerge w:val="restart"/>
          </w:tcPr>
          <w:p>
            <w:pPr>
              <w:spacing w:after="0" w:line="122"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vMerge w:val="restart"/>
          </w:tcPr>
          <w:p>
            <w:pPr>
              <w:ind w:left="80"/>
              <w:spacing w:after="0" w:line="122"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420" w:type="dxa"/>
            <w:vAlign w:val="bottom"/>
            <w:tcBorders>
              <w:right w:val="single" w:sz="8" w:color="2C2C2C"/>
            </w:tcBorders>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w w:val="91"/>
              </w:rPr>
              <w:t>(A)</w:t>
            </w:r>
          </w:p>
        </w:tc>
        <w:tc>
          <w:tcPr>
            <w:tcW w:w="960" w:type="dxa"/>
            <w:vAlign w:val="bottom"/>
            <w:gridSpan w:val="2"/>
          </w:tcPr>
          <w:p>
            <w:pPr>
              <w:ind w:left="4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1,176,467</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continue"/>
          </w:tcPr>
          <w:p>
            <w:pPr>
              <w:spacing w:after="0"/>
              <w:rPr>
                <w:sz w:val="10"/>
                <w:szCs w:val="10"/>
                <w:color w:val="auto"/>
              </w:rPr>
            </w:pPr>
          </w:p>
        </w:tc>
        <w:tc>
          <w:tcPr>
            <w:tcW w:w="1120" w:type="dxa"/>
            <w:vAlign w:val="bottom"/>
            <w:gridSpan w:val="2"/>
          </w:tcPr>
          <w:p>
            <w:pPr>
              <w:ind w:left="300"/>
              <w:spacing w:after="0" w:line="122" w:lineRule="exact"/>
              <w:rPr>
                <w:sz w:val="20"/>
                <w:szCs w:val="20"/>
                <w:color w:val="auto"/>
              </w:rPr>
            </w:pPr>
            <w:r>
              <w:rPr>
                <w:rFonts w:ascii="Times New Roman" w:cs="Times New Roman" w:eastAsia="Times New Roman" w:hAnsi="Times New Roman"/>
                <w:sz w:val="12"/>
                <w:szCs w:val="12"/>
                <w:color w:val="0000FF"/>
              </w:rPr>
              <w:t>07/30/2025</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ind w:left="140"/>
              <w:spacing w:after="0" w:line="122" w:lineRule="exact"/>
              <w:rPr>
                <w:sz w:val="20"/>
                <w:szCs w:val="20"/>
                <w:color w:val="auto"/>
              </w:rPr>
            </w:pPr>
            <w:r>
              <w:rPr>
                <w:rFonts w:ascii="Times New Roman" w:cs="Times New Roman" w:eastAsia="Times New Roman" w:hAnsi="Times New Roman"/>
                <w:sz w:val="12"/>
                <w:szCs w:val="12"/>
                <w:color w:val="0000FF"/>
              </w:rPr>
              <w:t>M</w:t>
            </w:r>
          </w:p>
        </w:tc>
        <w:tc>
          <w:tcPr>
            <w:tcW w:w="180" w:type="dxa"/>
            <w:vAlign w:val="bottom"/>
          </w:tcPr>
          <w:p>
            <w:pPr>
              <w:spacing w:after="0"/>
              <w:rPr>
                <w:sz w:val="10"/>
                <w:szCs w:val="10"/>
                <w:color w:val="auto"/>
              </w:rPr>
            </w:pPr>
          </w:p>
        </w:tc>
        <w:tc>
          <w:tcPr>
            <w:tcW w:w="940" w:type="dxa"/>
            <w:vAlign w:val="bottom"/>
          </w:tcPr>
          <w:p>
            <w:pPr>
              <w:ind w:left="440"/>
              <w:spacing w:after="0" w:line="122" w:lineRule="exact"/>
              <w:rPr>
                <w:sz w:val="20"/>
                <w:szCs w:val="20"/>
                <w:color w:val="auto"/>
              </w:rPr>
            </w:pPr>
            <w:r>
              <w:rPr>
                <w:rFonts w:ascii="Times New Roman" w:cs="Times New Roman" w:eastAsia="Times New Roman" w:hAnsi="Times New Roman"/>
                <w:sz w:val="12"/>
                <w:szCs w:val="12"/>
                <w:color w:val="0000FF"/>
                <w:w w:val="99"/>
              </w:rPr>
              <w:t>1,176,467</w:t>
            </w:r>
          </w:p>
        </w:tc>
        <w:tc>
          <w:tcPr>
            <w:tcW w:w="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40" w:type="dxa"/>
            <w:vAlign w:val="bottom"/>
            <w:gridSpan w:val="2"/>
          </w:tcPr>
          <w:p>
            <w:pPr>
              <w:jc w:val="right"/>
              <w:ind w:right="282"/>
              <w:spacing w:after="0" w:line="12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2"/>
                <w:szCs w:val="12"/>
                <w:color w:val="0000FF"/>
              </w:rPr>
              <w:t>1,176,467</w:t>
            </w:r>
          </w:p>
        </w:tc>
        <w:tc>
          <w:tcPr>
            <w:tcW w:w="620" w:type="dxa"/>
            <w:vAlign w:val="bottom"/>
          </w:tcPr>
          <w:p>
            <w:pPr>
              <w:ind w:left="320"/>
              <w:spacing w:after="0" w:line="122"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ind w:left="2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8,568,966</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continue"/>
          </w:tcPr>
          <w:p>
            <w:pPr>
              <w:spacing w:after="0"/>
              <w:rPr>
                <w:sz w:val="10"/>
                <w:szCs w:val="10"/>
                <w:color w:val="auto"/>
              </w:rPr>
            </w:pPr>
          </w:p>
        </w:tc>
        <w:tc>
          <w:tcPr>
            <w:tcW w:w="1120" w:type="dxa"/>
            <w:vAlign w:val="bottom"/>
            <w:gridSpan w:val="2"/>
          </w:tcPr>
          <w:p>
            <w:pPr>
              <w:ind w:left="300"/>
              <w:spacing w:after="0" w:line="122" w:lineRule="exact"/>
              <w:rPr>
                <w:sz w:val="20"/>
                <w:szCs w:val="20"/>
                <w:color w:val="auto"/>
              </w:rPr>
            </w:pPr>
            <w:r>
              <w:rPr>
                <w:rFonts w:ascii="Times New Roman" w:cs="Times New Roman" w:eastAsia="Times New Roman" w:hAnsi="Times New Roman"/>
                <w:sz w:val="12"/>
                <w:szCs w:val="12"/>
                <w:color w:val="0000FF"/>
              </w:rPr>
              <w:t>07/29/2025</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ind w:left="140"/>
              <w:spacing w:after="0" w:line="122" w:lineRule="exact"/>
              <w:rPr>
                <w:sz w:val="20"/>
                <w:szCs w:val="20"/>
                <w:color w:val="auto"/>
              </w:rPr>
            </w:pPr>
            <w:r>
              <w:rPr>
                <w:rFonts w:ascii="Times New Roman" w:cs="Times New Roman" w:eastAsia="Times New Roman" w:hAnsi="Times New Roman"/>
                <w:sz w:val="12"/>
                <w:szCs w:val="12"/>
                <w:color w:val="0000FF"/>
              </w:rPr>
              <w:t>A</w:t>
            </w:r>
          </w:p>
        </w:tc>
        <w:tc>
          <w:tcPr>
            <w:tcW w:w="11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0000FF"/>
              </w:rPr>
              <w:t>8,568,966</w:t>
            </w:r>
          </w:p>
        </w:tc>
        <w:tc>
          <w:tcPr>
            <w:tcW w:w="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40" w:type="dxa"/>
            <w:vAlign w:val="bottom"/>
            <w:gridSpan w:val="2"/>
          </w:tcPr>
          <w:p>
            <w:pPr>
              <w:jc w:val="right"/>
              <w:ind w:right="282"/>
              <w:spacing w:after="0" w:line="12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2"/>
                <w:szCs w:val="12"/>
                <w:color w:val="0000FF"/>
              </w:rPr>
              <w:t>8,568,966</w:t>
            </w:r>
          </w:p>
        </w:tc>
        <w:tc>
          <w:tcPr>
            <w:tcW w:w="620" w:type="dxa"/>
            <w:vAlign w:val="bottom"/>
          </w:tcPr>
          <w:p>
            <w:pPr>
              <w:ind w:left="320"/>
              <w:spacing w:after="0" w:line="122"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ind w:left="2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-1762125</wp:posOffset>
            </wp:positionV>
            <wp:extent cx="27940" cy="1767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176720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0"/>
          <w:szCs w:val="20"/>
          <w:color w:val="auto"/>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July 30, 2024, the reporting person was granted 2,352,935 of 2024 RSUs, and 1,176,467 RSUs vested on July 30, 2025.</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includes shares of Common Stock beneficially owned by the reporting person but excludes other unvested RSUs.</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withheld by the Company to satisfy the tax withholding obligation associated with the vesting of 1,176,467 of 2024 RSUs previously granted on July 30, 2024.</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unit represents a contingent right to receive one (1) share of Tilray Common Stock.</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("RSU") represents a contingent right to receive one (1) share of Common Stock. Grant date is based on close of trading on July 29, 2025.</w:t>
      </w:r>
    </w:p>
    <w:p>
      <w:pPr>
        <w:spacing w:after="0" w:line="44" w:lineRule="exact"/>
        <w:rPr>
          <w:rFonts w:ascii="Times New Roman" w:cs="Times New Roman" w:eastAsia="Times New Roman" w:hAnsi="Times New Roman"/>
          <w:sz w:val="12"/>
          <w:szCs w:val="12"/>
          <w:color w:val="008000"/>
        </w:rPr>
      </w:pPr>
    </w:p>
    <w:p>
      <w:pPr>
        <w:ind w:left="40" w:right="220" w:hanging="6"/>
        <w:spacing w:after="0" w:line="267"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Subject to the reporting person's continuous employment through the vesting date, the LTIP RSUs shall vest in two (2) equal annual installments, commencing on July 29, 2026, and July 29, 2027, except in the case of the reporting person's earlier voluntary resignation, death or disability. In the event of a voluntary termination by the reporting person prior to the vesting date, all RSUs will be forfeited.</w:t>
      </w:r>
    </w:p>
    <w:p>
      <w:pPr>
        <w:spacing w:after="0" w:line="20"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Carl A. Merton, as Attorney-</w:t>
            </w: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5"/>
              </w:rPr>
              <w:t>07/31/2025</w:t>
            </w:r>
          </w:p>
        </w:tc>
        <w:tc>
          <w:tcPr>
            <w:tcW w:w="0" w:type="dxa"/>
            <w:vAlign w:val="bottom"/>
          </w:tcPr>
          <w:p>
            <w:pPr>
              <w:spacing w:after="0"/>
              <w:rPr>
                <w:sz w:val="1"/>
                <w:szCs w:val="1"/>
                <w:color w:val="auto"/>
              </w:rPr>
            </w:pPr>
          </w:p>
        </w:tc>
      </w:tr>
      <w:tr>
        <w:trPr>
          <w:trHeight w:val="77"/>
        </w:trPr>
        <w:tc>
          <w:tcPr>
            <w:tcW w:w="1660" w:type="dxa"/>
            <w:vAlign w:val="bottom"/>
            <w:tcBorders>
              <w:top w:val="single" w:sz="8" w:color="auto"/>
            </w:tcBorders>
            <w:vMerge w:val="restart"/>
          </w:tcPr>
          <w:p>
            <w:pPr>
              <w:spacing w:after="0" w:line="175" w:lineRule="exact"/>
              <w:rPr>
                <w:sz w:val="20"/>
                <w:szCs w:val="20"/>
                <w:color w:val="auto"/>
              </w:rPr>
            </w:pPr>
            <w:r>
              <w:rPr>
                <w:rFonts w:ascii="Times New Roman" w:cs="Times New Roman" w:eastAsia="Times New Roman" w:hAnsi="Times New Roman"/>
                <w:sz w:val="16"/>
                <w:szCs w:val="16"/>
                <w:color w:val="0000FF"/>
                <w:w w:val="97"/>
              </w:rPr>
              <w:t>in-Fact for Irwin D Simon</w:t>
            </w:r>
          </w:p>
        </w:tc>
        <w:tc>
          <w:tcPr>
            <w:tcW w:w="360" w:type="dxa"/>
            <w:vAlign w:val="bottom"/>
            <w:tcBorders>
              <w:top w:val="single" w:sz="8" w:color="auto"/>
            </w:tcBorders>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660" w:type="dxa"/>
            <w:vAlign w:val="bottom"/>
            <w:tcBorders>
              <w:top w:val="single" w:sz="8" w:color="auto"/>
              <w:bottom w:val="single" w:sz="8" w:color="auto"/>
            </w:tcBorders>
            <w:vMerge w:val="continue"/>
          </w:tcPr>
          <w:p>
            <w:pPr>
              <w:spacing w:after="0"/>
              <w:rPr>
                <w:sz w:val="6"/>
                <w:szCs w:val="6"/>
                <w:color w:val="auto"/>
              </w:rPr>
            </w:pPr>
          </w:p>
        </w:tc>
        <w:tc>
          <w:tcPr>
            <w:tcW w:w="360" w:type="dxa"/>
            <w:vAlign w:val="bottom"/>
            <w:tcBorders>
              <w:top w:val="single" w:sz="8" w:color="auto"/>
            </w:tcBorders>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1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20" w:type="dxa"/>
            <w:vAlign w:val="bottom"/>
            <w:gridSpan w:val="2"/>
          </w:tcPr>
          <w:p>
            <w:pPr>
              <w:ind w:left="1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0"/>
          <w:szCs w:val="20"/>
          <w:color w:val="auto"/>
        </w:rPr>
      </w:pPr>
    </w:p>
    <w:p>
      <w:pPr>
        <w:jc w:val="both"/>
        <w:ind w:left="40" w:right="4040" w:hanging="6"/>
        <w:spacing w:after="0" w:line="316" w:lineRule="auto"/>
        <w:tabs>
          <w:tab w:leader="none" w:pos="168"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0922748" TargetMode="External"/><Relationship Id="rId14" Type="http://schemas.openxmlformats.org/officeDocument/2006/relationships/hyperlink" Target="http://www.sec.gov/cgi-bin/browse-edgar?action=getcompany&amp;CIK=00017313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2025-07-31T17:18:53Z</dcterms:created>
  <dcterms:modified xsi:type="dcterms:W3CDTF">2025-07-31T17:18:53Z</dcterms:modified>
</cp:coreProperties>
</file>