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8, 2024</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ind w:right="1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Steven M. Cohen to the Board of Directors of Tilray Brands, Inc.</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8, 2024, the board of directors of Tilray Brands, Inc. (the “Company”) appointed, effective immediately, Steven M. Cohen to serve on the Company’s board of directors as a Class III board member for the balance of the term expiring at Tilray’s 2027 Annual Meeting of Stockholders and until his successor has been duly elected and qualified, or until his earlier death, resignation or removal. The board of directors has determined that Mr. Cohen meets the requirements for independence under the applicable listing standards of The Nasdaq Stock Market LLC and the Securities Exchange Act of 1934, as amended, for his role on the Board and any committee, as applicable.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Cohen is the Interim Chief Executive Officer of AYR Wellness Inc., where he had served as an outside legal advisor prior to his appointment in September 2024. He is also an adjunct professor at New York Law School where he teaches courses in corporate law. Mr. Cohen previously served as Chief Administrative Officer and General Counsel of MacAndrews &amp; Forbes Incorporated, and served as a Director of Whole Earth Brands until earlier this year. He also served as Secretary to New York Governor Andrew M. Cuomo, in addition to serving as Counselor and Chief of Staff in the Office of the New York Attorney General under Attorney General Cuomo. In private practice, Mr. Cohen has represented a wide array of corporations and individuals in complex commercial, criminal, and regulatory matters. He previously served as the Chief of the Violent Gangs Unit in the U.S. Attorney’s Office for the Southern District of New York. Mr. Cohen received his B.A. from New York University and his J.D. from the University of Pennsylvania Law School. He is a member of the New York University Board of Trustees and University of Pennsylvania Law School Board of Advisors. He previously served as the NY Trustee of the Gateway Development Corporation and as the Vice Chairman of the Port Authority of NY &amp; NJ.</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Mr. Cohen will be entitled to receive cash and equity compensation in accordance with Tilray’s non-employee director compensation policy currently in effect. Mr. Cohen expects to enter into the Company’s form of indemnification agreement, which is filed as Exhibit 10.4 to the Company’s Annual Report on Form 10-K filed with the SEC on 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2024</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2024-12-13T15:30:16Z</dcterms:created>
  <dcterms:modified xsi:type="dcterms:W3CDTF">2024-12-13T15:30:16Z</dcterms:modified>
</cp:coreProperties>
</file>