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September 16, 2024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Tilray Brands,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001-38594</w:t>
            </w:r>
          </w:p>
        </w:tc>
        <w:tc>
          <w:tcPr>
            <w:tcW w:w="200" w:type="dxa"/>
            <w:vAlign w:val="bottom"/>
          </w:tcPr>
          <w:p>
            <w:pPr>
              <w:spacing w:after="0"/>
              <w:rPr>
                <w:sz w:val="21"/>
                <w:szCs w:val="21"/>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82-4310622</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175"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265 Talbot Street West, Leamington, Ontario, Canada, N8H 4H3</w:t>
      </w:r>
    </w:p>
    <w:p>
      <w:pPr>
        <w:spacing w:after="0" w:line="31"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(844) 845-7291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98" w:lineRule="auto"/>
        <w:tabs>
          <w:tab w:leader="none" w:pos="21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45"/>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34"/>
        </w:trPr>
        <w:tc>
          <w:tcPr>
            <w:tcW w:w="3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TLRY</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(Sec. 230.405 of this chapter) or Rule 12b-2 of the Securities Exchange Act of 1934 (Sec.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16, 2024, Tilray Brands, Inc., a Delaware corporation (“Tilray”), entered into an assignment and assumption agreement (the “Assignment and Assumption Agreement”) with Double Diamond Holdings Ltd. (“DDH”), an Ontario corporation, pursuant to which, among other things, Tilray acquired from DDH a promissory note in the amount of USD$23,791,657 (the “Note”) payable by 1974568 Ontario Limited (“Aphria Diamond”). DDH is a joint venturer with Aphria Inc., Tilray’s direct and wholly-owned subsidiary, in Aphria Diamond.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highlight w:val="white"/>
        </w:rPr>
        <w:t xml:space="preserve">As consideration for the Note, Tilray issued </w:t>
      </w:r>
      <w:r>
        <w:rPr>
          <w:rFonts w:ascii="Times New Roman" w:cs="Times New Roman" w:eastAsia="Times New Roman" w:hAnsi="Times New Roman"/>
          <w:sz w:val="18"/>
          <w:szCs w:val="18"/>
          <w:color w:val="auto"/>
        </w:rPr>
        <w:t>13,217,588</w:t>
      </w:r>
      <w:r>
        <w:rPr>
          <w:rFonts w:ascii="Times New Roman" w:cs="Times New Roman" w:eastAsia="Times New Roman" w:hAnsi="Times New Roman"/>
          <w:sz w:val="18"/>
          <w:szCs w:val="18"/>
          <w:color w:val="auto"/>
          <w:highlight w:val="white"/>
        </w:rPr>
        <w:t xml:space="preserve"> shares of its common stock</w:t>
      </w:r>
      <w:r>
        <w:rPr>
          <w:rFonts w:ascii="Times New Roman" w:cs="Times New Roman" w:eastAsia="Times New Roman" w:hAnsi="Times New Roman"/>
          <w:sz w:val="18"/>
          <w:szCs w:val="18"/>
          <w:color w:val="auto"/>
        </w:rPr>
        <w:t>, par value $0.0001 per share</w:t>
      </w:r>
      <w:r>
        <w:rPr>
          <w:rFonts w:ascii="Times New Roman" w:cs="Times New Roman" w:eastAsia="Times New Roman" w:hAnsi="Times New Roman"/>
          <w:sz w:val="18"/>
          <w:szCs w:val="18"/>
          <w:color w:val="auto"/>
          <w:highlight w:val="white"/>
        </w:rPr>
        <w:t xml:space="preserve"> (the “Consideration Shares”), to DDH.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of this Form 8-K is incorporated into this Item 3.02 by reference.</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Consideration Shares were issued in reliance on the exemption provided by Regulation S (“</w:t>
      </w:r>
      <w:r>
        <w:rPr>
          <w:rFonts w:ascii="Times New Roman" w:cs="Times New Roman" w:eastAsia="Times New Roman" w:hAnsi="Times New Roman"/>
          <w:sz w:val="18"/>
          <w:szCs w:val="18"/>
          <w:b w:val="1"/>
          <w:bCs w:val="1"/>
          <w:color w:val="auto"/>
        </w:rPr>
        <w:t>Regulation S</w:t>
      </w:r>
      <w:r>
        <w:rPr>
          <w:rFonts w:ascii="Times New Roman" w:cs="Times New Roman" w:eastAsia="Times New Roman" w:hAnsi="Times New Roman"/>
          <w:sz w:val="18"/>
          <w:szCs w:val="18"/>
          <w:color w:val="auto"/>
        </w:rPr>
        <w:t>”) of the Securities Act of 1933, as amended (the “Securities Act”), which permits offers or sales of securities by Tilray outside of the United States that are not made to “U.S. Persons” or for the account or benefit of a “U.S. Person”, as that term is defined in Rule 902 of Regulation 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underwriter participated in the offer and sale of the Consideration Shares, and no commission or other remuneration was paid or given directly or indirectly in connection therewith.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920" w:hanging="912"/>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320" w:type="dxa"/>
            <w:vAlign w:val="bottom"/>
          </w:tcPr>
          <w:p>
            <w:pPr>
              <w:spacing w:after="0"/>
              <w:rPr>
                <w:sz w:val="18"/>
                <w:szCs w:val="18"/>
                <w:color w:val="auto"/>
              </w:rPr>
            </w:pPr>
          </w:p>
        </w:tc>
      </w:tr>
      <w:tr>
        <w:trPr>
          <w:trHeight w:val="245"/>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392"/>
        </w:trPr>
        <w:tc>
          <w:tcPr>
            <w:tcW w:w="24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5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Opinion of DLA Piper LLP (US).</w:t>
            </w:r>
          </w:p>
        </w:tc>
      </w:tr>
      <w:tr>
        <w:trPr>
          <w:trHeight w:val="237"/>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98"/>
        </w:trPr>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TILRAY, INC.</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September 17, 2024</w:t>
      </w:r>
      <w:r>
        <w:rPr>
          <w:sz w:val="20"/>
          <w:szCs w:val="20"/>
          <w:color w:val="auto"/>
        </w:rPr>
        <w:tab/>
      </w:r>
      <w:r>
        <w:rPr>
          <w:rFonts w:ascii="Times New Roman" w:cs="Times New Roman" w:eastAsia="Times New Roman" w:hAnsi="Times New Roman"/>
          <w:sz w:val="18"/>
          <w:szCs w:val="18"/>
          <w:color w:val="auto"/>
        </w:rPr>
        <w:t>By: /s/ Mitchell Gendel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Mitchell Gendel</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Global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148715" cy="7289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4871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Tilray Brands,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265 Talbot Street West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Leamington, Ontario, Canada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acting as counsel to Tilray Brands,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offering of 13,217,588 shares of its common stock, par value $0.0001, to be sold by certain selling stockholders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as described in the Prospectus (as defined below), pursuant to a Registration Statement on Form S-3 (Registration Statement No. 333-267788)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the prospectus included in the Registration Statement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and the prospectus supplement, dated September 17, 2024, filed with the Commission pursuant to Rule 424(b) of the Rules and Regulations of the Act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and together with the Base Prospectus,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The Registration Statement was filed with the Commission and became automatically effective on October 7, 2022.</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counsel for the Company, we have examined originals or copies, certified or otherwise identified to our satisfaction, of such documents, corporate records, certificates of public officials and other instruments as we have deemed necessary for the purposes of rendering this opinion and we are familiar with the proceedings taken and proposed to be taken by the Company in relation to the registration of the resale of the Shares. In our examination, we have assumed the genuineness of all signatures, the authenticity of all documents submitted to us as originals and the conformity with the originals of all documents submitted to us as copies. This opinion letter is given, and all statements herein are made, in the context of the foregoing.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opinion letter is based as to matters of law solely on the Delaware General Corporation Law, as amended. We express no opinion herein as to any other laws, statutes, ordinances, rules, or regulations. As used herein, the term “Delaware General Corporation Law, as amended” includes the statutory provisions contained therein, all applicable provisions of the Delaware Constitution and reported judicial decisions interpreting these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subject to and limited by the foregoing, we are of the opinion that the Shares are validly issued, fully paid and non-assessable.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opinion letter has been prepared for use in connection with the Prospectus Supplement. We assume no obligation to advise you of any changes in the foregoing subsequent to the date of the Prospectus Supplement.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5.1 to the Company’s Current Report on Form 8-K to be filed with the Commission on or about September 17, 2024, which will be incorporated by reference in the Registration Statement, and the reference to us under the caption “Legal Matters” in the Prospectus Supplement, which is a part of the Registration Statement. In giving such consent, we do not hereby admit that we are acting within the category of persons whose consent is required under Section 7 of the Act or the rules or regulations of the Commission thereunder.</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2024-09-17T07:38:45Z</dcterms:created>
  <dcterms:modified xsi:type="dcterms:W3CDTF">2024-09-17T07:38:45Z</dcterms:modified>
</cp:coreProperties>
</file>