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Looney Thomas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TILRAY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265 TALBOT STREET WEST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LEAMINGTON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N8H 4H3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CANADA (FEDERAL LEVEL)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Tilray Brands, Inc.</w:t>
              </w:r>
            </w:hyperlink>
            <w:r>
              <w:rPr/>
              <w:t xml:space="preserve"> [ </w:t>
            </w:r>
            <w:r>
              <w:rPr>
                <w:rFonts w:ascii="Times;serif" w:hAnsi="Times;serif"/>
                <w:color w:val="0000FF"/>
                <w:sz w:val="24"/>
                <w:shd w:fill="FFFFFF" w:val="clear"/>
              </w:rPr>
              <w:t>TLRY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43,104</w:t>
            </w:r>
            <w:r>
              <w:rPr>
                <w:rFonts w:ascii="Times;serif" w:hAnsi="Times;serif"/>
                <w:color w:val="008000"/>
                <w:position w:val="7"/>
                <w:sz w:val="16"/>
                <w:sz w:val="20"/>
                <w:shd w:fill="FFFFFF" w:val="clear"/>
              </w:rPr>
              <w:t>(1)(2)</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397,520</w:t>
            </w:r>
            <w:r>
              <w:rPr>
                <w:rFonts w:ascii="Times;serif" w:hAnsi="Times;serif"/>
                <w:color w:val="008000"/>
                <w:position w:val="7"/>
                <w:sz w:val="16"/>
                <w:sz w:val="20"/>
                <w:shd w:fill="FFFFFF" w:val="clear"/>
              </w:rPr>
              <w:t>(2)(3)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71"/>
        <w:gridCol w:w="906"/>
        <w:gridCol w:w="801"/>
        <w:gridCol w:w="891"/>
        <w:gridCol w:w="86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43,104</w:t>
            </w:r>
            <w:r>
              <w:rPr>
                <w:rFonts w:ascii="Times;serif" w:hAnsi="Times;serif"/>
                <w:color w:val="008000"/>
                <w:position w:val="7"/>
                <w:sz w:val="16"/>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43,104</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July 29, 2026, a total of 43,104 restricted stock units ("RSUs") vested. Each RSU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Effective December 2, 2025, Tilray implemented a 1-for-10 reverse stock split (the "Reverse Stock Split") of its outstanding shares of Common Stock. All RSUs and listed securities amounts have been adjusted to reflect the Reverse Stock Split.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Amount includes shares of Common Stock beneficially owned by the reporting person, but excludes other unvested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(1) share of Tilray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Subject to the reporting person's continuous service, the restricted stock units shall vest one year from the date of grant, with accelerated vesting solely upon death or disability prior to such date. In the event of a voluntary resignation by the reporting person prior to the vesting date, all restricted stock units will be forfeited.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A. Merton,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0605" TargetMode="External"/><Relationship Id="rId5" Type="http://schemas.openxmlformats.org/officeDocument/2006/relationships/hyperlink" Target="http://www.sec.gov/cgi-bin/browse-edgar?action=getcompany&amp;CIK=00017313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760</Words>
  <Characters>4092</Characters>
  <CharactersWithSpaces>4756</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