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00" w:right="1760" w:hanging="3792"/>
        <w:spacing w:after="0" w:line="391"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31, 2023</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October 2, 2023, the registrant had 730,289,573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 ended August 31, 2023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 by</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or expectations regarding our cost savings initiatives; our strategic initiatives, business strategy, supply chain, brand portfolio, product performance and expansion efforts; current or future macroeconomic trends; future corporate acquisitions and strategic transactions; and our synergies, cash savings and efficiencies anticipated from the integration of our completed acquisitions and strategic transactions.</w:t>
      </w:r>
    </w:p>
    <w:p>
      <w:pPr>
        <w:spacing w:after="0" w:line="200" w:lineRule="exact"/>
        <w:rPr>
          <w:sz w:val="20"/>
          <w:szCs w:val="20"/>
          <w:color w:val="auto"/>
        </w:rPr>
      </w:pPr>
    </w:p>
    <w:p>
      <w:pPr>
        <w:spacing w:after="0" w:line="20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2023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TILRAY BRANDS, INC.</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of United States dollars, 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773,029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429,667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973,785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2,008,843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 equity investees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4,402,250</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4,307,259</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190,682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432,979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977,316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980,000,000 common shares; 723,292,600 and 656,655,455 common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5,909,895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5,777,743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(2,487,032)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(2,415,507)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3,379,374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3,315,692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3,401,556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4,402,250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4,307,259</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176,949</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40,516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(income)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(12,816)</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(32,992)</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(58,583)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(55,863)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(65,794)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convertible notes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(2,525)</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(62,817)</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(52,654)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(128,611)</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(132,450)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691,189,382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575,301,374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691,189,382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575,301,374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3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1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532,674,887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5,382,367</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(20,764)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(962,851)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4,441,366</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equity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32,481,149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129,593</w:t>
            </w:r>
          </w:p>
        </w:tc>
      </w:tr>
      <w:tr>
        <w:trPr>
          <w:trHeight w:val="18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purchase HEXO convertible</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receivable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33,314,412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107,272</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HTI Convertible Note - conversion feature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9,055</w:t>
            </w:r>
          </w:p>
        </w:tc>
      </w:tr>
      <w:tr>
        <w:trPr>
          <w:trHeight w:val="18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 Diamond Holdings</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settlement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5,064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(1,189)</w:t>
            </w:r>
          </w:p>
        </w:tc>
      </w:tr>
      <w:tr>
        <w:trPr>
          <w:trHeight w:val="20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9,193</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non-controlling interests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(8,561)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(8,561)</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(73,482)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3,839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(128,611)</w:t>
            </w:r>
          </w:p>
        </w:tc>
      </w:tr>
      <w:tr>
        <w:trPr>
          <w:trHeight w:val="20"/>
        </w:trPr>
        <w:tc>
          <w:tcPr>
            <w:tcW w:w="3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600,954,939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5,641,348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(79,732)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(1,036,333)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37,839</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4,563,182</w:t>
            </w:r>
          </w:p>
        </w:tc>
      </w:tr>
      <w:tr>
        <w:trPr>
          <w:trHeight w:val="20"/>
        </w:trPr>
        <w:tc>
          <w:tcPr>
            <w:tcW w:w="3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656,655,455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5,777,743</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(46,610)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(2,415,507)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14,251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3,329,943</w:t>
            </w:r>
          </w:p>
        </w:tc>
      </w:tr>
      <w:tr>
        <w:trPr>
          <w:trHeight w:val="20"/>
        </w:trPr>
        <w:tc>
          <w:tcPr>
            <w:tcW w:w="3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HEXO acquisition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39,705,962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65,162</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 of contractual 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of control severance incurred from HEXO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r>
      <w:tr>
        <w:trPr>
          <w:trHeight w:val="19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 Diamond Holdings</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settlement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5,004,735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8,146</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HTI convertible note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17,148,541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3,912,481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(4,860)</w:t>
            </w:r>
          </w:p>
        </w:tc>
      </w:tr>
      <w:tr>
        <w:trPr>
          <w:trHeight w:val="19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component related to issuance of</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debt, net of issuance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8,257</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to non-controlling interests</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(7,891)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(7,891)</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(71,525)</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15,822</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(52,654)</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723,292,600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5,909,895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(43,561)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(2,487,032)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3,401,556</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(55,863)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recovery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capital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long-term investments &amp; equity investments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derivative instruments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(34,891)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(6,265)</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(46,269)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acquired from business acquisitions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effectively repurchased for employee withholding tax</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 and convertible debt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 and convertible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bank indebtedness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123,620</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74,734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179,132</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490,643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statement of cash flows cash and cash equivalents is $1,613 of restricted cash as of August 31, 2023, $nil as of May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interim consolidated financial statements (the “financial statements”) reflect the accounts of the Company for the quarterly period ended August 31, 2023.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2023 (the “Annual Report”). These unaudited condensed interim consolidated financial statements reflect all adjustments, which, in the opinion of management, are necessary for a fair presentation of the results for the interim periods presented. Interim results are not necessarily indicative of results for a full year.</w:t>
      </w:r>
    </w:p>
    <w:p>
      <w:pPr>
        <w:spacing w:after="0" w:line="19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These condensed interim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unaudited condensed interim consolidated financial statements, notes and tables have been rounded to the nearest thousand, except par values and per share amounts, unless otherwise indicated.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subsidiaries are included in the condensed interim consolidated financial statements from the date that control commences until the date that control ceases. A complete list of our subsidiaries that existed prior to our most recent year end is included in the Annual Report, except for the entities acquired within Note 6 (Business acquisitions), during the period ended August 31, 2023.</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classify term deposits and other investments that have maturities of greater than three months but less than one year as marketable securities. The fair value of marketable securities is based on quoted market prices for publicly traded securities. Marketable securities are carried at fair value with changes in fair value recorded in the statement of net loss and comprehensive loss, within the line, “Non-operating income (expense)”.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of entities over which the Company does not have a controlling financial interest or significant influence are classified as an equity investment and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is less than carrying values. Changes in value are recorded in the statement of net loss and comprehensive loss, within the line, “Non-operating income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adjusted for the Company’s share of undistributed earnings or losses, and impairment, if any, within “Interest in equity investees” on the balance sheets. The Company assesses investments in equity method investments when events or circumstances indicate that the carrying amount of the investment may be impaired. If it is determined that the current fair value of an equity method investment is less than the carrying value of the investment, the Company will assess if the shortfall is other than temporary (OTTI). Evidence of a loss in value might include, but would not necessarily be limited to, absence of an ability to recover the carrying amount of the investment or inability of the equity investee to sustain an earnings capacity that would justify the carrying amount of the investment. Once a determination is made that an OTTI exists, the investment is written down to its fair value in accordance with ASC 820 at the reporting date, which establishes a new cost basis.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Convertible notes receivable include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12 (Convertible debentures payable) are excluded from the calculation of basic and diluted earnings per share because the borrower of the shares is required under the share lending.</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months ended August 31, 2023 and August 31, 2022, the dilutive potential common share equivalents outstanding consisted of the following: 21,202,933 and 16,989,328 common shares from RSUs, 6,325,348 and 4,741,653 common shares from share options, 7,847,219 and 6,209,000 common shares for warrants and 77,819,141 and 36,687,326 common shares for convertible debentures, respectively.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through performance obligation, is transferred/provided to the customer in an amount that reflects the consideration we expect to be entitled to in exchange for the performance obligations.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accrued liabilities on the consolidated balance sheets, with the liability subsequently reduced when the taxes are remitted to the tax authority.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transaction price for the sale of goods or services, the Company considers the effects of variable consideration and the existence of significant financing components, if any.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enter into certain contracts for the sale of goods or services, which provide customers with rights of return, volume discounts, bonuses for volume/quality achievement, and/or sales allowances. In addition, the Company may provide in certain circumstances, a retrospective price reduction to a customer based primarily on inventory movement. The inclusion of these items may give rise to variable consideration. The Company uses the expected value method to estimate the variable consideration because this method provides the most accurate estimation of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12, 2022, the Company and HEXO Corp. ("HEXO") entered into various commercial transaction agreements, as described in Note 24 (Segment reporting), which included an advisory services arrangement. The fees associated with the advisory services arrangement were recognized as revenue when such services were provided to HEXO. Any payments that were received for such services in advance of performance were recognized as a contract liability. On June 22, 2023, the Company completed the acquisition of HEXO as described in Note 6 (Business acquisitions), simultaneously terminating the advisory services arrangement and other commercial transactions.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 - Joint Venture Formations</w:t>
      </w:r>
      <w:r>
        <w:rPr>
          <w:rFonts w:ascii="Times New Roman" w:cs="Times New Roman" w:eastAsia="Times New Roman" w:hAnsi="Times New Roman"/>
          <w:sz w:val="18"/>
          <w:szCs w:val="18"/>
          <w:color w:val="auto"/>
        </w:rPr>
        <w:t xml:space="preserve"> (Subtopic 805-60) Recognition and Initial Measurement (“ASU 2023-05”), which is intended to address the accounting for contributions made to a joint venture. ASU 2023-05 is effective for the Company beginning June 1, 2026. This update will be applied prospectively on or after the effective date of the amendments. The Company is currently evaluating the effect of adopting this ASU.</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(Subtopic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2021-08”), which is intended to improve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by addressing diversity in practice and inconsistency. The Company adopted the ASU 2021-08 beginning June 1, 2023, however, it did not have any impact on our condensed interim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Plants</w:t>
            </w:r>
          </w:p>
        </w:tc>
        <w:tc>
          <w:tcPr>
            <w:tcW w:w="3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19,152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102,711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89,801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trim</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inventory</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27,837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3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232,075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200,551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3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00" w:type="dxa"/>
            <w:vAlign w:val="bottom"/>
            <w:vMerge w:val="continue"/>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36,076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344,627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271,992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185,422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3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655,593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576,485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(160,974)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(146,818)</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494,619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50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Intangible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618,672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614,062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366,793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583,468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1,593,128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1,576,717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(209,716)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(187,088)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(415,844)</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973,785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As of August 31, 2023, included in licenses, permits &amp; applications is $183,660 of indefinite-lived intangible assets. As of May 31, 2023, there was $181,093 of indefinite-lived intangible assets included in Licenses, permits &amp; applications.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August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5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55,895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73,414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73,414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434,357</w:t>
            </w:r>
          </w:p>
        </w:tc>
        <w:tc>
          <w:tcPr>
            <w:tcW w:w="100" w:type="dxa"/>
            <w:vAlign w:val="bottom"/>
          </w:tcPr>
          <w:p>
            <w:pPr>
              <w:spacing w:after="0"/>
              <w:rPr>
                <w:sz w:val="18"/>
                <w:szCs w:val="18"/>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783,908</w:t>
            </w:r>
          </w:p>
        </w:tc>
      </w:tr>
      <w:tr>
        <w:trPr>
          <w:trHeight w:val="413"/>
        </w:trPr>
        <w:tc>
          <w:tcPr>
            <w:tcW w:w="388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5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2,640,669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2,640,669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77,470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(842,431)</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Montauk Brewing Company, Inc.</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7, 2022, Tilray acquired Montauk Brewing Company, Inc. (“Montauk”), a leading craft brewer company based in Montauk, New York, which expanded our distribution network with a strong brand in the tri-state region of the U.S. In consideration for the acquisition of Montauk, and after giving effect to post-closing adjustments, the Company paid an aggregate purchase price equal to $35,123, which was comprised of $28,701 in cash and the remainder through the issuance of 1,708,521 shares of Tilray's common stock (having a value of $6,422 at closing). In the event that Montauk achieves certain volume and/or EBITDA targets on or before December 31, 2025, the stockholders of Montauk shall be eligible to receive additional contingent cash consideration of up to $18,000. The Company determined that the closing date fair value of this contingent consideration was $10,245 based on the inputs disclosed in Note 23 (Fair value measurements).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table below summarizes fair value of the assets acquired and the liabilities assumed at the effective acquisition date.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28,701</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6,422</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10,245</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18,540</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13,650</w:t>
            </w:r>
          </w:p>
        </w:tc>
      </w:tr>
      <w:tr>
        <w:trPr>
          <w:trHeight w:val="216"/>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55,549</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4,851</w:t>
            </w:r>
          </w:p>
        </w:tc>
      </w:tr>
      <w:tr>
        <w:trPr>
          <w:trHeight w:val="216"/>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tcPr>
          <w:p>
            <w:pPr>
              <w:spacing w:after="0"/>
              <w:rPr>
                <w:sz w:val="18"/>
                <w:szCs w:val="18"/>
                <w:color w:val="auto"/>
              </w:rPr>
            </w:pPr>
          </w:p>
        </w:tc>
      </w:tr>
      <w:tr>
        <w:trPr>
          <w:trHeight w:val="250"/>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left="160" w:firstLine="486"/>
        <w:spacing w:after="0" w:line="261" w:lineRule="auto"/>
        <w:rPr>
          <w:sz w:val="20"/>
          <w:szCs w:val="20"/>
          <w:color w:val="auto"/>
        </w:rPr>
      </w:pPr>
      <w:r>
        <w:rPr>
          <w:rFonts w:ascii="Times New Roman" w:cs="Times New Roman" w:eastAsia="Times New Roman" w:hAnsi="Times New Roman"/>
          <w:sz w:val="18"/>
          <w:szCs w:val="18"/>
          <w:color w:val="auto"/>
        </w:rPr>
        <w:t>In the event that the Montauk acquisition had occurred on June 1, 2022, the Company would have had additional revenue of approximately $3,000 for the three months ended August 31, 2022 and net loss and comprehensive net loss would have increased by approximately $600 for the three months ended August 31, 2022, primarily as a result of amortization of the intangible assets acquired. This unaudited pro forma financial information does not reflect the realization of any expected ongoing synergies relating to the integration of Montauk.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HEXO Corp.</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22, 2023, Tilray acquired HEXO, a cannabis company in Canada (the “HEXO Acquisition”) for the purpose of expanding the Company’s revenue base, production capabilities around certain form factors and growth opportunities with the Redecan brand. In consideration for the HEXO Acquisition, the Company paid a total purchase price equivalent of $93,882, which consisted of stock consideration of $63,927, settlement of convertible notes receivable of $28,720, the fair value of HEXO stock-based compensation of $1,188 and the assumption of warrants of $47. In connection with the HEXO Acquisition, each outstanding HEXO common share was exchanged for 0.4352 of a share of Tilray common stock and each outstanding HEXO preferred share was exchanged for 0.7805 of a share of Tilray common stock. In the aggregate, the Company issued 39,705,962 shares of Tilray common stock, at a share price of $1.61 per share, in connection with the HEXO Acquisition. The Company intends to sell HEXO's Kirkland lake property and has recorded the value of the associated capital assets as an asset held for sale.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HEXO Acquisition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7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63,927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convertible notes receivable</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Warrants assumed</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HEXO stock-based compensation</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7,855</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70,782</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 equity investee</w:t>
            </w:r>
          </w:p>
        </w:tc>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139,237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Pr>
          <w:p>
            <w:pPr>
              <w:spacing w:after="0"/>
              <w:rPr>
                <w:sz w:val="18"/>
                <w:szCs w:val="18"/>
                <w:color w:val="auto"/>
              </w:rPr>
            </w:pPr>
          </w:p>
        </w:tc>
      </w:tr>
      <w:tr>
        <w:trPr>
          <w:trHeight w:val="25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Included in accounts payable and accrued liabilities was $12,856 of litigation settlement accruals as of June 22, 2023.</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the HEXO Acquisition had occurred on June 1, 2022, the Company would have had, on an unaudited proforma basis, additional revenue of approximately $7,000 and $20,000 for the three month period ended August 31, 2023 and 2022, respectively, and its net loss and comprehensive net loss would have increased by approximately $1,800 and $30,000 for the three month period ended August 31, 2023, and 2022, respectively. This unaudited pro forma financial information does not reflect the realization of any expected ongoing synergies relating to the integration of HEXO.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Truss Beverage Co.</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August 3, 2023, Tilray acquired the remaining 57.5% equity interest in Truss Beverage Co. ("Truss"), a cannabis beverage company, for $74 (CAD$100) in cash and $4,181 of contingent consideration from Molson Coors Canada ("Molson"). This represents the portion of Truss that had not been previously acquired as part of the HEXO Acquisition. The Company currently intends to divest Truss's assets and has recorded the value of the associated capital assets and lease obligations as an asset held for sale. The Company has agreed to pay Molson as contingent consideration an amount equal to 57.5% of any proceeds from any divesture, net of any costs and expenses associated with the disposition.</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investees</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r>
    </w:tbl>
    <w:p>
      <w:pPr>
        <w:sectPr>
          <w:pgSz w:w="11900" w:h="16838" w:orient="portrait"/>
          <w:cols w:equalWidth="0" w:num="1">
            <w:col w:w="11240"/>
          </w:cols>
          <w:pgMar w:left="320" w:top="605"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13,684</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5,408</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8"/>
                <w:szCs w:val="18"/>
                <w:color w:val="auto"/>
              </w:rPr>
            </w:pPr>
          </w:p>
        </w:tc>
      </w:tr>
      <w:tr>
        <w:trPr>
          <w:trHeight w:val="249"/>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the Truss acquisition had occurred on June 1, 2022 the Company would have had, on an unaudited proforma basis, additional revenue of approximately $3,000 and $5,000 for the three month period ended August 31, 2023 and 2022, respectively, and net loss and comprehensive net loss would have increased by approximately $700 and $1,000 for the three month period ended August 31, 2023, and 2022, respectively. This unaudited pro forma financial information does not reflect the realization of any expected ongoing synergies relating to the integration of Truss.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Convertible notes receivable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HEXO Convertible Note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HEXO Convertible Note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June 22, 2023, the Company completed the HEXO Acquisition as described in Note 6 (Business acquisitions). Concurrently with the closing of the HEXO Acquisition, the HEXO convertible note was converted for shares of HEXO.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MedMen Convertible Note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and, any accrued interest is added to the outstanding principal amount, and is to be paid at maturity of the MedMen Convertible Note. SH Acquisition was also granted “top-up” rights enabling it (and its limited partners) to maintain its percentage ownership (on an “as-converted” basis) in the event that MedMen issues equity securities. The Company’s ability to convert the MedMen Convertible Note and exercise the Warrants is dependent upon U.S. federal legalization of cannabis (a “Triggering Event”) or Tilray’s waiver of such requirement as well as any additional regulatory approvals. The MedMen Convertible Note has a maturity date of August 17, 2028.</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MedMen Convertible Note was based upon the fair value of the collateral assets net of disposal costs. In the prior year, the Company used the Black-Scholes model using the following assumptions: the risk-free rate of 3.50%; expected life of the convertible note; volatility of 70% based on comparable companies; forfeiture rate of nil; dividend yield of nil; probability of legalization between 0% and 60%; and, the exercise price of the respective conversion feature.</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interest income on the MedMen Convertible Note for the three months ended August 31, 2023, which would have increased its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Long term investments</w:t>
            </w: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8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3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413"/>
        </w:trPr>
        <w:tc>
          <w:tcPr>
            <w:tcW w:w="482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Accounts payable and accrued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78,971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August 31, 2023, the Company has not drawn on the line of credit. The operating line of credit is secured by a security interest on that certain real property located at 265 Talbot St. West, Leamington, Ontario.</w:t>
      </w:r>
    </w:p>
    <w:p>
      <w:pPr>
        <w:spacing w:after="0" w:line="176" w:lineRule="exact"/>
        <w:rPr>
          <w:sz w:val="20"/>
          <w:szCs w:val="20"/>
          <w:color w:val="auto"/>
        </w:rPr>
      </w:pPr>
    </w:p>
    <w:p>
      <w:pPr>
        <w:jc w:val="both"/>
        <w:ind w:firstLine="494"/>
        <w:spacing w:after="0" w:line="261" w:lineRule="auto"/>
        <w:tabs>
          <w:tab w:leader="none" w:pos="7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for €7,000 and €500 each, which bear interest at Euro Short-Term Rate ("ESTR") plus 2.50% and Euro Interbank Offered Rate ("EURIBOR") plus 3.75%, respectively. As of August 31, 2023, a total of €6,967 ($7,594) was drawn down from the available credit of €7,500. The operating line of credit for €7,000 are secured by an interest in the inventory of CC Pharma GmbH as well as the Densborn facility and underlying real property. The operating line of credit for €500 is unsecured.</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Four Twenty Corporation (“420”), a subsidiary of the Company, has a revolving credit facility of $30,000, which bears interest at SOFR plus an applicable margin. As of August 31, 2023, the Company has drawn $7,000 on the revolving line of credit. The revolving credit facility is secured by all of 420's assets and includes a corporate guarantee by a subsidiary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Credit facility - C$66,000 - Canadian prime interest rate plus an applicable margin, 3-year term, with a 10-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amortization, repayable in blended monthly payments, due in November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10,959</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2.15%,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€250 plus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due in December 2023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€1,200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fixed 4.26%,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€100 plus interest,</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December 2023</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a fixed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€94 plus interest,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due in April 2025</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a fixed rate of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due in August 2028</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with a 10-year amortization,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repayable in monthly installments of $57 plus interest, due in October 2030</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$70,000 -SOFR plus an applicable margin, 5-year term, repayable in quarterly installments of</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to $1,750 due in June 2028</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quarter ended August 31, 2023, Four Twenty Corporation ("420"), a wholly-owned subsidiary of the Company, repaid its $100,000 term loan and entered into a new secured credit agreement, which comprised of: (i) a $70,000 term loan facility, bearing interest at SOFR plus an applicable margin and having a maturity date of June 30, 2028 (the "420 Term Loan"), and (ii) a $20,000 delayed draw term loan facility, issued on the same terms as the $70,000 term loan facility (the "420 Delayed Draw Term Loan" and, together with the 420 Term Loan the "420 Secured Credit Agreement"). The 420 Term Loan was fully drawn on June 30, 2023. The 420 Delayed Draw Term Loan was fully drawn subsequent to August 31, 2023, as described in Note 25 (Subsequent events). Under the terms of the 420 Secured Credit Agreement, the Company pledged all of Sweetwater, Breckenridge and Montauk’s assets and the related equity interest, and Tilray Brands, Inc. provided a limited guarantee.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August 31, 2023, the Company and its subsidiaries, were in compliance with its covenants under its long-term debt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Convertible debentures payable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50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("TLRY 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120,861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100,476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HTI Convertible Note</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47,834</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("APHA 24")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("TLRY 23")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126,544</w:t>
            </w:r>
          </w:p>
        </w:tc>
        <w:tc>
          <w:tcPr>
            <w:tcW w:w="100" w:type="dxa"/>
            <w:vAlign w:val="bottom"/>
          </w:tcPr>
          <w:p>
            <w:pPr>
              <w:spacing w:after="0"/>
              <w:rPr>
                <w:sz w:val="18"/>
                <w:szCs w:val="18"/>
                <w:color w:val="auto"/>
              </w:rPr>
            </w:pPr>
          </w:p>
        </w:tc>
      </w:tr>
      <w:tr>
        <w:trPr>
          <w:trHeight w:val="210"/>
        </w:trPr>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174,378</w:t>
            </w:r>
          </w:p>
        </w:tc>
        <w:tc>
          <w:tcPr>
            <w:tcW w:w="100" w:type="dxa"/>
            <w:vAlign w:val="bottom"/>
          </w:tcPr>
          <w:p>
            <w:pPr>
              <w:spacing w:after="0"/>
              <w:rPr>
                <w:sz w:val="18"/>
                <w:szCs w:val="18"/>
                <w:color w:val="auto"/>
              </w:rPr>
            </w:pPr>
          </w:p>
        </w:tc>
      </w:tr>
      <w:tr>
        <w:trPr>
          <w:trHeight w:val="25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120,861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221,044</w:t>
            </w:r>
          </w:p>
        </w:tc>
      </w:tr>
      <w:tr>
        <w:trPr>
          <w:trHeight w:val="413"/>
        </w:trPr>
        <w:tc>
          <w:tcPr>
            <w:tcW w:w="8020" w:type="dxa"/>
            <w:vAlign w:val="bottom"/>
            <w:tcBorders>
              <w:top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HTI Convertible Note</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50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debenture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(2,166)</w:t>
            </w:r>
          </w:p>
        </w:tc>
      </w:tr>
      <w:tr>
        <w:trPr>
          <w:trHeight w:val="249"/>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12, 2022, the Company issued a $50,000 convertible promissory note to HTI ("HTI Convertible Note"), bearing a 4% interest rate payable on a quarterly basis and having a maturity date of September 1, 2023. On August 31, 2023, the Company settled in full the HTI Convertible Note through the issuance of shares as described in Note 14 (Stockholder's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TLRY 27</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(49,524)</w:t>
            </w: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totaling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23 and APHA 24,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will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 conversion price of approximately $2.66 per share. The conversion rate and conversion price will be subject to adjustment upon the occurrence of certain events.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APHA 24</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(213,260)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(213,260)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(16,172)</w:t>
            </w: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120,568</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APHA 24 convertible debentures, were entered into in April 2019, in the principal amount of $350,000, bear interest at a rate of 5.25% per annum, payable semi-annually in arrears on June 1 and December 1 of each year, and mature on June 1, 2024, unless earlier converted (the APHA 24 Notes"). The APHA 24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w:t>
      </w:r>
    </w:p>
    <w:p>
      <w:pPr>
        <w:sectPr>
          <w:pgSz w:w="11900" w:h="16936" w:orient="portrait"/>
          <w:cols w:equalWidth="0" w:num="1">
            <w:col w:w="11240"/>
          </w:cols>
          <w:pgMar w:left="320" w:top="846" w:right="339" w:bottom="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TLRY 23 and TLRY 27,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Holders of the APHA 24 Notes may convert all or any portion of such note, in multiples of $1 principal amount, at their option at any time between December 1, 2023 to the maturity date of June 1, 2024. The initial conversion which the Company may settle in cash, or common shares of Tilray, or a combination thereof, at Tilray's election, is equivalent to an initial conversion price of approximately $11.20 per common share, subject to adjustments in certain events. In addition, holders of the APHA 24 Notes may convert all or any portion of their notes, in multiples of $1 principal amount, at their option at any time preceding December 1, 2023, if:</w:t>
      </w:r>
    </w:p>
    <w:p>
      <w:pPr>
        <w:spacing w:after="0" w:line="183" w:lineRule="exact"/>
        <w:rPr>
          <w:sz w:val="20"/>
          <w:szCs w:val="20"/>
          <w:color w:val="auto"/>
        </w:rPr>
      </w:pPr>
    </w:p>
    <w:p>
      <w:pPr>
        <w:ind w:left="820" w:hanging="326"/>
        <w:spacing w:after="0" w:line="261"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sales price of the common shares for at least 20 trading days during a period of 30 consecutive trading days immediately preceding fiscal quarter is greater than or equal to 130% of the conversion price on each applicable trading day;</w:t>
      </w:r>
    </w:p>
    <w:p>
      <w:pPr>
        <w:jc w:val="both"/>
        <w:ind w:left="820" w:hanging="326"/>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five consecutive trading day period (the “measurement period”) in which the trading price per $1 principal amount of the APHA 24 Notes for each trading day of the measurement period is less than 98% of the product of the last reported sale price of the Company’s common shares and the conversion rate on each such trading day;</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calls any or all of the APHA 24 Notes for redemption or;</w:t>
      </w:r>
    </w:p>
    <w:p>
      <w:pPr>
        <w:spacing w:after="0" w:line="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occurrence of a specified corporate event.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was not able to redeem the APHA 24 prior to June 6, 2022, except upon the occurrence of certain changes in tax laws. On or after June 6, 2022, the Company may redeem for cash all or part of the APHA 24,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1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w:t>
      </w:r>
      <w:r>
        <w:rPr>
          <w:rFonts w:ascii="Times New Roman" w:cs="Times New Roman" w:eastAsia="Times New Roman" w:hAnsi="Times New Roman"/>
          <w:sz w:val="18"/>
          <w:szCs w:val="18"/>
          <w:i w:val="1"/>
          <w:iCs w:val="1"/>
          <w:color w:val="auto"/>
        </w:rPr>
        <w:t>825 Fair Value Measurements</w:t>
      </w:r>
      <w:r>
        <w:rPr>
          <w:rFonts w:ascii="Times New Roman" w:cs="Times New Roman" w:eastAsia="Times New Roman" w:hAnsi="Times New Roman"/>
          <w:sz w:val="18"/>
          <w:szCs w:val="18"/>
          <w:color w:val="auto"/>
        </w:rPr>
        <w:t xml:space="preserve"> for the APHA 24. The APHA 24 was initially recognized at fair value on the balance sheet. All subsequent changes in fair value, excluding the impact of the change in fair value related to instrument-specific credit risk are recorded in non-operating income. The changes in fair value related to instrument-specific credit risk is recorded through other comprehensive income (loss).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seek to retire or purchase its APHA 24, in open market purchases, privately negotiated transactions or otherwise. Such purchases or exchanges, if any, will depend on prevailing market conditions, the company's liquidity requirements, contractual restrictions and other factors. During the previous fiscal year, the Company purchased $122,500 principal of APHA 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overall change in fair value of APHA 24 during the quarter ended August 31, 2023 decreased by $3,885, this was comprised of $2,147 of fair value changes which was offset by the decrease in foreign exchange of $1,738 ( August 31, 2022 – $7,884 of fair value changes, offset by a decrease in foreign exchange of $8,367).</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at August 31, 2023, there was $136,740 principal outstanding as compared to on May 31, 2023 there was $136,740 of principal outstanding.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August 31, 2023 and 2022, the Company recognized total interest expense of $1,795 and $3,403,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TLRY 23</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Contractual debenture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277,856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paid</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(150,526)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(150,526)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126,544</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TLRY 23 bears interest at a rate of 5.00% per annum, payable semi-annually in arrears on April 1 and October 1 of each year. Additional interest may accrue on the TLRY 23 in specified circumstances. The TLRY 23 will mature on October 1, 2023, unless earlier repurchased, redeemed or converted. There are no principal payments required over the five-year term of the TLRY 23, except in the case of redemption or events of default.</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TLRY 23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27 and APHA 24,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w:t>
      </w:r>
    </w:p>
    <w:p>
      <w:pPr>
        <w:spacing w:after="0" w:line="18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TLRY 23 includes customary covenants and sets forth certain events of default after which the convertible notes may be declared immediately due and payable, including certain types of bankruptcy or insolvency involving the Company. To the extent the Company so elects, the sole remedy for an event of default relating to certain failures by the Company to comply with certain reporting covenants, for the first 365 days after such event of default, consist exclusively of the right to receive additional interest on the notes. 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760,588 shares of common stock, based on the $127,330 aggregate principal amount of convertible notes outstanding as of August 31, 2023. Throughout the term of the TLRY 23, the conversion rate may be adjusted upon the occurrence of certain events.</w:t>
      </w:r>
    </w:p>
    <w:p>
      <w:pPr>
        <w:spacing w:after="0" w:line="18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 2023, the TLRY 23 will be convertible only under the specified circumstances. On or after April 1, 2023 until the close of business on the business day immediately preceding the maturity date, September 30, 2023, holders may convert all or any portion of their TLRY 23, in multiples of $1 principal amount, at the option of the holder regardless of the aforementioned circumstances. This note was repaid on maturity as described in Note 25 (Subsequent events).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As of August 31, 2023, the Company was in compliance with all the covenants set forth under the TLRY 23. The effective interest rate on the debt is 6.9%, the Company recognized interest expense of $1,592 and amortized discount interest of $593 for the three months ended August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Warrant liability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August 31, 2023 and May 31, 2023, there were 6,209,000 warrants outstanding, with an original exercise price of $5.95 per warrant, expiring March 17, 2025. Each warrant is exercisable for one common share of the Company.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three months ended August 31, 2023, the Company issued shares which triggered the anti-dilution price protection feature lowering the exercise price to $1.61.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warrants outstanding at August 31, 2023 at $1.613 per warrant using the Black Scholes pricing model (Level 3) with the following assumptions: Risk-free interest rate of 4.4%, expected volatility of 50%, expected term of 2.05 years, strike price of $1.61 and fair value of common stock of $2.96.</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Expected volatility is based on both historical and implied volatility of the Company’s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August 31, 2023, the Company had 980,000,000 common shares and 10,000,000 preferred shares authorized to be issued, with 723,292,600 common shares and nil preferred shares issued and outstanding. Historically, the Company has issued shares of its common stock as consideration for business acquisitions, including the settlement of convertible notes, the settlement of litigation claims, in connection with public offerings and as payment of dividends to non-controlling interests for profit distributions.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August 31, 2023, the Company issued the following common shares:</w:t>
      </w:r>
    </w:p>
    <w:p>
      <w:pPr>
        <w:spacing w:after="0" w:line="225"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39,705,962 shares in connection with the HEXO Acquisition, see Note 6 (Business acquisitions).</w:t>
      </w:r>
    </w:p>
    <w:p>
      <w:pPr>
        <w:spacing w:after="0" w:line="27"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865,426 shares to settle a contractual change of control severance in the amount of $1,500 incurred in connection with the HEXO Acquisition.</w:t>
      </w:r>
    </w:p>
    <w:p>
      <w:pPr>
        <w:spacing w:after="0" w:line="21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5,004,735 shares to settle dividends payable to the non-controlling shareholders of Aphria Diamond in the amount of $8,146.</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17,148,541 shares for the settlement of the HTI Convertible Note payable see Note 12 (Convertible debentures payable).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3,912,481 shares in connection with the exercise of previously awarded stock-based compensation awards.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maintains stock-based compensation plans as disclosed in our Annual Financial Statements. For the three months ended August 31, 2023 and 2022, the total stock-based compensation was $ 8,257 and $9,193 respectively.</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August 31, 2023 and 2022, the Company granted 11,559,549 and 5,747,938 time-based RSUs, respectively, and 7,566,146 and 2,540,394 performance-based RSUs, respectively. The 7,566,146 performance based RSUs issued during the quarter had performance conditions not yet finalized. The Company's total stock-based compensation expense recognized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32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4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tcPr>
          <w:p>
            <w:pPr>
              <w:spacing w:after="0"/>
              <w:rPr>
                <w:sz w:val="18"/>
                <w:szCs w:val="18"/>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9,193</w:t>
            </w:r>
          </w:p>
        </w:tc>
      </w:tr>
      <w:tr>
        <w:trPr>
          <w:trHeight w:val="413"/>
        </w:trPr>
        <w:tc>
          <w:tcPr>
            <w:tcW w:w="3260" w:type="dxa"/>
            <w:vAlign w:val="bottom"/>
            <w:tcBorders>
              <w:top w:val="single" w:sz="8" w:color="CCEEFF"/>
            </w:tcBorders>
          </w:tcPr>
          <w:p>
            <w:pPr>
              <w:spacing w:after="0"/>
              <w:rPr>
                <w:sz w:val="24"/>
                <w:szCs w:val="24"/>
                <w:color w:val="auto"/>
              </w:rPr>
            </w:pPr>
          </w:p>
        </w:tc>
        <w:tc>
          <w:tcPr>
            <w:tcW w:w="47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includes the following components: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 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(56,443)</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(58,968)</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(77,702)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(79,732)</w:t>
            </w:r>
          </w:p>
        </w:tc>
      </w:tr>
      <w:tr>
        <w:trPr>
          <w:trHeight w:val="197"/>
        </w:trPr>
        <w:tc>
          <w:tcPr>
            <w:tcW w:w="6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3,049</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2023</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(43,561)</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Non-controlling interests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information relating to the Company’s subsidiaries, SH Acquisition (68%), CC Pharma Nordic ApS (75%), Aphria Diamond (51%), and ColCanna S.A.S. (90%) before intercompany eliminations.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in which there is a non-controlling interest as of August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148,222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148,482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212,762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(156,097)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(53,469)</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83,259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151,678</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there is a non-controlling interest as of May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128,027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135,085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213,073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(150,417)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(54,625)</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136,058</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three months ended August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39,230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15,636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15,887</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23,594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23,343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23,511</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11,822</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15,822</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three months ended August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36,401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20,427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55,845</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72,934</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15,974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(55,845)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(36,533)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(10,114)</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(46,647)</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4,367</w:t>
            </w:r>
          </w:p>
        </w:tc>
      </w:tr>
      <w:tr>
        <w:trPr>
          <w:trHeight w:val="23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3,839</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reported income tax expense of $7,264 for the three months ended August 31, 2023, and income tax expense of $7,211 for the three months ended August 31, 2022. The income tax expense (benefit) in the current period varies from the US statutory income tax rate and prior period primarily due to the geographical mix of earnings and losses with no tax benefit resulting from valuation allowances in certain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has payments on long-term debt, refer to Note 11 (Long-term debt), convertible notes, refer to Note 12 (Convertible debentures payable),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166,977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66,829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436,570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264,070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56,525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3,675</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661,587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365,898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240,341</w:t>
            </w:r>
          </w:p>
        </w:tc>
        <w:tc>
          <w:tcPr>
            <w:tcW w:w="100" w:type="dxa"/>
            <w:vAlign w:val="bottom"/>
            <w:shd w:val="clear" w:color="auto" w:fill="CCEEFF"/>
          </w:tcPr>
          <w:p>
            <w:pPr>
              <w:spacing w:after="0"/>
              <w:rPr>
                <w:sz w:val="19"/>
                <w:szCs w:val="19"/>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980" w:type="dxa"/>
            <w:vAlign w:val="bottom"/>
            <w:gridSpan w:val="14"/>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 associated with lease liabilities as of August 31, 2023:</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(8,525)</w:t>
            </w:r>
          </w:p>
        </w:tc>
      </w:tr>
      <w:tr>
        <w:trPr>
          <w:trHeight w:val="209"/>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legal proceedings since our Annual Report on Form 10-K for the fiscal year ended May 31, 2023, except with respect to certain aspects of the legal proceedings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 Suits and Stockholder Derivative Suits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Authentic Brands Group Related Class Action (New York, United States)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SDNY entered an order appointing Saul Kassin as Lead Plaintiff and The Rosen Law Firm, P.A. as Lead Counsel. Lead Plaintiff filed an amended complaint on October 5, 2020, which asserts the same Sections 10(b) and 20(a) claims against the same defendants on largely the same theory, and includes new allegations that Tilray’s reported inventory, cost of sales, and gross margins in its financial reports during the class period were false and misleading because Tilray improperly recorded unsellable “trim” as inventory and understated the cost of sales for its products.</w:t>
      </w:r>
    </w:p>
    <w:p>
      <w:pPr>
        <w:spacing w:after="0" w:line="200" w:lineRule="exact"/>
        <w:rPr>
          <w:sz w:val="20"/>
          <w:szCs w:val="20"/>
          <w:color w:val="auto"/>
        </w:rPr>
      </w:pPr>
    </w:p>
    <w:p>
      <w:pPr>
        <w:spacing w:after="0" w:line="21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amended complaint in the Kasilingam litigation without prejudice. On December 3, 2021, the lead plaintiff filed a second amended complaint alleging similar claims against Tilray and Brendan Kennedy. The defendants moved to dismiss the second amended complaint on February 2, 2022. On September 28, 2022, the Court granted in part and denied in part the defendants’ motion to dismiss the second amended complaint. On October 12, 2022, the Company filed a motion for reconsideration and/or interlocutory appeal of this Court decision.</w:t>
      </w:r>
    </w:p>
    <w:p>
      <w:pPr>
        <w:spacing w:after="0" w:line="18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On August 21, 2023, the U.S. District Court granted Tilray’s motion for reconsideration and dismissed the second amended complaint with leave to amend one final time. Tilray continues to believe that all of the underlying claims are without merit, and that the plaintiff will not be able to fix the deficiencies in its claims as part of its amended complaint.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366" w:gutter="0" w:footer="0" w:header="0"/>
        </w:sectPr>
      </w:pPr>
    </w:p>
    <w:bookmarkStart w:id="26" w:name="page27"/>
    <w:bookmarkEnd w:id="26"/>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420 Investments Ltd. Litigation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February 21, 2020, 420 Investments Ltd., as Plaintiff (“420 Investments”), filed a lawsuit against Tilray Brands, Inc. and High Park Shops Inc. (“High Park”), as Defendants, in Calgary, Alberta in the Court of Queen’s Bench of Alberta. In August 2019, Tilray and High Park entered into an Arrangement Agreement with 420 Investments and others (the “Agreement”). Pursuant to the Agreement, High Park was to acquire the securities of 420 Investments. In February 2020, Tilray and High Park gave notice of termination of the Agreement. 420 Investments alleges that the termination was unlawful and without merit and further alleges that the Defendants had no legal basis to terminate. 420 Investments alleges that the Defendants did not meet their contractual and good faith obligations under the Agreement. 420 Investment seeks damages in the stated amount of C$110,000, plus C$20,000 in aggravated damages. The Tilray and High Park Statement of Defense and counterclaim were both filed on March 20, 2020. 420 Investment’s Statement of Defense to our counterclaim was filed on April 20, 2020. Respectively, 420 Investments and Tilray / High Park served each other with their Affidavits of Records (“AOR”) on August 25, 2020 and November 30, 2020. Tilray and High Park cross-examined the litigation representative of 420 Investments about its AOR with 420 Investments producing supplemental documents in August 2021 and 2022. Additional discovery may take place in the Fall of 2023. The Company denies the Plaintiff’s allegations and intends to vigorously defend this litigation matter, although there can be no assurance as to its outcome.</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Tilray and High Park filed an Application for Summary Judgment to collect an unpaid C$7,000 bridge loan to 420 Investments on August 28, 2019, relating to the subject transaction. That debt was repayable in March 2020, but was never repaid. application is pending and a decision from the Court is expected on Tilray’s Application for Summary Judgment in October or November 2023.</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made The</w:t>
      </w:r>
    </w:p>
    <w:p>
      <w:pPr>
        <w:spacing w:after="0" w:line="373" w:lineRule="exact"/>
        <w:rPr>
          <w:sz w:val="20"/>
          <w:szCs w:val="20"/>
          <w:color w:val="auto"/>
        </w:rPr>
      </w:pPr>
    </w:p>
    <w:p>
      <w:pPr>
        <w:sectPr>
          <w:pgSz w:w="11900" w:h="16838" w:orient="portrait"/>
          <w:cols w:equalWidth="0" w:num="2">
            <w:col w:w="10800" w:space="40"/>
            <w:col w:w="400"/>
          </w:cols>
          <w:pgMar w:left="320" w:top="603"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Docklight Litigation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November 5, 2021 Docklight Brands, Inc. (“Docklight”) filed a complaint against the Company and its wholly-owned subsidiary, High Park Holdings, Ltd. (“High Park”) in Superior Court of the State of Washington, King County. Docklight claimed breach of contract against High Park arising from a 2018 license agreement pursuant to which Docklight licensed certain Bob Marley-related brands to High Park (as amended in 2020 and 2021, the “High Park License”). In addition, Docklight brought a negligent misrepresentation claim against Tilray, alleging that certain individuals at Tilray or Aphria had made false statements to Docklight in order to induce Docklight to waive Docklight’s alleged right to terminate the High Park License for change-of-control on the basis of the 2021 Tilray-Aphria Arrangement Agreement. Docklight seeks injunctive relief as well as unspecified damages. On December 17, 2021, Defendants removed the case to the United States District Court, Federal District of Washington. Defendants’ answer to the complaint was filed January 21, 2022, and discovery is ongoing. Mediation was held April 2023, but the parties were unable to reach a resolution. Tilray and High Park continue to believe that the claims are without merit and we intend to continue to vigorously defend the Docklight suit. Recently, the parties have engaged in active settlement discussions to fully resolve Docklight’s claims.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litigation expense accrual included in accrued liabilities for the period ended August 31, 2023 was $35,138 to cover various ongoing litigation matters that are probable and estimable ( May 31, 2023 - $25,000). The increase of $10,138 from the prior period is due to the inclusion of the HEXO liabilities assumed, net of settlements during the quarter.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19. Net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reports its net revenue in four reporting segments: cannabis, distribution, beverage alcohol and wellness.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 is comprised of:</w:t>
      </w:r>
    </w:p>
    <w:p>
      <w:pPr>
        <w:spacing w:after="0" w:line="22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7"/>
          <w:szCs w:val="17"/>
          <w:b w:val="1"/>
          <w:bCs w:val="1"/>
          <w:color w:val="auto"/>
        </w:rPr>
        <w:t>For the three months</w:t>
      </w:r>
    </w:p>
    <w:p>
      <w:pPr>
        <w:spacing w:after="0" w:line="43"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ended August 31,</w:t>
      </w:r>
    </w:p>
    <w:p>
      <w:pPr>
        <w:sectPr>
          <w:pgSz w:w="11900" w:h="16838" w:orient="portrait"/>
          <w:cols w:equalWidth="0" w:num="1">
            <w:col w:w="11240"/>
          </w:cols>
          <w:pgMar w:left="320" w:top="846" w:right="339" w:bottom="1440" w:gutter="0" w:footer="0" w:header="0"/>
        </w:sect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Cannabis revenue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Cannabis excise taxes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cannabis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Beverage alcohol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Beverage alcohol excise taxes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beverage alcohol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revenue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Cost of goods sold</w:t>
      </w:r>
    </w:p>
    <w:p>
      <w:pPr>
        <w:spacing w:after="0" w:line="229"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8"/>
          <w:szCs w:val="18"/>
          <w:color w:val="auto"/>
        </w:rPr>
        <w:t>Cost of goods sold is comprised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70"/>
              <w:spacing w:after="0" w:line="205"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70"/>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r>
      <w:tr>
        <w:trPr>
          <w:trHeight w:val="21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12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75,689</w:t>
            </w:r>
          </w:p>
        </w:tc>
      </w:tr>
      <w:tr>
        <w:trPr>
          <w:trHeight w:val="234"/>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(17,119)</w:t>
            </w:r>
          </w:p>
        </w:tc>
      </w:tr>
      <w:tr>
        <w:trPr>
          <w:trHeight w:val="191"/>
        </w:trPr>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70,333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58,570</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21,863</w:t>
            </w:r>
          </w:p>
        </w:tc>
      </w:tr>
      <w:tr>
        <w:trPr>
          <w:trHeight w:val="234"/>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191"/>
        </w:trPr>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24,162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20,654</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60,585</w:t>
            </w:r>
          </w:p>
        </w:tc>
      </w:tr>
      <w:tr>
        <w:trPr>
          <w:trHeight w:val="234"/>
        </w:trPr>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13,402</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153,211</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-1285240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-1002665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-728345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888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3" w:lineRule="exact"/>
        <w:rPr>
          <w:sz w:val="20"/>
          <w:szCs w:val="20"/>
          <w:color w:val="auto"/>
        </w:rPr>
      </w:pPr>
    </w:p>
    <w:p>
      <w:pPr>
        <w:sectPr>
          <w:pgSz w:w="11900" w:h="16838" w:orient="portrait"/>
          <w:cols w:equalWidth="0" w:num="2">
            <w:col w:w="7280" w:space="720"/>
            <w:col w:w="3240"/>
          </w:cols>
          <w:pgMar w:left="320" w:top="84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Cannabis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Beverage alcohol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Distribution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General and administrative expenses</w:t>
      </w:r>
    </w:p>
    <w:p>
      <w:pPr>
        <w:spacing w:after="0" w:line="229"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General and administrative expenses are comprised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50,517</w:t>
            </w:r>
          </w:p>
        </w:tc>
        <w:tc>
          <w:tcPr>
            <w:tcW w:w="200" w:type="dxa"/>
            <w:vAlign w:val="bottom"/>
          </w:tcPr>
          <w:p>
            <w:pPr>
              <w:spacing w:after="0"/>
              <w:rPr>
                <w:sz w:val="16"/>
                <w:szCs w:val="16"/>
                <w:color w:val="auto"/>
              </w:rPr>
            </w:pPr>
          </w:p>
        </w:tc>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28,861</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10,849</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54,984</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9,903</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132,753</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104,597</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888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3" w:lineRule="exact"/>
        <w:rPr>
          <w:sz w:val="20"/>
          <w:szCs w:val="20"/>
          <w:color w:val="auto"/>
        </w:rPr>
      </w:pPr>
    </w:p>
    <w:p>
      <w:pPr>
        <w:sectPr>
          <w:pgSz w:w="11900" w:h="16838" w:orient="portrait"/>
          <w:cols w:equalWidth="0" w:num="2">
            <w:col w:w="7280" w:space="720"/>
            <w:col w:w="324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4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4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4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4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40,516</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40,508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18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type w:val="continuous"/>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22. Non-operating income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Non-operating income (expense) is comprised of:</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(2,147)</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(4,402)</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(32,992)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387"/>
        <w:spacing w:after="0" w:line="282" w:lineRule="auto"/>
        <w:rPr>
          <w:sz w:val="20"/>
          <w:szCs w:val="20"/>
          <w:color w:val="auto"/>
        </w:rPr>
      </w:pPr>
      <w:r>
        <w:rPr>
          <w:rFonts w:ascii="Times New Roman" w:cs="Times New Roman" w:eastAsia="Times New Roman" w:hAnsi="Times New Roman"/>
          <w:sz w:val="18"/>
          <w:szCs w:val="18"/>
          <w:color w:val="auto"/>
        </w:rPr>
        <w:t>Other non-operating (losses) gains, net for the three months ended August 31, 2023, includes amounts to settle outstanding notes with non-controlling interest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Company has classified its financial instruments as described in Note 3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our Annual Financial Statements.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At August 31, 2023 and May 31, 2023 the Company had long-term debt of $4,876 and $nil, respectively, and the principal portion of convertible debentures payable of $436,570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August 31, 2023 and May 31, 2023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177,519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177,519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287,333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287,333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(10,015)</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(20,181)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(124,453)</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467,543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(74,468)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394,061</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206,632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241,897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241,897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103,401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(27,107)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449,585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(40,440)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410,233</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notes receivable and long-term investments are recorded at fair value. The estimated fair value is determined using the Black Scholes option pricing model, probability of legalization and is classified as Level 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debentures payable are recorded at fair value when elected or required under US GAAP. Specifically, the APHA 24 instrument's estimated fair value is determined using the Black-Scholes option pricing model and is classified as Level 3.</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1.The Company classified securities with observable inputs as level 2 and without a quoted market price as Level 3.</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contingent consideration from the acquisitions of SweetWater, Montauk, and Truss due in December 2023, December 2025, and upon the triggering event respectively and are payable in cash, is determined by discounting future expected cash outflows at a discount rate in the range of 5% - 11.4%, respectively and probability of achievement of 25% and 90%. The unobservable inputs into the future expected cash outflows result in a fair value measurement classified as Level 3</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August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(124,453)</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APHA Convertible debentures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 - 11%</w:t>
            </w:r>
          </w:p>
        </w:tc>
        <w:tc>
          <w:tcPr>
            <w:tcW w:w="10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achievement</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25% - 90%</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Segment reporting</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reportable segments: (1) cannabis operations, which encompasses the production, distribution, sale, co-manufacturing and advisory services of both medical and adult-use cannabis, (2) beverage alcohol operations, which encompasses the production, marketing and sale of beverage alcohol products, (3) distribution operations, which encompasses the purchase and resale of pharmaceuticals products to customers, and (4) wellness products, which encompasses hemp foods and cannabidiol (“CBD”) products. This structure is in line with how our Chief Operating Decision Maker (“CODM”) assesses our performance and allocates resources.</w:t>
      </w:r>
    </w:p>
    <w:p>
      <w:pPr>
        <w:spacing w:after="0" w:line="18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120" w:type="dxa"/>
            <w:vAlign w:val="bottom"/>
          </w:tcPr>
          <w:p>
            <w:pPr>
              <w:spacing w:after="0"/>
              <w:rPr>
                <w:sz w:val="18"/>
                <w:szCs w:val="18"/>
                <w:color w:val="auto"/>
              </w:rPr>
            </w:pPr>
          </w:p>
        </w:tc>
        <w:tc>
          <w:tcPr>
            <w:tcW w:w="6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58,570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60,585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Beverage alcohol</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8"/>
                <w:szCs w:val="18"/>
                <w:color w:val="auto"/>
              </w:rPr>
            </w:pPr>
          </w:p>
        </w:tc>
        <w:tc>
          <w:tcPr>
            <w:tcW w:w="6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58,355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(26,551)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(17,119)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12, 2022, Tilray acquired the HEXO Convertible Note from HTI and also entered into a strategic alliance with HEXO Corp. (“HEXO”) as discussed in Note 7 (Convertible notes receivable) and Note 12 (Convertible debentures payable). In addition, the Company and HEXO entered into various commercial transaction agreements. On June 22, 2023, the Company completed the HEXO Acquisition as described in Note 6 (Business acquisitions), and thus these commercial arrangements were terminated and HEXO's financial results were consolidated in the current period results.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revenue from Canadian adult-use cannabis is $1,500 of advisory services revenue for the three months ended August 31, 2023 from the aforementioned HEXO commercial transaction agreements, compared to $7,753 in the prior comparative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Geographic net revenue: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82,192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66,041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153,211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384,091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319,173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107,131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494,619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429,667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months ended August 31, 2023 and 2022, there were no major customers representing a material contribution to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Subsequent Events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7, 2023, the Company entered into a securities and asset purchase agreement (the “Purchase Agreement”) by and among Anheuser-Busch Companies, LLC, Craft USA Holdings, LLC, Craft Brew Alliance, Inc. (collectively, “AB”), the Company and Tilray Beverages, LLC. Pursuant to the Purchase Agreement, Tilray will acquire from AB a portfolio of craft beer and beverage brands, assets and businesses related to Breckenridge Brewery, Blue Point, 10 Barrel, Redhook, Widmer Brothers, Square Mile, Shock Top and HiBall. The purchase price paid to AB at closing was equal to $85,000 in cash and is subject to working capital and other applicable closing adjustments. The acquisition closed on September 29, 2023 and $20,000 was borrowed under the 420 Delayed Draw Term Loan Agreement to fund part of the purchase price paid for the AB Transaction.</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September 12, 2023, the Company repurchased $20,000 of its TLRY 23 Notes for cancellation by issuing 7,000,000 shares and paying $610 of cash to settle both principal and accrued interest. After cancellation, the outstanding principal balance of the TLRY 23 Notes was $107,331.</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October 2, 2023, the Company repaid the remaining $107,331 of the TLRY 23 Notes in cash upon maturity.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in conjunction with the Condensed Interim Consolidated Financial Statements and the related Notes thereto for the period ended August 31, 2023 contained in this Quarterly Report on Form 10-Q and the Audited Consolidated Financial Statements and the related Notes thereto contained in our Annual Report on Form 10-K for the fiscal year ended May 31, 2023,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global cannabis-lifestyle and consumer packaged goods company headquartered in Leamington and New York, with operations in Canada, the United States, Europe, Australia, and Latin America that is changing people’s lives for the better – one person at a time – by inspiring and empowering a worldwide community to live their very best life, enhanced by moments of connection and wellbeing. Tilray’s mission is to be the most responsible, trusted and market leading cannabis consumer products company in the world with a portfolio of innovative, high-quality and beloved brands that address the needs of the consumers, customers and patients we serve.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market share in the industries in which we compete, achieve industry-leading, profitable growth and build sustainable, long-term shareholder value. In order to ensure the long-term sustainable growth of our Company, we continue to focus on developing strong capabilities in consumer insights, drive category management leadership and assess growth opportunities with the introduction of new products and entries into new geographies. In addition, we are relentlessly focused on managing our cost of goods and expenses in order to maintain our strong financial position.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at a rapid pace during the early periods following the federal legalization of adult-use cannabis. Through analysis of the current market conditions, the following key trends have emerged and are anticipated to influence the near-term future in the industry:</w:t>
      </w:r>
    </w:p>
    <w:p>
      <w:pPr>
        <w:spacing w:after="0" w:line="174" w:lineRule="exact"/>
        <w:rPr>
          <w:sz w:val="20"/>
          <w:szCs w:val="20"/>
          <w:color w:val="auto"/>
        </w:rPr>
      </w:pPr>
    </w:p>
    <w:p>
      <w:pPr>
        <w:jc w:val="both"/>
        <w:ind w:left="820" w:hanging="326"/>
        <w:spacing w:after="0" w:line="258"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Tilray continues to maintain its market leadership position in Canada. During the quarter, we experienced a significant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share in Canada, with our share increasing from 8.1% to a 13.4% from the immediately preceding quarter, as reported by Hifyre data for all provinces excluding Quebec where Weedcrawler was deemed more accurate. This increase was driven by the strategic acquisitions of HEXO and Truss during the quarter which contributed favorably to our increase in adult use revenue. We expect that during the next fiscal year, the contribution to our market share from these acquired lines of business will fluctuate until they are fully absorbed into our distribution channels.</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We have historically seen price compression in the market, when compared to the prior fiscal year, which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intense competition from the approximately 1,000 Licensed Producers in Canada. The price compression year over year has reduced the Company's revenue by approximately $3.1 million for the three months ended August 31, 2023, which affects our cannabis gross margin as well as our bottom line.</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Excise taxes. </w:t>
      </w:r>
      <w:r>
        <w:rPr>
          <w:rFonts w:ascii="Times New Roman" w:cs="Times New Roman" w:eastAsia="Times New Roman" w:hAnsi="Times New Roman"/>
          <w:sz w:val="18"/>
          <w:szCs w:val="18"/>
          <w:color w:val="auto"/>
        </w:rPr>
        <w:t>Given the impacts of the above-referenced price compression, excise tax continues to become a larger component of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is predominantly computed as a fixed price on grams sold rather than as a percentage of the selling price. The Cannabis Council of Canada has formed an Excise Task Force to present these challenges to the Ministry of Finance in Canada and continues to pursue reform. Additionally, as many as two-thirds of Canadian licensed producers had excise tax deficits owed, which they were unable to pay on time. The Company believes this may result in insolvencies and may be a key element of potential consolidation in the industry and we believe long term there is a possibility of some level of reform but it will likely not occur in the near term.</w:t>
      </w:r>
    </w:p>
    <w:p>
      <w:pPr>
        <w:spacing w:after="0" w:line="182" w:lineRule="exact"/>
        <w:rPr>
          <w:rFonts w:ascii="Times New Roman" w:cs="Times New Roman" w:eastAsia="Times New Roman" w:hAnsi="Times New Roman"/>
          <w:sz w:val="18"/>
          <w:szCs w:val="18"/>
          <w:i w:val="1"/>
          <w:iCs w:val="1"/>
          <w:color w:val="auto"/>
        </w:rPr>
      </w:pPr>
    </w:p>
    <w:p>
      <w:pPr>
        <w:jc w:val="both"/>
        <w:ind w:left="820" w:hanging="326"/>
        <w:spacing w:after="0" w:line="26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difference in recognizing synergized operating results</w:t>
      </w:r>
      <w:r>
        <w:rPr>
          <w:rFonts w:ascii="Times New Roman" w:cs="Times New Roman" w:eastAsia="Times New Roman" w:hAnsi="Times New Roman"/>
          <w:sz w:val="18"/>
          <w:szCs w:val="18"/>
          <w:color w:val="auto"/>
        </w:rPr>
        <w:t>. As we continue to acquire businesses such as HEXO and Truss, a large part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involves removing legacy costs from these businesses as part of our acquisition strategy. Once we have completed our full $27 million synergy plan for HEXO and integrated Truss's operations, we expect our operating results to be more profitable.</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facility utilization as a result of acquisitions</w:t>
      </w:r>
      <w:r>
        <w:rPr>
          <w:rFonts w:ascii="Times New Roman" w:cs="Times New Roman" w:eastAsia="Times New Roman" w:hAnsi="Times New Roman"/>
          <w:sz w:val="18"/>
          <w:szCs w:val="18"/>
          <w:color w:val="auto"/>
        </w:rPr>
        <w:t>. We continue to assess our facilities for further optimization or cost reduction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utilization is prioritized and our value chain is operating at its peak efficiency. During this period of facility optimization, we expect there to be a temporary short-term negative impact on our operating results until our capacity is optimized.</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identified trends have had impacts on the current period results of operations and are discussed in greater detail in the respective sections.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market trends: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cannabis industry in Europe is in its early stages of development whereby countries within Europe are at different stages of legalization of medical and adult-use cannabis as some countries have expressed a clear political ambition to legalize adult-use cannabis (Germany, Portugal, Luxembourg and Czech Republic), some are engaging in an experiment for adult-use (Netherlands, Switzerland) and some are debating regulations for cannabinoid-based medicine (France, Spain, Italy, and the United Kingdom). In Europe, we believe that, despite continuing recessionary economic conditions and the Russian conflict with Ukraine, cannabis legalization (both medicinal and adult-use) will continue to gain traction albeit more slowly than originally expected. We also continue to believe that Tilray remains uniquely positioned to maintain and gain significant market share in these markets with its infrastructure and its investments, which is comprised of two EU-GMP cultivation facilities within Europe located in Portugal and Germany, our distribution network and our demonstrated commitment to the availability, quality and safety of our cannabinoid-based medical products. Today, Germany remains the largest medical cannabis market in Europe.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state of cannabis legalization within Europe:</w:t>
      </w:r>
    </w:p>
    <w:p>
      <w:pPr>
        <w:spacing w:after="0" w:line="22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In late October 2022, the German government published key details of its plan to legalize and regulate adult-use cannabis, including what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Minister Karl Lauterbach described as “complete” cultivation within the country.</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Recently, Mr. Lauterbach advised that the proposal had been revised and that the new plan is a two-part model, which appears to be designed in order to legalize cannabis as broadly as possibly without running afoul of European Union rules. On July 6, 2023, it was announced that the draft regulations pertaining to decriminalization, home cultivation and non-commercial “cultivation associations” (i.e., social clubs) had been finalized by the health ministry and was ready to be delivered to the German parliament, which is expected to take place in the Fall of 2023.</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to provide consistent and sustainable cannabis products for the adult-use market whether only in-country cultivation is permitted or whether imports are also allowed given our Aphria RX facility located in Germany and our EU-GMP-certified production facility in Portugal, as well as our distribution platform, which provides us with access to 13,000 pharmacies in Germany.</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In October 2021, Switzerland announced its intention to legalize cannabis by allowing production, cultivation, trade, and consumption.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meantime, a three-year pilot project commenced on January 30, 2023, which permits selected participants to purchase cannabis for adult-use in various pharmacies in Basel, and more recently in Zurich, to conduct studies on the cannabis market and its impact on Swiss society. It is the first trial for the legal distribution of adult-use cannabis containing THC in Europe.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The Spanish Congress' Health Committee has recently approved a Medical Cannabis Report that paves the way for a government-sponsored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 on medical cannabis. The Report explicitly opens the door to standardized preparations other than the drugs already approved, highlighting their advantages in relation to safety, security and stability; as well as the possibility to prescribe medical cannabis in community pharmacies and not only in hospitals, favoring the access to the patients that may need it.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France launched a two-year pilot experiment to supply approximately 3,000 patients with medical cannabis. To date, 2,300 patients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enrolled in the experiment, which has been extended for another year and is now ending March 2024 in order to collect more data and to adopt a legal framework. The first results of the experimentation are positive. Several independent agencies have produced reports that show the effectiveness of medical cannabis, especially in situations of chronic pain.</w:t>
      </w:r>
    </w:p>
    <w:p>
      <w:pPr>
        <w:spacing w:after="0" w:line="18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Czech Republic. </w:t>
      </w:r>
      <w:r>
        <w:rPr>
          <w:rFonts w:ascii="Times New Roman" w:cs="Times New Roman" w:eastAsia="Times New Roman" w:hAnsi="Times New Roman"/>
          <w:sz w:val="18"/>
          <w:szCs w:val="18"/>
          <w:color w:val="auto"/>
        </w:rPr>
        <w:t>The Czech Republic has discussed plans to launch a fully regulated adult-use cannabis market and is reviewing in the context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regulations.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Malta</w:t>
      </w:r>
      <w:r>
        <w:rPr>
          <w:rFonts w:ascii="Times New Roman" w:cs="Times New Roman" w:eastAsia="Times New Roman" w:hAnsi="Times New Roman"/>
          <w:sz w:val="18"/>
          <w:szCs w:val="18"/>
          <w:color w:val="auto"/>
        </w:rPr>
        <w:t>. In 2021, became the first country in the European Union to legalize personal possession of the drug and permit private “cannabis clubs,”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members can grow and share the drug.</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alcohol market trends: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beverage alcohol category, while more established, continues to shift with changes in consumer trends for the craft industry. Specifically, based on IRI data, for the last 13 weeks ended August 27, 2023, the US beer industry grew 3.14%, with craft beer growing 0.71%, a slight improvement from the immediately preceding quarter. Nationally SweetWater trends softened during the three months ended August 31, 2023, due to the timing of key marketing programming being pushed into our second quarter, while SweetWater’s home market remained in a growth trend, finishing an increased 5.9% in the quarter. SweetWater is expected to return to growth nationally at the start of the second quarter through programming and innovation. Early results from the launch of SweetWater’s latest innovation, Gummies, are encouraging, with the brand quickly becoming a top 3 offering in activated markets. Additionally, Montauk finished the period with an increased 9.2% growth based on IRI data for the aforementioned period, through sustained success in home markets and new market expansion. The Company anticipates continued growth through focused innovation, targeted marketing efforts, and gains in distribution across the portfolio of brands.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Breckenridge Distillery is a leader in the bourbon industry and continues to gain market share in both the vodka and gin markets. A primary growth objective is to continue expansion of market share across the United States, including expanding the national chain's footprint, to maintain a double-digit annual top-line growth. To ensure continued growth in the future, the company is focused on expanding the marketing strategy, highlighting its quality products. Recent media coverage includes coverage of newly released products, the expanded Denver Broncos Sponsorship, and recognition of the world class restaurant located at the distillery. The overall whiskey market continues to grow through premiumization and expanding into new target demographics. The Company expects its spirits business to continue to grow with the integration of the national distributer agreement with RNDC as well as new product offerings.</w:t>
      </w:r>
    </w:p>
    <w:p>
      <w:pPr>
        <w:spacing w:after="0" w:line="18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Manitoba Harvest’s branded hemp business continued to expand its U.S. and Canadian leading market share position this year. During the quarter, the Company successfully continued expansion of its Hemp Food portfolio into more accessible consumer formats with the continued launch of a breakthrough CBD wellness beverage, Happy Flower™. The Company will look to expand the Happy Flower™ brand with retail distribution into key markets, focusing on U.S. states with established CBD permissibility and sales momentum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the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costs as we combine acquired companies and continue to achieve synergies, which is offset by income generated in connection with the execution of these transactions. For the three months ended August 31, 2023, we incurred $8.5 million of transaction expenses, discussed further below.</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acquisition strategy has had a material impact on the Company’s results in the current quarter and we expect will continue into future periods generating accretive impacts for our stockholders. There are currently three primary cost saving initiatives as follows:</w:t>
      </w:r>
    </w:p>
    <w:p>
      <w:pPr>
        <w:spacing w:after="0" w:line="158"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HEXO acquisition:</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22, 2023, Tilray acquired HEXO Corp. (“HEXO”) as discussed in Note 6 (Business acquisitions). With the HEXO Acquisition, Tilray expects to achieve additional cost savings in excess of $27M on an annualized pre-tax basis, driven by synergies across production, sales, marketing, distribution, and corporate savings, with potential incremental upside resulting from consolidating packaging, procurement, freight, and logistics. This builds on Tilray’s substantial progress optimizing its Canadian cannabis operations discussed below. During the three months ended August 31, 2023, we have achieved $17.1 million of our synergy plan on an annualized run-rate basis of which $2.9 million represented actual cost savings during the period. As discussed in our trends section, these saving initiatives take time to implement, resulting in related benefits being realized over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Cannabis business cost reduction plan: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our fiscal year ended May 31, 2022, the Company launched a $30 million cost optimization plan of our existing cannabis business to solidify our position as an industry leading low-cost producer. The Company took decisive action to manage cash flow amid an evolving retail environment by identifying opportunities to leverage technology, supply chain, procurement, and packaging efficiencies while driving labor savings. In the current period ended August 31, 2023, we have achieved $22 million of our cost optimization plan on an annualized run-rate basis of which $21 million represented actual cost savings during the period. The amount achieved is comprised of the following items:</w:t>
      </w:r>
    </w:p>
    <w:p>
      <w:pPr>
        <w:spacing w:after="0" w:line="181" w:lineRule="exact"/>
        <w:rPr>
          <w:sz w:val="20"/>
          <w:szCs w:val="20"/>
          <w:color w:val="auto"/>
        </w:rPr>
      </w:pPr>
    </w:p>
    <w:p>
      <w:pPr>
        <w:ind w:left="1140" w:hanging="322"/>
        <w:spacing w:after="0" w:line="284"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Optimizing cultivation</w:t>
      </w:r>
      <w:r>
        <w:rPr>
          <w:rFonts w:ascii="Times New Roman" w:cs="Times New Roman" w:eastAsia="Times New Roman" w:hAnsi="Times New Roman"/>
          <w:sz w:val="18"/>
          <w:szCs w:val="18"/>
          <w:color w:val="auto"/>
        </w:rPr>
        <w:t>. We made impactful strides to right-size our cultivation footprint by maximizing our yield per plant and by honing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ability to flex production during optimal growing seasons to manage our cost to grow.</w:t>
      </w:r>
    </w:p>
    <w:p>
      <w:pPr>
        <w:spacing w:after="0" w:line="158" w:lineRule="exact"/>
        <w:rPr>
          <w:rFonts w:ascii="Times New Roman" w:cs="Times New Roman" w:eastAsia="Times New Roman" w:hAnsi="Times New Roman"/>
          <w:sz w:val="18"/>
          <w:szCs w:val="18"/>
          <w:color w:val="auto"/>
        </w:rPr>
      </w:pPr>
    </w:p>
    <w:p>
      <w:pPr>
        <w:ind w:left="1140" w:right="20" w:hanging="322"/>
        <w:spacing w:after="0" w:line="284"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Refining selling fees. </w:t>
      </w:r>
      <w:r>
        <w:rPr>
          <w:rFonts w:ascii="Times New Roman" w:cs="Times New Roman" w:eastAsia="Times New Roman" w:hAnsi="Times New Roman"/>
          <w:sz w:val="18"/>
          <w:szCs w:val="18"/>
          <w:color w:val="auto"/>
        </w:rPr>
        <w:t>We assessed our current product-to-market strategy to optimize our direct and controllable selling fees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revenue without compromising our sales strategy on a go-forward basis.</w:t>
      </w:r>
    </w:p>
    <w:p>
      <w:pPr>
        <w:spacing w:after="0" w:line="158" w:lineRule="exact"/>
        <w:rPr>
          <w:rFonts w:ascii="Times New Roman" w:cs="Times New Roman" w:eastAsia="Times New Roman" w:hAnsi="Times New Roman"/>
          <w:sz w:val="18"/>
          <w:szCs w:val="18"/>
          <w:color w:val="auto"/>
        </w:rPr>
      </w:pPr>
    </w:p>
    <w:p>
      <w:pPr>
        <w:jc w:val="both"/>
        <w:ind w:left="1140" w:hanging="322"/>
        <w:spacing w:after="0" w:line="267"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Reducing general and administrative costs</w:t>
      </w:r>
      <w:r>
        <w:rPr>
          <w:rFonts w:ascii="Times New Roman" w:cs="Times New Roman" w:eastAsia="Times New Roman" w:hAnsi="Times New Roman"/>
          <w:sz w:val="18"/>
          <w:szCs w:val="18"/>
          <w:color w:val="auto"/>
        </w:rPr>
        <w:t>. We remain focused on reducing operating expenses by leveraging innovative solutions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lean organization. We plan to further automate processes, reducing outside spend where efficient, and ensuring we are obtaining competitive pricing on our administrative services.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Cannabis business cost reduction plan:</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our fiscal year ended May 31 2023, the Company launched an $8.0 million cost optimization plan for our international cannabis business to adapt to changing market dynamics and slower than anticipated legalization in Europe. In the current period ended August 31, 2023, the Company achieved an annualized run-rate basis of $6.8 million of cost savings. This was driven by the integration of our Distribution and European cannabis business for redundant costs including headcount consolidation in addition to optimization of our facility utilization.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cost saving strategies, the Company has also executed the following strategic transactions during the quarter:</w:t>
      </w:r>
    </w:p>
    <w:p>
      <w:pPr>
        <w:spacing w:after="0" w:line="221"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Beverage Alcohol Acquisitions:</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7, 2023, the Company entered into a securities and asset purchase agreement (the “Purchase Agreement”) by and among Anheuser-Busch Companies, LLC, Craft USA Holdings, LLC, Craft Brew Alliance, Inc. (collectively, “AB”), the Company and Tilray Beverages, LLC. Pursuant to the Purchase Agreement, Tilray will acquire a portfolio of craft beer brands, assets and businesses from AB that includes Breckenridge Brewery, Blue Point, 10 Barrel, Redhook, Widmer Brothers, Square Mile, Shock Top and HiBall. The purchase price to be paid to AB at closing is expected to be equal to $85.0 million in cash, subject to working capital and other applicable closing adjustments. The acquisition closed on September 29, 2023 as described in Note 25 (Subsequent events), and is expected to be transformational to our growing beverage alcohol strategy.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can also be affected by economic, political, legislative, regulatory, legal actions, the global volatility and general market disruption resulting from geopolitical tensions, such as Russia's incursion into Ukraine. Economic conditions, such as recessionary trends, inflation, supply chain disruptions, interest and monetary exchange rates, and government fiscal policies, and the recent banking credit crises, can have a significant effect on operations. Accordingly, we could be affected by civil, criminal, environmental, regulatory or administrative actions, claims or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176,949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23,738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28,156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9,671</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7,248</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915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(income) costs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8,766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(13,184)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(4,413)</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(5,422)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(48,599)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(58,583)</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 to:</w:t>
      </w:r>
    </w:p>
    <w:p>
      <w:pPr>
        <w:spacing w:after="0" w:line="162" w:lineRule="exact"/>
        <w:rPr>
          <w:sz w:val="20"/>
          <w:szCs w:val="20"/>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allocation (“PPA”) fair value step up) for each reporting segment (Cannabis, Beverage alcohol,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purchase price allocation (“PPA”) fair value step up) for each reporting segment (Cannabis, Beverage alcohol,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these non-GAAP financial measures should be considered in addition to,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Measures to the most directly comparable GAAP financial measures, as well as a discussion of our adjusted gross margin, adjusted gross profit and adjusted EBITDA measures and the calculation of such measures.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three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following operating metrics and non-GAAP measures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70,333</w:t>
            </w:r>
          </w:p>
        </w:tc>
        <w:tc>
          <w:tcPr>
            <w:tcW w:w="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58,570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69,157</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60,585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20,654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13,297</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50,517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28,861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11,266</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10,849</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61,468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54,984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9,903</w:t>
            </w:r>
          </w:p>
        </w:tc>
      </w:tr>
      <w:tr>
        <w:trPr>
          <w:trHeight w:val="216"/>
        </w:trPr>
        <w:tc>
          <w:tcPr>
            <w:tcW w:w="7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gross profit (excluding PPA step-up)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49,302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49,721</w:t>
            </w: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Cannabis adjusted gross margin (excluding PPA step-up)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Beverage alcohol adjusted gross margin (excluding PPA step-up)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11,434</w:t>
            </w:r>
          </w:p>
        </w:tc>
        <w:tc>
          <w:tcPr>
            <w:tcW w:w="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13,531</w:t>
            </w:r>
          </w:p>
        </w:tc>
      </w:tr>
      <w:tr>
        <w:trPr>
          <w:trHeight w:val="216"/>
        </w:trPr>
        <w:tc>
          <w:tcPr>
            <w:tcW w:w="7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Cash and marketable securities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as at the period ended: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464,852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490,643</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291,981</w:t>
            </w:r>
          </w:p>
        </w:tc>
        <w:tc>
          <w:tcPr>
            <w:tcW w:w="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637,623</w:t>
            </w:r>
          </w:p>
        </w:tc>
      </w:tr>
    </w:tbl>
    <w:p>
      <w:pPr>
        <w:spacing w:after="0" w:line="177" w:lineRule="exact"/>
        <w:rPr>
          <w:sz w:val="20"/>
          <w:szCs w:val="20"/>
          <w:color w:val="auto"/>
        </w:rPr>
      </w:pPr>
    </w:p>
    <w:p>
      <w:pPr>
        <w:jc w:val="both"/>
        <w:ind w:firstLine="8"/>
        <w:spacing w:after="0"/>
        <w:tabs>
          <w:tab w:leader="none" w:pos="212" w:val="left"/>
        </w:tabs>
        <w:numPr>
          <w:ilvl w:val="0"/>
          <w:numId w:val="12"/>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 xml:space="preserve">Adjusted EBITDA, adjusted gross profit (excluding PPA step-up) and adjusted gross margin (excluding PPA step-up) for each of our segments, and cash and marketable securities are non-GAAP financial measures.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Use of Non-GAAP Measures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below for a reconciliation of these Non-GAAP Measures to our most comparable GAAP measure.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reporting segments revenue is comprised of revenues from our cannabis, distribution, beverage alcohol, and wellness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2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69,157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60,585</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8,572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0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23,738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413"/>
        </w:trPr>
        <w:tc>
          <w:tcPr>
            <w:tcW w:w="388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color w:val="auto"/>
        </w:rPr>
        <w:t>Our reporting segments revenue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w:t>
            </w:r>
          </w:p>
        </w:tc>
        <w:tc>
          <w:tcPr>
            <w:tcW w:w="660" w:type="dxa"/>
            <w:vAlign w:val="bottom"/>
            <w:tcBorders>
              <w:left w:val="single" w:sz="8" w:color="CCEEFF"/>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4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60,585</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20,654</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13,402</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175,962</w:t>
            </w:r>
          </w:p>
        </w:tc>
        <w:tc>
          <w:tcPr>
            <w:tcW w:w="660" w:type="dxa"/>
            <w:vAlign w:val="bottom"/>
            <w:tcBorders>
              <w:left w:val="single" w:sz="8" w:color="CCEEFF"/>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153,211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14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3"/>
        </w:trPr>
        <w:tc>
          <w:tcPr>
            <w:tcW w:w="460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Our geographic revenue is as follows:</w:t>
            </w:r>
          </w:p>
        </w:tc>
        <w:tc>
          <w:tcPr>
            <w:tcW w:w="20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160" w:type="dxa"/>
            <w:vAlign w:val="bottom"/>
          </w:tcPr>
          <w:p>
            <w:pPr>
              <w:spacing w:after="0"/>
              <w:rPr>
                <w:sz w:val="20"/>
                <w:szCs w:val="20"/>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11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93,521</w:t>
            </w:r>
          </w:p>
        </w:tc>
        <w:tc>
          <w:tcPr>
            <w:tcW w:w="660" w:type="dxa"/>
            <w:vAlign w:val="bottom"/>
            <w:tcBorders>
              <w:left w:val="single" w:sz="8" w:color="CCEEFF"/>
              <w:righ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48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79,704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4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176,949</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153,211</w:t>
            </w:r>
          </w:p>
        </w:tc>
        <w:tc>
          <w:tcPr>
            <w:tcW w:w="200" w:type="dxa"/>
            <w:vAlign w:val="bottom"/>
          </w:tcPr>
          <w:p>
            <w:pPr>
              <w:spacing w:after="0"/>
              <w:rPr>
                <w:sz w:val="18"/>
                <w:szCs w:val="18"/>
                <w:color w:val="auto"/>
              </w:rPr>
            </w:pPr>
          </w:p>
        </w:tc>
        <w:tc>
          <w:tcPr>
            <w:tcW w:w="160" w:type="dxa"/>
            <w:vAlign w:val="bottom"/>
          </w:tcPr>
          <w:p>
            <w:pPr>
              <w:jc w:val="right"/>
              <w:ind w:right="53"/>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61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Our geographic revenue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95,214</w:t>
            </w:r>
          </w:p>
        </w:tc>
        <w:tc>
          <w:tcPr>
            <w:tcW w:w="660" w:type="dxa"/>
            <w:vAlign w:val="bottom"/>
            <w:tcBorders>
              <w:left w:val="single" w:sz="8" w:color="CCEEFF"/>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82,192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4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75,116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66,041</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175,962</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153,211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Our geographic capital assets are as follows:</w:t>
            </w: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0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60" w:type="dxa"/>
            <w:vAlign w:val="bottom"/>
          </w:tcPr>
          <w:p>
            <w:pPr>
              <w:spacing w:after="0"/>
              <w:rPr>
                <w:sz w:val="24"/>
                <w:szCs w:val="24"/>
                <w:color w:val="auto"/>
              </w:rPr>
            </w:pPr>
          </w:p>
        </w:tc>
        <w:tc>
          <w:tcPr>
            <w:tcW w:w="1840" w:type="dxa"/>
            <w:vAlign w:val="bottom"/>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500" w:type="dxa"/>
            <w:vAlign w:val="bottom"/>
            <w:tcBorders>
              <w:top w:val="single" w:sz="8" w:color="auto"/>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384,091</w:t>
            </w:r>
          </w:p>
        </w:tc>
        <w:tc>
          <w:tcPr>
            <w:tcW w:w="940" w:type="dxa"/>
            <w:vAlign w:val="bottom"/>
            <w:tcBorders>
              <w:right w:val="single" w:sz="8" w:color="CCEEFF"/>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319,173</w:t>
            </w:r>
          </w:p>
        </w:tc>
        <w:tc>
          <w:tcPr>
            <w:tcW w:w="68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64,918</w:t>
            </w:r>
          </w:p>
        </w:tc>
        <w:tc>
          <w:tcPr>
            <w:tcW w:w="180" w:type="dxa"/>
            <w:vAlign w:val="bottom"/>
            <w:tcBorders>
              <w:right w:val="single" w:sz="8" w:color="CCEEFF"/>
            </w:tcBorders>
            <w:shd w:val="clear" w:color="auto" w:fill="CCEEFF"/>
          </w:tcPr>
          <w:p>
            <w:pPr>
              <w:spacing w:after="0"/>
              <w:rPr>
                <w:sz w:val="18"/>
                <w:szCs w:val="18"/>
                <w:color w:val="auto"/>
              </w:rPr>
            </w:pPr>
          </w:p>
        </w:tc>
        <w:tc>
          <w:tcPr>
            <w:tcW w:w="148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106,761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107,131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Borders>
              <w:right w:val="single" w:sz="8" w:color="CCEEFF"/>
            </w:tcBorders>
            <w:shd w:val="clear" w:color="auto" w:fill="CCEEFF"/>
          </w:tcPr>
          <w:p>
            <w:pPr>
              <w:spacing w:after="0"/>
              <w:rPr>
                <w:sz w:val="18"/>
                <w:szCs w:val="18"/>
                <w:color w:val="auto"/>
              </w:rPr>
            </w:pPr>
          </w:p>
        </w:tc>
        <w:tc>
          <w:tcPr>
            <w:tcW w:w="148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494,619</w:t>
            </w:r>
          </w:p>
        </w:tc>
        <w:tc>
          <w:tcPr>
            <w:tcW w:w="9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429,667</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64,952</w:t>
            </w:r>
          </w:p>
        </w:tc>
        <w:tc>
          <w:tcPr>
            <w:tcW w:w="18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Cannabis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71,195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58,355</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12,840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3,830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21,195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(26,551)</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(17,119)</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73,111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58,355</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14,756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3,355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22,967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(27,267)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(17,119)</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(10,148)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5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12,819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820" w:right="400" w:hanging="434"/>
        <w:spacing w:after="0" w:line="236" w:lineRule="auto"/>
        <w:tabs>
          <w:tab w:leader="none" w:pos="82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Revenue from Canadian medical cannabis decreased to $6.1 million for the three months ended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compared to revenue of $6.5 million for the prior year same period. On a constant currency basis revenue from Canadian medical cannabis decreased to $6.3 million for the three months ended August 31, 2023, compared to revenue of $6.5 million for the prior year same periods. While revenue was relatively consistent period over period and on a constant currency basis, the decrease in revenue from medical cannabis continues to be driven by increased competition from the adult-use recreational market and its related price compression impacting the medical cannabis market.</w:t>
      </w:r>
    </w:p>
    <w:p>
      <w:pPr>
        <w:spacing w:after="0" w:line="17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months ended August 31, 2023, our revenue from Canadian adult-use cannabis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to $71.2 million compared to revenue of $58.4 million and for the prior year same period. The increase in adult-use revenue was driven by organic growth from launching new product innovations from our existing brand portfolios as well as the increased revenue from the acquisition of HEXO on June 22, 2023, and Truss on August 3, 2023. Additionally, due to the decline in the Canadian dollar, on a constant currency basis, our revenue from Canadian adult-use cannabis increased to $73.1 million for the three months ended August 31, 2023. Offsetting the increase in the current period, was the reduction of advisory services revenue to $1.5 million from $7.8 million in the prior year comparative period as a result of the HEXO acquisition being completed during the quarter which terminated the previous strategic arrangement that was in place.</w:t>
      </w:r>
    </w:p>
    <w:p>
      <w:pPr>
        <w:spacing w:after="0" w:line="183"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increased to $5.3 million for the three months ended August 31, 2023,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of $0.4 million for the prior year same period. On a constant currency basis, revenue from wholesale cannabis increased to $5.5 million. The Company continues to believe that wholesale cannabis revenue will remain subject to quarter-to-quarter variability and is based on opportunistic sales. The wholesale transactions that occurred in the period aided with our liquidity initiatives to increase our cash flow from operations despite having unfavorable impacts on our gross margin and EBITDA of $(2.7) million.</w:t>
      </w:r>
    </w:p>
    <w:p>
      <w:pPr>
        <w:spacing w:after="0" w:line="179"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increased to $14.3 million for the three months ended August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revenue of $10.4 million for the prior year same period. Given the increase of the Euro against the U.S. Dollar when compared to the prior year quarter, on a constant currency basis, revenue from international cannabis was $13.8 million compared to $10.4 million in the prior year same period for the three months ended August 31, 2023. The increase in the period is largely driven by expansion into emerging international medical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Revenue from Distribution operations increased to $69.2 million for the three months ended August 31, 2023 compared to revenue of $60.6 million for the prior year same period. Revenue was positively impacted during the three month period from the increase of the Euro against the U.S. Dollar in the quarter, which when the impacts are eliminated on a constant currency basis, revenue was $67.0 million for the three months ended August 31, 2023. The increase in the period was driven by increased production capacity achieved through out-sourcing to third party production facilities as well as leveraging our own internal production and improved procurement processes, which has allowed CC Pharma to improve its product mix.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Beverage alcohol revenue</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Revenue from our Beverage alcohol operations increased to $24.2 million for the three months ended August 31, 2023, compared to revenue of $20.7 million for the prior year same period. The increase in the three month period relates primarily to our acquisition of Montauk which occurred on November 7, 2022, and is not reflected in the prior year comparative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Wellness revenue from Manitoba Harvest was relatively consistent at $13.3 million for the three months ended August 31, 2023 compared to $13.4 million from the prior year same period. On a constant currency basis for the three months ended August 31, 2023, Wellness revenue increased to $13.5 million from $13.4 million. Overall, sales remained relatively consistent period over period despite increasing pricing when compared to prior year to combat the inflation of ingredient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gross profit and gross margin for the three months ended August 31, 2023 and 2022,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70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270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ended August 31,</w:t>
            </w:r>
          </w:p>
        </w:tc>
        <w:tc>
          <w:tcPr>
            <w:tcW w:w="14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Cannabis</w:t>
            </w: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vs.</w:t>
            </w:r>
          </w:p>
        </w:tc>
        <w:tc>
          <w:tcPr>
            <w:tcW w:w="11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80" w:type="dxa"/>
            <w:vAlign w:val="bottom"/>
          </w:tcPr>
          <w:p>
            <w:pPr>
              <w:spacing w:after="0"/>
              <w:rPr>
                <w:sz w:val="17"/>
                <w:szCs w:val="17"/>
                <w:color w:val="auto"/>
              </w:rPr>
            </w:pPr>
          </w:p>
        </w:tc>
      </w:tr>
      <w:tr>
        <w:trPr>
          <w:trHeight w:val="19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70,333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58,570</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11,763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50,517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28,861</w:t>
            </w: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21,656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19,816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29,709</w:t>
            </w:r>
          </w:p>
        </w:tc>
        <w:tc>
          <w:tcPr>
            <w:tcW w:w="14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(9,893)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price accounting step-up</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4,516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4,516</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profit (1)</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24,332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29,709</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(5,377)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 (1)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w:t>
            </w:r>
          </w:p>
        </w:tc>
        <w:tc>
          <w:tcPr>
            <w:tcW w:w="1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83"/>
        </w:trPr>
        <w:tc>
          <w:tcPr>
            <w:tcW w:w="5840" w:type="dxa"/>
            <w:vAlign w:val="bottom"/>
            <w:tcBorders>
              <w:top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20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69,157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60,585</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8,572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61,468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54,984</w:t>
            </w: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6,484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7,689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5,601</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2,088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Beverage alcohol</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24,162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20,654</w:t>
            </w: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3,508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11,266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10,849</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12,896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9,805</w:t>
            </w: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3,091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Purchase price accounting step-up</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1,107</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profit (1)</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13,486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10,912</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2,574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margin (1)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Wellness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13,297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13,402</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9,502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9,903</w:t>
            </w:r>
          </w:p>
        </w:tc>
        <w:tc>
          <w:tcPr>
            <w:tcW w:w="14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3,795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3,499</w:t>
            </w: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296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183"/>
        </w:trPr>
        <w:tc>
          <w:tcPr>
            <w:tcW w:w="5840" w:type="dxa"/>
            <w:vAlign w:val="bottom"/>
            <w:tcBorders>
              <w:top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20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176,949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153,211</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23,738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132,753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104,597</w:t>
            </w: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28,156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44,196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48,614</w:t>
            </w:r>
          </w:p>
        </w:tc>
        <w:tc>
          <w:tcPr>
            <w:tcW w:w="14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price accounting step-up</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5,106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1,107</w:t>
            </w:r>
          </w:p>
        </w:tc>
        <w:tc>
          <w:tcPr>
            <w:tcW w:w="1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3,999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361%</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profit (1)</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49,302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49,721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 (1)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7" w:lineRule="auto"/>
        <w:tabs>
          <w:tab w:leader="none" w:pos="7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decreased during the three months ended August 31, 2023 to 28% from 51% for the prior year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impact of the non-cash fair value purchase price accounting step-up, adjusted gross margin during the three months ended August 31, 2023 decreased to 35% from 51% when comparing the same prior year period. The remaining decrease is a result of the termination of the HEXO advisory services agreement which contributed $1.5 million of gross profit in the current year compared to $7.8 million in the prior year and a significant wholesale transaction with a negative gross profit of $(2.7) million, which was entered into to optimize our inventory levels and prioritize the generation of positive operating cash flow. Combining these factors, adjusted gross cannabis margin would have been 39% compared 43% in the prior period and the remaining decrease in gross margin is due to price compression.</w:t>
      </w:r>
    </w:p>
    <w:p>
      <w:pPr>
        <w:spacing w:after="0" w:line="183"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of 11% for the three months ended August 31, 2023 increased from 9% for the same periods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increase in the three month period is attributed to a change in product mix as the Company continues to focus on higher margin sales and a decrease in its cost of goods driven by the outsourcing of production.</w:t>
      </w:r>
    </w:p>
    <w:p>
      <w:pPr>
        <w:spacing w:after="0" w:line="17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Beverage alcohol gross margin: </w:t>
      </w:r>
      <w:r>
        <w:rPr>
          <w:rFonts w:ascii="Times New Roman" w:cs="Times New Roman" w:eastAsia="Times New Roman" w:hAnsi="Times New Roman"/>
          <w:sz w:val="18"/>
          <w:szCs w:val="18"/>
          <w:color w:val="auto"/>
        </w:rPr>
        <w:t>Gross margin of 53% for the three months ended August 31, 2023 increased from 47% from the same period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Adjusted gross margin of 56% for the three months ended August 31, 2023 increased from 53% from the same periods in the prior year. The increase in beverage alcohol gross margin for the current three month period is a result of a change in sales mix between beer and spirits as well as the impacts of the Montauk acquisition that was not completed in the prior period comparison.</w:t>
      </w:r>
    </w:p>
    <w:p>
      <w:pPr>
        <w:spacing w:after="0" w:line="180"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of 29% for the three months ended August 31, 2023 increased from 26% from the same period in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gross margin is a result of increased pricing from the prior period, which was used to combat the impacts of higher input costs of seed ingredients as a result of inflation.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9,671</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7,248</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8,766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share-based compensation, selling, amortization, marketing and promotion, research and development, change in fair value of contingent consideration, impairments, litigation costs, restructuring costs and transaction (income) costs. These costs increased by $8.8 million to $78.6 million for the three months ended August 31, 2023 as compared to $69.8 million for the same period of the prior year. These changes period over period are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2023, general and administrative costs were relatively unchanged as compared to the prior year same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5,829</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2,339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9,193</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Executive compensation increased by 3% in the three months ended August 31, 2023. Executive compensation has remained generally consistent period over period.</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Office and general increased by 40% during the three months ended August 31, 2023. The increase for the three months is a result of the acquisition of Montauk and HEXO, which did not occur in the prior period.</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Salaries and wages decreased by 10% during the three months ended August 31, 2023. The decrease is primarily due to our focus on optimizing our cost structure and is offset by the inclusion of Montauk and HEXO employees, which were not in the prior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jc w:val="both"/>
        <w:ind w:firstLine="450"/>
        <w:spacing w:after="0" w:line="27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$8.3 million for the three months ended August 31, 2023 compared to $9.2 million for the same period in the prior year. The balance has remained relatively consistent period over period as this is based on the time-based vesting schedules.</w:t>
      </w:r>
    </w:p>
    <w:p>
      <w:pPr>
        <w:spacing w:after="0" w:line="39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Insurance expenses increased by 42% for the three months ended August 31, 2023 to $3.8 million from $2.7 million for the same period in the prior year. This increase was driven by the expanded polices required for our recently acquired HEXO and Montauk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For the three months ended August 31, 2023, the Company incurred selling costs of $6.9 million or 3.9% of net revenue as compared to $9.7 million and 6.3% of net revenue in the prior year period.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decrease in the three month period was related to the renegotiation of terms in one of our distributor relationships resulting in reduced variable fees. This impact was also emphasized in the three month period as a portion of our selling fees related to our Canadian adult-use cannabis with fixed components did not increase with the increase in our revenue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$22.2 million for the three months ended August 31, 2023 compared to $24.4 million in the prior year period. The decreased amortization in the period, is a result of the reduced intangible asset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2023, the Company incurred marketing and promotion costs of $8.5 million as compared to $7.2 million for the prior year period. The increase is due to the acquisition of HEXO and Montauk in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costs were $0.1 million during the three months ended August 31, 2023 compared to $0.2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relate to external costs associated with the development of new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23 (Fair value measurements). The Company currently has three contingent consideration liabilities of $3.0 million, $13.0 million and $4.2 million for the Sweetwater, Montauk, and Truss acquisitions, respectively, as of August 31, 2023 compared to $16.2 million, $10.9 million and $nil respectively as of May 31, 2023. The decrease in fair value of $11.1 million was driven by the lowered probability of achieving the incentive targets, primarily relating to Sweetwater.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2023, the Company recorded $2.0 million of litigation cost compared to an expense of $0.4 million for the prior period comparative. The increase is related to period to period variability as litigation is non-recurring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executing our acquisition strategy and strategic transactions, the Company has incurred non-recurring restructuring and exit costs associated with the integration efforts of these transactions. For the three months ended August 31, 2023, the Company incurred $0.9 million of restructuring costs compared to $nil for the prior period comparative. The restructuring charges for the three months ended August 31, 2023 are related to the HEXO cost optimizations occurring subsequent to acquisition and the operating costs of the Truss facility, which is classified as assets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Items classified as transaction (income) costs are non-recurring or extraordinary in nature and correspond largely to our acquisition and synergy strategy. The three months decrease of 166% from the prior year period is related to the following items:</w:t>
      </w:r>
    </w:p>
    <w:p>
      <w:pPr>
        <w:spacing w:after="0" w:line="162" w:lineRule="exact"/>
        <w:rPr>
          <w:sz w:val="20"/>
          <w:szCs w:val="20"/>
          <w:color w:val="auto"/>
        </w:rPr>
      </w:pPr>
    </w:p>
    <w:p>
      <w:pPr>
        <w:ind w:left="820" w:right="200" w:hanging="326"/>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period included costs associated with exit and closing costs on completing the HEXO Acquisition on June 22, 2023, including, but not limited to, discretionary incentive compensation payments of $5.8 million, transaction income from the loan amendment agreement of $(6.0) million, and HEXO director and office runoff insurance of $5.1 million;</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year period comparative, we recognized transaction income for a change in fair value of $18.3 million on the HTI Share Consideration’s purchase price derivative as a result of an increase in our share price on the shares paid for the HEXO convertible note receivable in the previous year. This did not recur in the current period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Non-operating (expense) income is comprised of:</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1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w:t>
            </w:r>
          </w:p>
        </w:tc>
        <w:tc>
          <w:tcPr>
            <w:tcW w:w="1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(32,992)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28,590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1" w:name="page52"/>
    <w:bookmarkEnd w:id="51"/>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For the three months ended August 31, 2023, the Company recognized a change in fair value of its convertible debentures payable of ($2.1) million compared to ($7.9) million in the prior year same periods. The change is driven primarily by the changes in the Company’s share price and the change in the trading price of the convertible debentures payable. Additionally, for the three months ended August 31, 2023, the Company recognized a change in fair value of its warrants, resulting in a loss of ($8.2) million compared to $1.5 million also as a result of the change in our share price and the exercise price of the instrument. For the three months ended August 31, 2023, the Company recognized a gain of $6.3 million, resulting from the changes in foreign exchange rates during the period, compared to losses of ($25.6) million for the prior year same periods, largely associated with the recovery of the Euro. Lastly, included in other non-operating (losses) gains, net for the three months ended August 31, 2023 was the disposal of an operating entity during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non-cash inventory valuation adjustments, purchase price accounting step-up on inventory, stock-based compensation, integration activities, transaction (income) costs, litigation costs, change in fair value of contingent consideration, unrealized currency gains and losses and other adjustments.</w:t>
      </w:r>
    </w:p>
    <w:p>
      <w:pPr>
        <w:spacing w:after="0" w:line="183"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months ended August 31, 2023, adjusted EBITDA decreased to $11.4 million compared to $13.5 million from the prior year same period. The decrease was primarily driven by the aforementioned negative impacts to our cannabis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16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(55,863)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7,211</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32,992</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(28,590)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9,193</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3,999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start-up and closure costs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3" w:name="page54"/>
    <w:bookmarkEnd w:id="53"/>
    <w:p>
      <w:pPr>
        <w:ind w:left="50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valuation adjustments;</w:t>
      </w:r>
    </w:p>
    <w:p>
      <w:pPr>
        <w:spacing w:after="0" w:line="252"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and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right="66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right="84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 for our German cultivation facilities and Columbian operations. The prior period also included start up costs for SweetWater Colorado and Malta facilities;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expense, to conform with competitors who report under IFRS;</w:t>
      </w:r>
    </w:p>
    <w:p>
      <w:pPr>
        <w:spacing w:after="0" w:line="252" w:lineRule="exact"/>
        <w:rPr>
          <w:rFonts w:ascii="Times New Roman" w:cs="Times New Roman" w:eastAsia="Times New Roman" w:hAnsi="Times New Roman"/>
          <w:sz w:val="18"/>
          <w:szCs w:val="18"/>
          <w:color w:val="auto"/>
        </w:rPr>
      </w:pPr>
    </w:p>
    <w:p>
      <w:pPr>
        <w:jc w:val="both"/>
        <w:ind w:left="820" w:right="10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includes costs related to legacy and non-operational litigation matters, legal settlements and recoveries;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right="40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purchase price accounting valuation step-up) and adjusted gross margin is our Gross margin (adjusted to exclude purchase price accounting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a short and long term outlook.</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Some of these actions may be less accretive to our adjusted EBITDA in the short term, however we believe that they will be required for our liquidity aspirations in the near term future. Additionally, the Company continues to invest our excess cash in the short-term in marketable securities which are comprised of U.S. treasury bills and term deposits with major Canadian banks.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will be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August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(15,842)</w:t>
            </w:r>
          </w:p>
        </w:tc>
        <w:tc>
          <w:tcPr>
            <w:tcW w:w="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(26,290)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123,620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490,643</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cash</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jc w:val="both"/>
        <w:ind w:left="780" w:hanging="327"/>
        <w:spacing w:after="0" w:line="258" w:lineRule="auto"/>
        <w:tabs>
          <w:tab w:leader="none" w:pos="7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operating activities was ($15.8) million for three months ended August 31, 2023 compared to ($46.3) million for the prior year same period. This decrease in cash used in the three month period was primarily related to improved operating efficiencies and increased management of our working capital requirements.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($26.3) million for three months ended August 31, 2023 compared to ($1.5) million for the prior year same period, and is a result of investing in marketable securities partially offset by cash acquired from the HEXO Acquisition, Note 6 (Business acquisitions).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cash provided by financing activities was $14.0 million for three months ended August 31, 2023 compared to $123.6 million for the prior year same period. In the current period, cash was provided by funds from the overallotment of TLRY 27 Notes and other long term debt, while in the comparative period a larger amount of cash was provided by the ATM capital raise.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25 </w:t>
      </w:r>
      <w:r>
        <w:rPr>
          <w:rFonts w:ascii="Times New Roman" w:cs="Times New Roman" w:eastAsia="Times New Roman" w:hAnsi="Times New Roman"/>
          <w:sz w:val="18"/>
          <w:szCs w:val="18"/>
          <w:i w:val="1"/>
          <w:i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from those addressed in the Company’s Annual Report on Form 10-K for the fiscal year ended May 31, 2023 during the three months ended August 31, 2023. See the information set forth in Part II, Item 7A, Quantitative and Qualitative Disclosures About Market Risk, of the Company’s Annual Report on Form 10-K for the fiscal year ended May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May 31, 2023,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Montauk Brewing Company, Inc., which we acquired on November 7, 2022, of HEXO Corp., which we acquired June 22, 2023 and of Truss Beverage Co. which we acquired August 3, 2023, and represented 1.3%, 3.2% and 0.3% of our consolidated assets and 1.5%, 7% and 0.9% of our consolidated revenues respectively as of and for the three months ended August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160" w:firstLine="450"/>
        <w:spacing w:after="0" w:line="25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Montauk Brewing Company, Inc. on November 7, 2022, HEXO Corp. on June 22, 2023 and Truss Beverage Co., on August 3, 2023. The Company is in the process of reviewing the internal control structure of Montauk Brewing Company, Inc., HEXO Corp., and Truss Beverage Co., if necessary, will make appropriate changes as it integrates them into the Company’s overall internal control over financial reporting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2023 includes a discussion of our legal proceedings. There have been no material changes from the legal proceedings described in our Form 10-K, except with respect to the matters disclosed and incorporated herein by reference to Note 18 (Commitments and contingencies), in the Notes to the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2023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acquired from Anheuser-Busch.</w:t>
      </w:r>
    </w:p>
    <w:p>
      <w:pPr>
        <w:spacing w:after="0" w:line="252"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Tilray and HEXO’s operations and realizing the expected benefits of the Arrangement.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ind w:left="820" w:right="6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61"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52"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and Montauk each face substantial competition in the beer industry or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right="66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820" w:right="80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experience difficulties achieving the expected benefits, including revenue and sales growth, of acquiring certain craft beer operations from Anheuser-Busch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ABI Acquisitions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success of the ABI Acquisitions will depend in part on our ability to achieve the expected business opportunities, revenue and sales growth prospects from the ABI Acquisitions in an efficient and effective manner. We may also not be able to fully realize the operational efficiencies and</w:t>
      </w:r>
    </w:p>
    <w:p>
      <w:pPr>
        <w:sectPr>
          <w:pgSz w:w="11900" w:h="16838" w:orient="portrait"/>
          <w:cols w:equalWidth="0" w:num="1">
            <w:col w:w="11240"/>
          </w:cols>
          <w:pgMar w:left="320" w:top="576" w:right="339"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associated cost synergies or leverage the potential business opportunities and growth prospects to the extent anticipated or at all.</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ABI Acquisitions were completed on September 29, 2023. Efforts to achieve expected benefits of the ABI Acquisitions may require substantial resources and divert management attention. Challenges associated with achieving such benefits may include those related to sales and marketing efforts across our expanded product portfolio, operational efficiency and production optimization, and effectively integrating the ABI Acquisitions into Tilray. If we are unable to successfully integrate certain aspects of the operations of the ABI Acquisitions or experience delays, we may incur unanticipated liabilities and be unable to fully realize the potential benefit of the revenue growth, synergies and other anticipated benefits resulting from the arrangement, and our business, results of operations and financial condition could be adversely affected. Some of these factors are outside our control, and any of them could delay or increase the cost of our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30, 2023, Tilray entered into an assignment and assumption agreement with Double Diamond Holdings Ltd. (“DDH”), an Ontario corporation, pursuant to which, among other things, Tilray acquired from DDH a promissory note in the amount of $8,057,622 (the “Note”) payable by 1974568 Ontario Limited (“Aphria Diamond”). DDH is a joint venturer with Aphria Inc. (Tilray’s wholly-owned subsidiary) in Aphria Diamond. As consideration for the Note, Tilray issued 5,004,735 shares of its common stock to DDH.</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of the foregoing issuances of Tilray’s common stock was made in reliance on the exemption provided by Section 4(a)(2) of the Securities Act of 1933, as amended, for the offer and sale of securities not involving a public offering. No underwriter participated in the offer and sale of the shares issued pursuant to the foregoing issuances, and no commission or other remuneration was paid or given directly or indirectly in connection therewith. Additionally, each of the foregoing issuance of Tilray's common stock was reported on a Form 8-K filed by the Company with the U.S.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 xml:space="preserve">Promissory note in the amount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8,057,622 payable by 1974568 Ontario Limited.</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320" w:type="dxa"/>
            <w:vAlign w:val="bottom"/>
            <w:gridSpan w:val="16"/>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Credit Agreement, effective August 31, 2023, by and among Four Twenty Corporation, certain subsidiaries and affiliates of Four</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 xml:space="preserve">Twenty Corporation, Bank of America, N.A., City National Bank, the lenders party thereto and BofA Securities, Inc. </w:t>
              </w:r>
              <w:r>
                <w:rPr>
                  <w:rFonts w:ascii="Times New Roman" w:cs="Times New Roman" w:eastAsia="Times New Roman" w:hAnsi="Times New Roman"/>
                  <w:sz w:val="18"/>
                  <w:szCs w:val="18"/>
                  <w:color w:val="000000"/>
                </w:rPr>
                <w:t>(incorporated by</w:t>
              </w:r>
            </w:hyperlink>
          </w:p>
        </w:tc>
        <w:tc>
          <w:tcPr>
            <w:tcW w:w="320" w:type="dxa"/>
            <w:vAlign w:val="bottom"/>
            <w:gridSpan w:val="4"/>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with the SEC on September 1, 2023)</w:t>
            </w:r>
          </w:p>
        </w:tc>
        <w:tc>
          <w:tcPr>
            <w:tcW w:w="1920" w:type="dxa"/>
            <w:vAlign w:val="bottom"/>
            <w:gridSpan w:val="5"/>
          </w:tcPr>
          <w:p>
            <w:pPr>
              <w:spacing w:after="0"/>
              <w:rPr>
                <w:sz w:val="20"/>
                <w:szCs w:val="20"/>
                <w:color w:val="auto"/>
              </w:rPr>
            </w:pP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Purchase Agreement, dated August 7, 2023, by and among Tilray, Anheuser-Busch Companies, LLC, Craft USA Holdings, LLC, Craft Brew</w:t>
              </w:r>
            </w:hyperlink>
          </w:p>
        </w:tc>
        <w:tc>
          <w:tcPr>
            <w:tcW w:w="1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6"/>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 xml:space="preserve">Alliance, Inc. and Tilray Beverages, LLC </w:t>
              </w:r>
            </w:hyperlink>
            <w:hyperlink r:id="rId75">
              <w:r>
                <w:rPr>
                  <w:rFonts w:ascii="Times New Roman" w:cs="Times New Roman" w:eastAsia="Times New Roman" w:hAnsi="Times New Roman"/>
                  <w:sz w:val="18"/>
                  <w:szCs w:val="18"/>
                  <w:color w:val="0000EE"/>
                </w:rPr>
                <w:t>(incorporated by reference to Exhibit 10.1 to the Company</w:t>
              </w:r>
            </w:hyperlink>
            <w:hyperlink r:id="rId74">
              <w:r>
                <w:rPr>
                  <w:rFonts w:ascii="Times New Roman" w:cs="Times New Roman" w:eastAsia="Times New Roman" w:hAnsi="Times New Roman"/>
                  <w:sz w:val="18"/>
                  <w:szCs w:val="18"/>
                  <w:color w:val="000000"/>
                </w:rPr>
                <w:t>’s Current Report on Form 8-K filed with</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the SEC on August 7, 2023).</w:t>
            </w:r>
          </w:p>
        </w:tc>
        <w:tc>
          <w:tcPr>
            <w:tcW w:w="2980" w:type="dxa"/>
            <w:vAlign w:val="bottom"/>
            <w:tcBorders>
              <w:top w:val="single" w:sz="8" w:color="auto"/>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Form of 2023 EBITDA PSU Equity Incentive Award.</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0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3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100" w:type="dxa"/>
            <w:vAlign w:val="bottom"/>
            <w:gridSpan w:val="7"/>
          </w:tcPr>
          <w:p>
            <w:pPr>
              <w:jc w:val="right"/>
              <w:ind w:right="1200"/>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August 31, 2023, formatted in</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October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October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NON INTEREST-BEARING DEMAND</w:t>
      </w:r>
    </w:p>
    <w:p>
      <w:pPr>
        <w:spacing w:after="0" w:line="207" w:lineRule="exact"/>
        <w:rPr>
          <w:sz w:val="20"/>
          <w:szCs w:val="20"/>
          <w:color w:val="auto"/>
        </w:rPr>
      </w:pPr>
    </w:p>
    <w:p>
      <w:pPr>
        <w:ind w:left="160"/>
        <w:spacing w:after="0"/>
        <w:tabs>
          <w:tab w:leader="none" w:pos="3920" w:val="left"/>
        </w:tabs>
        <w:rPr>
          <w:sz w:val="20"/>
          <w:szCs w:val="20"/>
          <w:color w:val="auto"/>
        </w:rPr>
      </w:pPr>
      <w:r>
        <w:rPr>
          <w:rFonts w:ascii="Times New Roman" w:cs="Times New Roman" w:eastAsia="Times New Roman" w:hAnsi="Times New Roman"/>
          <w:sz w:val="18"/>
          <w:szCs w:val="18"/>
          <w:color w:val="auto"/>
        </w:rPr>
        <w:t>Amount: USD $8,057,622</w:t>
      </w:r>
      <w:r>
        <w:rPr>
          <w:sz w:val="20"/>
          <w:szCs w:val="20"/>
          <w:color w:val="auto"/>
        </w:rPr>
        <w:tab/>
      </w:r>
      <w:r>
        <w:rPr>
          <w:rFonts w:ascii="Times New Roman" w:cs="Times New Roman" w:eastAsia="Times New Roman" w:hAnsi="Times New Roman"/>
          <w:sz w:val="18"/>
          <w:szCs w:val="18"/>
          <w:color w:val="auto"/>
        </w:rPr>
        <w:t>Due: On Demand</w:t>
      </w:r>
    </w:p>
    <w:p>
      <w:pPr>
        <w:spacing w:after="0" w:line="221" w:lineRule="exact"/>
        <w:rPr>
          <w:sz w:val="20"/>
          <w:szCs w:val="20"/>
          <w:color w:val="auto"/>
        </w:rPr>
      </w:pPr>
    </w:p>
    <w:p>
      <w:pPr>
        <w:ind w:left="16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the undersigned, 1974568 Ontario Limited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acknowledges itself indebted to and unconditionally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promises to pay to the order of ‎Double Diamond Holdings Ltd.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the principal amount of USD $$8,057,622 without interest, ON DEMAND.</w:t>
      </w:r>
    </w:p>
    <w:p>
      <w:pPr>
        <w:spacing w:after="0" w:line="17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The Corporation may at any time, without notice, bonus or penalty, pay all or part of the amount outstanding under the promissory note. This promissory note is non-assignable and non-transferable without the prior written consent of the Corporation.</w:t>
      </w:r>
    </w:p>
    <w:p>
      <w:pPr>
        <w:spacing w:after="0" w:line="162" w:lineRule="exact"/>
        <w:rPr>
          <w:sz w:val="20"/>
          <w:szCs w:val="20"/>
          <w:color w:val="auto"/>
        </w:rPr>
      </w:pPr>
    </w:p>
    <w:p>
      <w:pPr>
        <w:ind w:left="160" w:right="420"/>
        <w:spacing w:after="0" w:line="282" w:lineRule="auto"/>
        <w:rPr>
          <w:sz w:val="20"/>
          <w:szCs w:val="20"/>
          <w:color w:val="auto"/>
        </w:rPr>
      </w:pPr>
      <w:r>
        <w:rPr>
          <w:rFonts w:ascii="Times New Roman" w:cs="Times New Roman" w:eastAsia="Times New Roman" w:hAnsi="Times New Roman"/>
          <w:sz w:val="18"/>
          <w:szCs w:val="18"/>
          <w:color w:val="auto"/>
        </w:rPr>
        <w:t>This promissory note is issued pursuant to and shall be interpreted and enforced in accordance ‎with, and the obligations of the Corporation shall be governed by, the laws of the Province of ‎Ontario and the federal laws of Canada applicable therein.‎</w:t>
      </w:r>
    </w:p>
    <w:p>
      <w:pPr>
        <w:spacing w:after="0" w:line="162"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color w:val="auto"/>
        </w:rPr>
        <w:t>The Corporation hereby waives presentment for payment, notice of dishonour, protest and notice of protest, bringing of suit and diligence in taking any action.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Corporation has duly executed and delivered this promissory note.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as of the June 30, 2023.</w:t>
      </w:r>
    </w:p>
    <w:p>
      <w:pPr>
        <w:spacing w:after="0" w:line="3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1974568‎ ONTARIO LIMITED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Authorized Signing Officer</w:t>
      </w:r>
    </w:p>
    <w:p>
      <w:pPr>
        <w:sectPr>
          <w:pgSz w:w="11900" w:h="16838" w:orient="portrait"/>
          <w:cols w:equalWidth="0" w:num="1">
            <w:col w:w="11160"/>
          </w:cols>
          <w:pgMar w:left="320" w:top="121" w:right="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EXHIBIT 10.4</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2023 EBITDA PERFORMANCE AWARD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(AMENDED AND RESTATED 2018 EQUITY INCENTIVE PLAN)</w:t>
      </w:r>
    </w:p>
    <w:p>
      <w:pPr>
        <w:spacing w:after="0" w:line="203" w:lineRule="exact"/>
        <w:rPr>
          <w:sz w:val="20"/>
          <w:szCs w:val="20"/>
          <w:color w:val="auto"/>
        </w:rPr>
      </w:pPr>
    </w:p>
    <w:p>
      <w:pPr>
        <w:ind w:left="160"/>
        <w:spacing w:after="0" w:line="256" w:lineRule="auto"/>
        <w:rPr>
          <w:sz w:val="20"/>
          <w:szCs w:val="20"/>
          <w:color w:val="auto"/>
        </w:rPr>
      </w:pPr>
      <w:r>
        <w:rPr>
          <w:rFonts w:ascii="Times New Roman" w:cs="Times New Roman" w:eastAsia="Times New Roman" w:hAnsi="Times New Roman"/>
          <w:sz w:val="18"/>
          <w:szCs w:val="18"/>
          <w:color w:val="auto"/>
        </w:rPr>
        <w:t>Tilray,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Amended and Restated 2018 Equity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a Restricted Stock Unit Award for the number of shares of the Company’s Common Stock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2023 EBITDA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The Performance Award is subject to all of the terms and conditions as set forth in this notice of grant (this “</w:t>
      </w:r>
      <w:r>
        <w:rPr>
          <w:rFonts w:ascii="Times New Roman" w:cs="Times New Roman" w:eastAsia="Times New Roman" w:hAnsi="Times New Roman"/>
          <w:sz w:val="18"/>
          <w:szCs w:val="18"/>
          <w:b w:val="1"/>
          <w:bCs w:val="1"/>
          <w:i w:val="1"/>
          <w:iCs w:val="1"/>
          <w:color w:val="auto"/>
        </w:rPr>
        <w:t>Restricted Stock Unit Grant Notice</w:t>
      </w:r>
      <w:r>
        <w:rPr>
          <w:rFonts w:ascii="Times New Roman" w:cs="Times New Roman" w:eastAsia="Times New Roman" w:hAnsi="Times New Roman"/>
          <w:sz w:val="18"/>
          <w:szCs w:val="18"/>
          <w:color w:val="auto"/>
        </w:rPr>
        <w:t>”), and in the Plan and the Restricted Stock Unit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both of which are attached hereto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200" w:lineRule="exact"/>
        <w:rPr>
          <w:sz w:val="20"/>
          <w:szCs w:val="20"/>
          <w:color w:val="auto"/>
        </w:rPr>
      </w:pP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17145</wp:posOffset>
            </wp:positionV>
            <wp:extent cx="2691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691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720"/>
        <w:spacing w:after="0"/>
        <w:tabs>
          <w:tab w:leader="none" w:pos="4000" w:val="left"/>
        </w:tabs>
        <w:rPr>
          <w:sz w:val="20"/>
          <w:szCs w:val="20"/>
          <w:color w:val="auto"/>
        </w:rPr>
      </w:pPr>
      <w:r>
        <w:rPr>
          <w:rFonts w:ascii="Times New Roman" w:cs="Times New Roman" w:eastAsia="Times New Roman" w:hAnsi="Times New Roman"/>
          <w:sz w:val="18"/>
          <w:szCs w:val="18"/>
          <w:color w:val="auto"/>
        </w:rPr>
        <w:t>Measurement Period:</w:t>
      </w:r>
      <w:r>
        <w:rPr>
          <w:sz w:val="20"/>
          <w:szCs w:val="20"/>
          <w:color w:val="auto"/>
        </w:rPr>
        <w:tab/>
      </w:r>
      <w:r>
        <w:rPr>
          <w:rFonts w:ascii="Times New Roman" w:cs="Times New Roman" w:eastAsia="Times New Roman" w:hAnsi="Times New Roman"/>
          <w:sz w:val="17"/>
          <w:szCs w:val="17"/>
          <w:color w:val="auto"/>
        </w:rPr>
        <w:t>June 1, 2023 to May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691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691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10" w:lineRule="exact"/>
        <w:rPr>
          <w:sz w:val="20"/>
          <w:szCs w:val="20"/>
          <w:color w:val="auto"/>
        </w:rPr>
      </w:pPr>
    </w:p>
    <w:p>
      <w:pPr>
        <w:ind w:left="1740" w:right="180" w:hanging="140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All of the Restricted Stock Units are nonvested and forfeitable as of the Date of Grant. The Restricted Stock Units shall fully 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become nonforfeitable subject to Participant’s Continuous Service through the end of the Measurement Period (except as provided otherwise below), and the achievement of Cumulative Adjusted EBITDA (defined below) as determined by the Compensation Committee.</w:t>
      </w:r>
    </w:p>
    <w:p>
      <w:pPr>
        <w:spacing w:after="0" w:line="3" w:lineRule="exact"/>
        <w:rPr>
          <w:sz w:val="20"/>
          <w:szCs w:val="20"/>
          <w:color w:val="auto"/>
        </w:rPr>
      </w:pPr>
    </w:p>
    <w:p>
      <w:pPr>
        <w:ind w:left="1740" w:right="120"/>
        <w:spacing w:after="0" w:line="250" w:lineRule="auto"/>
        <w:rPr>
          <w:sz w:val="20"/>
          <w:szCs w:val="20"/>
          <w:color w:val="auto"/>
        </w:rPr>
      </w:pPr>
      <w:r>
        <w:rPr>
          <w:rFonts w:ascii="Times New Roman" w:cs="Times New Roman" w:eastAsia="Times New Roman" w:hAnsi="Times New Roman"/>
          <w:sz w:val="18"/>
          <w:szCs w:val="18"/>
          <w:color w:val="auto"/>
        </w:rPr>
        <w:t>As soon as reasonably practicable following the end of the Measurement Period, the Compensation Committee will review and certify in writing the level of Cumulative Adjusted EBITDA achieved for the Measurement Period and the number of Restricted Stock Units that the Participant has earned, if any, for the Measurement Period. The Compensation Committee’s certification shall be final, conclusive and binding on Participant, and on all other persons, to the maximum extent permitted by law and Restricted Stock Units shall be settled within [thirty (30) days] following such date (the “</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For purposes of this Performance Award, the following terms have the meanings set forth below:</w:t>
      </w:r>
    </w:p>
    <w:p>
      <w:pPr>
        <w:spacing w:after="0" w:line="2" w:lineRule="exact"/>
        <w:rPr>
          <w:sz w:val="20"/>
          <w:szCs w:val="20"/>
          <w:color w:val="auto"/>
        </w:rPr>
      </w:pPr>
    </w:p>
    <w:p>
      <w:pPr>
        <w:ind w:left="1740" w:right="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means net (loss) income before income taxes, interest expense, net, non-operating expense (income),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and before stock-based compensation, change in fair value of contingent consideration, impairment, inventory valuation adjustments, purchase price accounting step up, facility start-up and closure costs, lease expense, litigation costs and transaction costs, as determined by the Company’s Compensation Committee in its sole discretion. The Adjusted EBITDA for the first Annual Performance Period shall be determined by the Compensation Committee as soon as practicable after the date hereof. The Adjusted EBITDA for the second and third Annual Performance Periods shall be determined by the Compensation Committee, in its sole discretion, within sixty (60) days following the end of the immediately preceding Annual Performance Period, and the terms of this Performance Award shall be modified accordingly without further action of the Compensation Committee or amendment of this Notice.</w:t>
      </w:r>
    </w:p>
    <w:p>
      <w:pPr>
        <w:spacing w:after="0" w:line="4" w:lineRule="exact"/>
        <w:rPr>
          <w:sz w:val="20"/>
          <w:szCs w:val="20"/>
          <w:color w:val="auto"/>
        </w:rPr>
      </w:pPr>
    </w:p>
    <w:p>
      <w:pPr>
        <w:ind w:left="1740" w:right="60"/>
        <w:spacing w:after="0" w:line="192" w:lineRule="auto"/>
        <w:rPr>
          <w:sz w:val="20"/>
          <w:szCs w:val="20"/>
          <w:color w:val="auto"/>
        </w:rPr>
      </w:pPr>
      <w:r>
        <w:rPr>
          <w:rFonts w:ascii="Times New Roman" w:cs="Times New Roman" w:eastAsia="Times New Roman" w:hAnsi="Times New Roman"/>
          <w:sz w:val="18"/>
          <w:szCs w:val="18"/>
          <w:b w:val="1"/>
          <w:bCs w:val="1"/>
          <w:i w:val="1"/>
          <w:iCs w:val="1"/>
          <w:color w:val="auto"/>
        </w:rPr>
        <w:t>“Annual Performance Period</w:t>
      </w:r>
      <w:r>
        <w:rPr>
          <w:rFonts w:ascii="Times New Roman" w:cs="Times New Roman" w:eastAsia="Times New Roman" w:hAnsi="Times New Roman"/>
          <w:sz w:val="18"/>
          <w:szCs w:val="18"/>
          <w:color w:val="auto"/>
        </w:rPr>
        <w:t>” means, with respect to the Measurement Period, each twelve-month performance period beginning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June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during the Measurement Period.</w:t>
      </w:r>
    </w:p>
    <w:p>
      <w:pPr>
        <w:spacing w:after="0" w:line="1" w:lineRule="exact"/>
        <w:rPr>
          <w:sz w:val="20"/>
          <w:szCs w:val="20"/>
          <w:color w:val="auto"/>
        </w:rPr>
      </w:pPr>
    </w:p>
    <w:p>
      <w:pPr>
        <w:ind w:left="1740" w:right="10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“Cumulative Adjusted EBITDA</w:t>
      </w:r>
      <w:r>
        <w:rPr>
          <w:rFonts w:ascii="Times New Roman" w:cs="Times New Roman" w:eastAsia="Times New Roman" w:hAnsi="Times New Roman"/>
          <w:sz w:val="18"/>
          <w:szCs w:val="18"/>
          <w:color w:val="auto"/>
        </w:rPr>
        <w:t>” means the sum of the annual Adjusted EBITDA for each Annual Performance Period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Measurement Period.</w:t>
      </w:r>
    </w:p>
    <w:p>
      <w:pPr>
        <w:spacing w:after="0" w:line="1" w:lineRule="exact"/>
        <w:rPr>
          <w:sz w:val="20"/>
          <w:szCs w:val="20"/>
          <w:color w:val="auto"/>
        </w:rPr>
      </w:pPr>
    </w:p>
    <w:p>
      <w:pPr>
        <w:ind w:left="1740" w:right="180"/>
        <w:spacing w:after="0" w:line="250" w:lineRule="auto"/>
        <w:rPr>
          <w:sz w:val="20"/>
          <w:szCs w:val="20"/>
          <w:color w:val="auto"/>
        </w:rPr>
      </w:pPr>
      <w:r>
        <w:rPr>
          <w:rFonts w:ascii="Times New Roman" w:cs="Times New Roman" w:eastAsia="Times New Roman" w:hAnsi="Times New Roman"/>
          <w:sz w:val="18"/>
          <w:szCs w:val="18"/>
          <w:color w:val="auto"/>
        </w:rPr>
        <w:t>If at the end of the Measurement Period, the Company achieves the Cumulative Adjusted EBITDA “</w:t>
      </w:r>
      <w:r>
        <w:rPr>
          <w:rFonts w:ascii="Times New Roman" w:cs="Times New Roman" w:eastAsia="Times New Roman" w:hAnsi="Times New Roman"/>
          <w:sz w:val="18"/>
          <w:szCs w:val="18"/>
          <w:b w:val="1"/>
          <w:bCs w:val="1"/>
          <w:color w:val="auto"/>
        </w:rPr>
        <w:t>Performance Level</w:t>
      </w:r>
      <w:r>
        <w:rPr>
          <w:rFonts w:ascii="Times New Roman" w:cs="Times New Roman" w:eastAsia="Times New Roman" w:hAnsi="Times New Roman"/>
          <w:sz w:val="18"/>
          <w:szCs w:val="18"/>
          <w:color w:val="auto"/>
        </w:rPr>
        <w:t>” below, then the percentage of Restricted Stock Units that vest on the Vesting Date shall be as follows:</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Performance Level (Percentage of Achievement of Cumulative Adjusted EBITDA)</w:t>
      </w:r>
    </w:p>
    <w:p>
      <w:pPr>
        <w:spacing w:after="0" w:line="9" w:lineRule="exact"/>
        <w:rPr>
          <w:sz w:val="20"/>
          <w:szCs w:val="20"/>
          <w:color w:val="auto"/>
        </w:rPr>
      </w:pPr>
    </w:p>
    <w:p>
      <w:pPr>
        <w:ind w:left="1740" w:right="7220" w:firstLine="9"/>
        <w:spacing w:after="0" w:line="250" w:lineRule="auto"/>
        <w:tabs>
          <w:tab w:leader="none" w:pos="196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EBITDA Award Vested Number of RSUs</w:t>
      </w: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 or below</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75%</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100% or greater</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100%</w:t>
      </w:r>
    </w:p>
    <w:p>
      <w:pPr>
        <w:spacing w:after="0" w:line="9" w:lineRule="exact"/>
        <w:rPr>
          <w:rFonts w:ascii="Times New Roman" w:cs="Times New Roman" w:eastAsia="Times New Roman" w:hAnsi="Times New Roman"/>
          <w:sz w:val="18"/>
          <w:szCs w:val="18"/>
          <w:b w:val="1"/>
          <w:bCs w:val="1"/>
          <w:color w:val="auto"/>
        </w:rPr>
      </w:pPr>
    </w:p>
    <w:p>
      <w:pPr>
        <w:ind w:left="1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2660" w:right="100" w:hanging="317"/>
        <w:spacing w:after="0" w:line="266" w:lineRule="auto"/>
        <w:tabs>
          <w:tab w:leader="none" w:pos="2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percentage of achievement of Cumulative Adjusted EBITDA falls between levels, the actual percentage of the Restricted Stock Units earned shall be determined by linear interpolation between the percentages listed on a straight-line basis.</w:t>
      </w:r>
    </w:p>
    <w:p>
      <w:pPr>
        <w:spacing w:after="0" w:line="176" w:lineRule="exact"/>
        <w:rPr>
          <w:sz w:val="20"/>
          <w:szCs w:val="20"/>
          <w:color w:val="auto"/>
        </w:rPr>
      </w:pPr>
    </w:p>
    <w:p>
      <w:pPr>
        <w:jc w:val="both"/>
        <w:ind w:left="2820" w:right="80"/>
        <w:spacing w:after="0" w:line="254" w:lineRule="auto"/>
        <w:rPr>
          <w:sz w:val="20"/>
          <w:szCs w:val="20"/>
          <w:color w:val="auto"/>
        </w:rPr>
      </w:pPr>
      <w:r>
        <w:rPr>
          <w:rFonts w:ascii="Times New Roman" w:cs="Times New Roman" w:eastAsia="Times New Roman" w:hAnsi="Times New Roman"/>
          <w:sz w:val="18"/>
          <w:szCs w:val="18"/>
          <w:color w:val="auto"/>
        </w:rPr>
        <w:t>There shall be no proportionate or partial vesting of Restricted Stock Units during the Measurement Period, and all vesting of Restricted Stock Units shall occur only on the Vesting Date, subject to Participant’s Continuous Service. Except as provided below, upon the termination or cessation of Participant’s Continuous Service before the Vesting Date, the Restricted Stock Units shall automatically and without notice terminate, be forfeited, and become null and void.</w:t>
      </w:r>
    </w:p>
    <w:p>
      <w:pPr>
        <w:spacing w:after="0" w:line="3" w:lineRule="exact"/>
        <w:rPr>
          <w:sz w:val="20"/>
          <w:szCs w:val="20"/>
          <w:color w:val="auto"/>
        </w:rPr>
      </w:pPr>
    </w:p>
    <w:p>
      <w:pPr>
        <w:ind w:left="2820" w:right="80"/>
        <w:spacing w:after="0" w:line="271" w:lineRule="auto"/>
        <w:rPr>
          <w:sz w:val="20"/>
          <w:szCs w:val="20"/>
          <w:color w:val="auto"/>
        </w:rPr>
      </w:pPr>
      <w:r>
        <w:rPr>
          <w:rFonts w:ascii="Times New Roman" w:cs="Times New Roman" w:eastAsia="Times New Roman" w:hAnsi="Times New Roman"/>
          <w:sz w:val="17"/>
          <w:szCs w:val="17"/>
          <w:color w:val="auto"/>
        </w:rPr>
        <w:t>To the extent not already vested or previously forfeited, the Restricted Stock Units will become 100% vested and nonforfeitable (i) as of the date of Participant’s termination of employment by the Company without Cause or Participant’s resignation for Good Reason within 24 months after a Change of Control, (ii) Participant’s termination due to Disability or (iii) Participant’s death. In the event of the Participant’s termination of employment by the Company without Cause or Participant’s resignation for Good Reason not in connection with a Change in Control,</w:t>
      </w:r>
    </w:p>
    <w:p>
      <w:pPr>
        <w:sectPr>
          <w:pgSz w:w="11900" w:h="16838" w:orient="portrait"/>
          <w:cols w:equalWidth="0" w:num="1">
            <w:col w:w="11240"/>
          </w:cols>
          <w:pgMar w:left="320" w:top="121" w:right="339" w:bottom="0" w:gutter="0" w:footer="0" w:header="0"/>
        </w:sectPr>
      </w:pPr>
    </w:p>
    <w:bookmarkStart w:id="66" w:name="page67"/>
    <w:bookmarkEnd w:id="66"/>
    <w:p>
      <w:pPr>
        <w:ind w:left="2820" w:right="100"/>
        <w:spacing w:after="0" w:line="272" w:lineRule="auto"/>
        <w:rPr>
          <w:sz w:val="20"/>
          <w:szCs w:val="20"/>
          <w:color w:val="auto"/>
        </w:rPr>
      </w:pPr>
      <w:r>
        <w:rPr>
          <w:rFonts w:ascii="Times New Roman" w:cs="Times New Roman" w:eastAsia="Times New Roman" w:hAnsi="Times New Roman"/>
          <w:sz w:val="17"/>
          <w:szCs w:val="17"/>
          <w:color w:val="auto"/>
        </w:rPr>
        <w:t>the Continuous Service vesting condition shall be deemed satisfied (i.e., Restricted Stock Units will become vested, if at all, on the Vesting Date to the extent of the level of the Cumulative Adjusted EBITDA that is achieved). For purposes of this Award Agreement, the terms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Change in</w:t>
      </w:r>
    </w:p>
    <w:p>
      <w:pPr>
        <w:spacing w:after="0" w:line="2" w:lineRule="exact"/>
        <w:rPr>
          <w:sz w:val="20"/>
          <w:szCs w:val="20"/>
          <w:color w:val="auto"/>
        </w:rPr>
      </w:pPr>
    </w:p>
    <w:p>
      <w:pPr>
        <w:ind w:left="2820"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shall have the meanings set forth in the Executive Employment Agreement between the Participant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w:t>
      </w:r>
    </w:p>
    <w:p>
      <w:pPr>
        <w:spacing w:after="0" w:line="177" w:lineRule="exact"/>
        <w:rPr>
          <w:sz w:val="20"/>
          <w:szCs w:val="20"/>
          <w:color w:val="auto"/>
        </w:rPr>
      </w:pPr>
    </w:p>
    <w:p>
      <w:pPr>
        <w:ind w:left="2620" w:right="440" w:hanging="2222"/>
        <w:spacing w:after="0" w:line="266" w:lineRule="auto"/>
        <w:tabs>
          <w:tab w:leader="none" w:pos="26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Capitalization Adjustment, one share of Common Stock (or its cash equivalent, at the discretion of the Company) will be issued for each Restricted Stock Unit that vests at the time set forth in Section 6 of the Award Agreement.</w:t>
      </w:r>
    </w:p>
    <w:p>
      <w:pPr>
        <w:spacing w:after="0" w:line="392" w:lineRule="exact"/>
        <w:rPr>
          <w:sz w:val="20"/>
          <w:szCs w:val="20"/>
          <w:color w:val="auto"/>
        </w:rPr>
      </w:pPr>
    </w:p>
    <w:p>
      <w:pPr>
        <w:ind w:left="16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Participant acknowledges that as of the Date of Grant, this Restricted Stock Unit Grant Notice,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186" w:lineRule="exact"/>
        <w:rPr>
          <w:sz w:val="20"/>
          <w:szCs w:val="20"/>
          <w:color w:val="auto"/>
        </w:rPr>
      </w:pPr>
    </w:p>
    <w:p>
      <w:pPr>
        <w:ind w:left="160" w:right="100"/>
        <w:spacing w:after="0" w:line="261" w:lineRule="auto"/>
        <w:rPr>
          <w:sz w:val="20"/>
          <w:szCs w:val="20"/>
          <w:color w:val="auto"/>
        </w:rPr>
      </w:pPr>
      <w:r>
        <w:rPr>
          <w:rFonts w:ascii="Times New Roman" w:cs="Times New Roman" w:eastAsia="Times New Roman" w:hAnsi="Times New Roman"/>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TILRAY BRANDS, INC.</w:t>
            </w: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2"/>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200" w:type="dxa"/>
            <w:vAlign w:val="bottom"/>
          </w:tcPr>
          <w:p>
            <w:pPr>
              <w:spacing w:after="0"/>
              <w:rPr>
                <w:sz w:val="19"/>
                <w:szCs w:val="19"/>
                <w:color w:val="auto"/>
              </w:rPr>
            </w:pPr>
          </w:p>
        </w:tc>
        <w:tc>
          <w:tcPr>
            <w:tcW w:w="4260" w:type="dxa"/>
            <w:vAlign w:val="bottom"/>
            <w:tcBorders>
              <w:top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Signature</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Signature</w:t>
            </w: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Borders>
              <w:bottom w:val="single" w:sz="8" w:color="auto"/>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Borders>
              <w:bottom w:val="single" w:sz="8" w:color="auto"/>
            </w:tcBorders>
          </w:tcPr>
          <w:p>
            <w:pPr>
              <w:spacing w:after="0"/>
              <w:rPr>
                <w:sz w:val="24"/>
                <w:szCs w:val="24"/>
                <w:color w:val="auto"/>
              </w:rPr>
            </w:pPr>
          </w:p>
        </w:tc>
      </w:tr>
      <w:tr>
        <w:trPr>
          <w:trHeight w:val="42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60" w:type="dxa"/>
            <w:vAlign w:val="bottom"/>
            <w:tcBorders>
              <w:bottom w:val="single" w:sz="8" w:color="auto"/>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26"/>
        </w:trPr>
        <w:tc>
          <w:tcPr>
            <w:tcW w:w="69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ATTACHMENTS</w:t>
            </w:r>
            <w:r>
              <w:rPr>
                <w:rFonts w:ascii="Times New Roman" w:cs="Times New Roman" w:eastAsia="Times New Roman" w:hAnsi="Times New Roman"/>
                <w:sz w:val="18"/>
                <w:szCs w:val="18"/>
                <w:color w:val="auto"/>
                <w:w w:val="98"/>
              </w:rPr>
              <w:t>: Award Agreement and Amended and Restated 2018 Equity Incentive 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58"/>
        </w:trPr>
        <w:tc>
          <w:tcPr>
            <w:tcW w:w="22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7" w:name="page68"/>
    <w:bookmarkEnd w:id="67"/>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I</w:t>
      </w:r>
    </w:p>
    <w:p>
      <w:pPr>
        <w:spacing w:after="0" w:line="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AMENDED AND RESTATED 2018 EQUITY INCENTIVE PLAN</w:t>
      </w:r>
    </w:p>
    <w:p>
      <w:pPr>
        <w:spacing w:after="0" w:line="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03" w:lineRule="exact"/>
        <w:rPr>
          <w:sz w:val="20"/>
          <w:szCs w:val="20"/>
          <w:color w:val="auto"/>
        </w:rPr>
      </w:pPr>
    </w:p>
    <w:p>
      <w:pPr>
        <w:ind w:left="8" w:right="80"/>
        <w:spacing w:after="0" w:line="259" w:lineRule="auto"/>
        <w:rPr>
          <w:sz w:val="20"/>
          <w:szCs w:val="20"/>
          <w:color w:val="auto"/>
        </w:rPr>
      </w:pPr>
      <w:r>
        <w:rPr>
          <w:rFonts w:ascii="Times New Roman" w:cs="Times New Roman" w:eastAsia="Times New Roman" w:hAnsi="Times New Roman"/>
          <w:sz w:val="18"/>
          <w:szCs w:val="18"/>
          <w:color w:val="auto"/>
        </w:rPr>
        <w:t>Pursuant to the Restricted Stock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Stock Unit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 Restricted Stock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pursuant to the Company’s Amended and Restated 2018 Equity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79" w:lineRule="exact"/>
        <w:rPr>
          <w:sz w:val="20"/>
          <w:szCs w:val="20"/>
          <w:color w:val="auto"/>
        </w:rPr>
      </w:pPr>
    </w:p>
    <w:p>
      <w:pPr>
        <w:ind w:left="8" w:right="160" w:hanging="8"/>
        <w:spacing w:after="0" w:line="273" w:lineRule="auto"/>
        <w:tabs>
          <w:tab w:leader="none" w:pos="188"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GRANT OF THE AWARD. </w:t>
      </w:r>
      <w:r>
        <w:rPr>
          <w:rFonts w:ascii="Times New Roman" w:cs="Times New Roman" w:eastAsia="Times New Roman" w:hAnsi="Times New Roman"/>
          <w:sz w:val="17"/>
          <w:szCs w:val="17"/>
          <w:color w:val="auto"/>
        </w:rPr>
        <w:t>This Award represents the right to be issued on a future date one (1) share of Common Stock for each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spacing w:after="0" w:line="171" w:lineRule="exact"/>
        <w:rPr>
          <w:rFonts w:ascii="Times New Roman" w:cs="Times New Roman" w:eastAsia="Times New Roman" w:hAnsi="Times New Roman"/>
          <w:sz w:val="17"/>
          <w:szCs w:val="17"/>
          <w:b w:val="1"/>
          <w:bCs w:val="1"/>
          <w:color w:val="auto"/>
        </w:rPr>
      </w:pPr>
    </w:p>
    <w:p>
      <w:pPr>
        <w:jc w:val="both"/>
        <w:ind w:left="8" w:right="200" w:hanging="8"/>
        <w:spacing w:after="0" w:line="262" w:lineRule="auto"/>
        <w:tabs>
          <w:tab w:leader="none" w:pos="18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limitations contained herein, your Award will vest, if at all, in accordance with the vesting schedule provided in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176" w:lineRule="exact"/>
        <w:rPr>
          <w:rFonts w:ascii="Times New Roman" w:cs="Times New Roman" w:eastAsia="Times New Roman" w:hAnsi="Times New Roman"/>
          <w:sz w:val="18"/>
          <w:szCs w:val="18"/>
          <w:b w:val="1"/>
          <w:bCs w:val="1"/>
          <w:color w:val="auto"/>
        </w:rPr>
      </w:pPr>
    </w:p>
    <w:p>
      <w:pPr>
        <w:ind w:left="8" w:right="40" w:hanging="8"/>
        <w:spacing w:after="0" w:line="257" w:lineRule="auto"/>
        <w:tabs>
          <w:tab w:leader="none" w:pos="18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number of Restricted Stock Units subject to your Award may be adjusted from time to time for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82" w:lineRule="exact"/>
        <w:rPr>
          <w:rFonts w:ascii="Times New Roman" w:cs="Times New Roman" w:eastAsia="Times New Roman" w:hAnsi="Times New Roman"/>
          <w:sz w:val="18"/>
          <w:szCs w:val="18"/>
          <w:b w:val="1"/>
          <w:bCs w:val="1"/>
          <w:color w:val="auto"/>
        </w:rPr>
      </w:pPr>
    </w:p>
    <w:p>
      <w:pPr>
        <w:ind w:left="8" w:right="80" w:hanging="8"/>
        <w:spacing w:after="0" w:line="259" w:lineRule="auto"/>
        <w:tabs>
          <w:tab w:leader="none" w:pos="18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You may not be issued any Common Stock under your Award unless the shares of Common Stock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ind w:left="8" w:right="20" w:hanging="8"/>
        <w:spacing w:after="0" w:line="262" w:lineRule="auto"/>
        <w:tabs>
          <w:tab w:leader="none" w:pos="18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RESTRICTIONS</w:t>
      </w:r>
      <w:r>
        <w:rPr>
          <w:rFonts w:ascii="Times New Roman" w:cs="Times New Roman" w:eastAsia="Times New Roman" w:hAnsi="Times New Roman"/>
          <w:sz w:val="18"/>
          <w:szCs w:val="18"/>
          <w:color w:val="auto"/>
        </w:rPr>
        <w:t>. Prior to the time that shares of Common Stock have been delivered to you, you may not transfer, pledge,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76" w:lineRule="exact"/>
        <w:rPr>
          <w:sz w:val="20"/>
          <w:szCs w:val="20"/>
          <w:color w:val="auto"/>
        </w:rPr>
      </w:pPr>
    </w:p>
    <w:p>
      <w:pPr>
        <w:ind w:left="8" w:right="280" w:hanging="8"/>
        <w:spacing w:after="0" w:line="317" w:lineRule="auto"/>
        <w:tabs>
          <w:tab w:leader="none" w:pos="263"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Death</w:t>
      </w:r>
      <w:r>
        <w:rPr>
          <w:rFonts w:ascii="Times New Roman" w:cs="Times New Roman" w:eastAsia="Times New Roman" w:hAnsi="Times New Roman"/>
          <w:sz w:val="17"/>
          <w:szCs w:val="17"/>
          <w:color w:val="auto"/>
        </w:rPr>
        <w:t>. Your Award is transferable by will and by the laws of descent and distribution. At your death, your executor or administrator of your estate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entitled to receive, on behalf of your estate, any Common Stock or other consideration that vested but was not issued before your death.</w:t>
      </w:r>
    </w:p>
    <w:p>
      <w:pPr>
        <w:spacing w:after="0" w:line="131" w:lineRule="exact"/>
        <w:rPr>
          <w:rFonts w:ascii="Times New Roman" w:cs="Times New Roman" w:eastAsia="Times New Roman" w:hAnsi="Times New Roman"/>
          <w:sz w:val="17"/>
          <w:szCs w:val="17"/>
          <w:b w:val="1"/>
          <w:bCs w:val="1"/>
          <w:color w:val="auto"/>
        </w:rPr>
      </w:pPr>
    </w:p>
    <w:p>
      <w:pPr>
        <w:ind w:left="8" w:right="20" w:hanging="8"/>
        <w:spacing w:after="0" w:line="256" w:lineRule="auto"/>
        <w:tabs>
          <w:tab w:leader="none" w:pos="273"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6. DATE OF ISSUANCE.</w:t>
      </w:r>
    </w:p>
    <w:p>
      <w:pPr>
        <w:spacing w:after="0" w:line="229" w:lineRule="exact"/>
        <w:rPr>
          <w:sz w:val="20"/>
          <w:szCs w:val="20"/>
          <w:color w:val="auto"/>
        </w:rPr>
      </w:pPr>
    </w:p>
    <w:p>
      <w:pPr>
        <w:ind w:left="8" w:hanging="8"/>
        <w:spacing w:after="0" w:line="258" w:lineRule="auto"/>
        <w:tabs>
          <w:tab w:leader="none" w:pos="263"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be exempt under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 day. In addition, if:</w:t>
      </w:r>
    </w:p>
    <w:p>
      <w:pPr>
        <w:spacing w:after="0" w:line="225" w:lineRule="exact"/>
        <w:rPr>
          <w:sz w:val="20"/>
          <w:szCs w:val="20"/>
          <w:color w:val="auto"/>
        </w:rPr>
      </w:pPr>
    </w:p>
    <w:p>
      <w:pPr>
        <w:ind w:left="8" w:right="20" w:hanging="8"/>
        <w:spacing w:after="0" w:line="261" w:lineRule="auto"/>
        <w:tabs>
          <w:tab w:leader="none" w:pos="22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p>
    <w:p>
      <w:pPr>
        <w:spacing w:after="0" w:line="179" w:lineRule="exact"/>
        <w:rPr>
          <w:rFonts w:ascii="Times New Roman" w:cs="Times New Roman" w:eastAsia="Times New Roman" w:hAnsi="Times New Roman"/>
          <w:sz w:val="18"/>
          <w:szCs w:val="18"/>
          <w:b w:val="1"/>
          <w:bCs w:val="1"/>
          <w:color w:val="auto"/>
        </w:rPr>
      </w:pPr>
    </w:p>
    <w:p>
      <w:pPr>
        <w:ind w:left="8" w:right="80" w:hanging="8"/>
        <w:spacing w:after="0" w:line="277" w:lineRule="auto"/>
        <w:tabs>
          <w:tab w:leader="none" w:pos="273"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Times New Roman" w:cs="Times New Roman" w:eastAsia="Times New Roman" w:hAnsi="Times New Roman"/>
          <w:sz w:val="17"/>
          <w:szCs w:val="17"/>
          <w:u w:val="single" w:color="auto"/>
          <w:color w:val="auto"/>
        </w:rPr>
        <w:t>then</w:t>
      </w:r>
      <w:r>
        <w:rPr>
          <w:rFonts w:ascii="Times New Roman" w:cs="Times New Roman" w:eastAsia="Times New Roman" w:hAnsi="Times New Roman"/>
          <w:sz w:val="17"/>
          <w:szCs w:val="17"/>
          <w:color w:val="auto"/>
        </w:rPr>
        <w:t xml:space="preserve"> the shares that would otherwise be issued to you on the Original Issuance Date will not be delivered on such Original Issuance Date and will instead be delivered on the first</w:t>
      </w:r>
    </w:p>
    <w:p>
      <w:pPr>
        <w:sectPr>
          <w:pgSz w:w="11900" w:h="16838" w:orient="portrait"/>
          <w:cols w:equalWidth="0" w:num="1">
            <w:col w:w="11088"/>
          </w:cols>
          <w:pgMar w:left="472" w:top="792" w:right="339" w:bottom="0" w:gutter="0" w:footer="0" w:header="0"/>
        </w:sectPr>
      </w:pPr>
    </w:p>
    <w:bookmarkStart w:id="68" w:name="page69"/>
    <w:bookmarkEnd w:id="68"/>
    <w:p>
      <w:pPr>
        <w:ind w:left="8" w:right="260"/>
        <w:spacing w:after="0" w:line="258" w:lineRule="auto"/>
        <w:rPr>
          <w:sz w:val="20"/>
          <w:szCs w:val="20"/>
          <w:color w:val="auto"/>
        </w:rPr>
      </w:pPr>
      <w:r>
        <w:rPr>
          <w:rFonts w:ascii="Times New Roman" w:cs="Times New Roman" w:eastAsia="Times New Roman" w:hAnsi="Times New Roman"/>
          <w:sz w:val="18"/>
          <w:szCs w:val="18"/>
          <w:color w:val="auto"/>
        </w:rPr>
        <w:t xml:space="preserve">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1" w:lineRule="exact"/>
        <w:rPr>
          <w:sz w:val="20"/>
          <w:szCs w:val="20"/>
          <w:color w:val="auto"/>
        </w:rPr>
      </w:pPr>
    </w:p>
    <w:p>
      <w:pPr>
        <w:ind w:left="248" w:hanging="248"/>
        <w:spacing w:after="0"/>
        <w:tabs>
          <w:tab w:leader="none" w:pos="2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stock certificate or electronic entry evidencing such shares) shall be determined by the Company.</w:t>
      </w:r>
    </w:p>
    <w:p>
      <w:pPr>
        <w:spacing w:after="0" w:line="223" w:lineRule="exact"/>
        <w:rPr>
          <w:sz w:val="20"/>
          <w:szCs w:val="20"/>
          <w:color w:val="auto"/>
        </w:rPr>
      </w:pPr>
    </w:p>
    <w:p>
      <w:pPr>
        <w:ind w:left="8" w:right="180" w:hanging="8"/>
        <w:spacing w:after="0" w:line="268" w:lineRule="auto"/>
        <w:tabs>
          <w:tab w:leader="none" w:pos="18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You shall receive no benefit or adjustment to your Award with respect to any cash dividend, stock dividend or other distribution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left="8" w:right="40" w:hanging="8"/>
        <w:spacing w:after="0" w:line="286" w:lineRule="auto"/>
        <w:tabs>
          <w:tab w:leader="none" w:pos="18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RESTRICTIVE LEGENDS. </w:t>
      </w:r>
      <w:r>
        <w:rPr>
          <w:rFonts w:ascii="Times New Roman" w:cs="Times New Roman" w:eastAsia="Times New Roman" w:hAnsi="Times New Roman"/>
          <w:sz w:val="18"/>
          <w:szCs w:val="18"/>
          <w:color w:val="auto"/>
        </w:rPr>
        <w:t>The shares of Common Stock issued in respect of your Award shall be endorsed with appropriate legends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w:t>
      </w:r>
    </w:p>
    <w:p>
      <w:pPr>
        <w:spacing w:after="0" w:line="154" w:lineRule="exact"/>
        <w:rPr>
          <w:rFonts w:ascii="Times New Roman" w:cs="Times New Roman" w:eastAsia="Times New Roman" w:hAnsi="Times New Roman"/>
          <w:sz w:val="18"/>
          <w:szCs w:val="18"/>
          <w:b w:val="1"/>
          <w:bCs w:val="1"/>
          <w:color w:val="auto"/>
        </w:rPr>
      </w:pPr>
    </w:p>
    <w:p>
      <w:pPr>
        <w:ind w:left="8" w:right="20" w:hanging="8"/>
        <w:spacing w:after="0" w:line="262" w:lineRule="auto"/>
        <w:tabs>
          <w:tab w:leader="none" w:pos="18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DOCUMENTS. </w:t>
      </w:r>
      <w:r>
        <w:rPr>
          <w:rFonts w:ascii="Times New Roman" w:cs="Times New Roman" w:eastAsia="Times New Roman" w:hAnsi="Times New Roman"/>
          <w:sz w:val="18"/>
          <w:szCs w:val="18"/>
          <w:color w:val="auto"/>
        </w:rPr>
        <w:t>You hereby acknowledge and agree that the manner selected by the Company by which you indicate your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76"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NOT A SERVICE CONTRACT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hanging="8"/>
        <w:spacing w:after="0" w:line="255" w:lineRule="auto"/>
        <w:tabs>
          <w:tab w:leader="none" w:pos="263"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88" w:lineRule="exact"/>
        <w:rPr>
          <w:rFonts w:ascii="Times New Roman" w:cs="Times New Roman" w:eastAsia="Times New Roman" w:hAnsi="Times New Roman"/>
          <w:sz w:val="18"/>
          <w:szCs w:val="18"/>
          <w:b w:val="1"/>
          <w:bCs w:val="1"/>
          <w:color w:val="auto"/>
        </w:rPr>
      </w:pPr>
    </w:p>
    <w:p>
      <w:pPr>
        <w:ind w:left="8" w:hanging="8"/>
        <w:spacing w:after="0" w:line="253" w:lineRule="auto"/>
        <w:tabs>
          <w:tab w:leader="none" w:pos="273"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11. WITHHOLDING OBLIGATION.</w:t>
      </w:r>
    </w:p>
    <w:p>
      <w:pPr>
        <w:spacing w:after="0" w:line="229" w:lineRule="exact"/>
        <w:rPr>
          <w:sz w:val="20"/>
          <w:szCs w:val="20"/>
          <w:color w:val="auto"/>
        </w:rPr>
      </w:pPr>
    </w:p>
    <w:p>
      <w:pPr>
        <w:ind w:left="8" w:right="140" w:hanging="8"/>
        <w:spacing w:after="0" w:line="258" w:lineRule="auto"/>
        <w:tabs>
          <w:tab w:leader="none" w:pos="2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vesting date, and on or before the time you receive a distribution of the shares of Common Stock in respect of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Obligation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8" w:hanging="8"/>
        <w:spacing w:after="0" w:line="252" w:lineRule="auto"/>
        <w:tabs>
          <w:tab w:leader="none" w:pos="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95" w:lineRule="exact"/>
        <w:rPr>
          <w:rFonts w:ascii="Times New Roman" w:cs="Times New Roman" w:eastAsia="Times New Roman" w:hAnsi="Times New Roman"/>
          <w:sz w:val="18"/>
          <w:szCs w:val="18"/>
          <w:color w:val="auto"/>
        </w:rPr>
      </w:pPr>
    </w:p>
    <w:p>
      <w:pPr>
        <w:ind w:left="8" w:right="180" w:hanging="8"/>
        <w:spacing w:after="0" w:line="266" w:lineRule="auto"/>
        <w:tabs>
          <w:tab w:leader="none" w:pos="2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2" w:lineRule="exact"/>
        <w:rPr>
          <w:sz w:val="20"/>
          <w:szCs w:val="20"/>
          <w:color w:val="auto"/>
        </w:rPr>
      </w:pPr>
    </w:p>
    <w:p>
      <w:pPr>
        <w:ind w:left="8" w:right="160" w:hanging="8"/>
        <w:spacing w:after="0" w:line="259" w:lineRule="auto"/>
        <w:tabs>
          <w:tab w:leader="none" w:pos="27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The Company has no duty or obligation to minimize the tax consequences to you of this Award and shall not be liable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ectPr>
          <w:pgSz w:w="11900" w:h="16838" w:orient="portrait"/>
          <w:cols w:equalWidth="0" w:num="1">
            <w:col w:w="11088"/>
          </w:cols>
          <w:pgMar w:left="472" w:top="121" w:right="339" w:bottom="0" w:gutter="0" w:footer="0" w:header="0"/>
        </w:sectPr>
      </w:pPr>
    </w:p>
    <w:bookmarkStart w:id="69" w:name="page70"/>
    <w:bookmarkEnd w:id="69"/>
    <w:p>
      <w:pPr>
        <w:ind w:left="8" w:right="40" w:hanging="8"/>
        <w:spacing w:after="0" w:line="257" w:lineRule="auto"/>
        <w:tabs>
          <w:tab w:leader="none" w:pos="27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UNSECURED OBLIGATION. </w:t>
      </w:r>
      <w:r>
        <w:rPr>
          <w:rFonts w:ascii="Times New Roman" w:cs="Times New Roman" w:eastAsia="Times New Roman" w:hAnsi="Times New Roman"/>
          <w:sz w:val="18"/>
          <w:szCs w:val="18"/>
          <w:color w:val="auto"/>
        </w:rPr>
        <w:t>Your Award is unfunded, and as a holder of a vested Award, you shall be considered an unsecured creditor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2" w:lineRule="exact"/>
        <w:rPr>
          <w:rFonts w:ascii="Times New Roman" w:cs="Times New Roman" w:eastAsia="Times New Roman" w:hAnsi="Times New Roman"/>
          <w:sz w:val="18"/>
          <w:szCs w:val="18"/>
          <w:b w:val="1"/>
          <w:bCs w:val="1"/>
          <w:color w:val="auto"/>
        </w:rPr>
      </w:pPr>
    </w:p>
    <w:p>
      <w:pPr>
        <w:ind w:left="8" w:right="60" w:hanging="8"/>
        <w:spacing w:after="0" w:line="257" w:lineRule="auto"/>
        <w:tabs>
          <w:tab w:leader="none" w:pos="27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or request required or permitted hereunder shall be given in writing (including electronically) and will be deemed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left="8" w:right="240" w:hanging="8"/>
        <w:spacing w:after="0" w:line="286" w:lineRule="auto"/>
        <w:tabs>
          <w:tab w:leader="none" w:pos="27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the Sections in this Agreement are inserted for convenience only and shall not be deemed to constitute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affect the meaning of this Agreement.</w:t>
      </w:r>
    </w:p>
    <w:p>
      <w:pPr>
        <w:spacing w:after="0" w:line="154"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right="320" w:hanging="8"/>
        <w:spacing w:after="0" w:line="282" w:lineRule="auto"/>
        <w:tabs>
          <w:tab w:leader="none" w:pos="26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61" w:lineRule="exact"/>
        <w:rPr>
          <w:rFonts w:ascii="Times New Roman" w:cs="Times New Roman" w:eastAsia="Times New Roman" w:hAnsi="Times New Roman"/>
          <w:sz w:val="18"/>
          <w:szCs w:val="18"/>
          <w:b w:val="1"/>
          <w:bCs w:val="1"/>
          <w:color w:val="auto"/>
        </w:rPr>
      </w:pPr>
    </w:p>
    <w:p>
      <w:pPr>
        <w:ind w:left="8" w:right="40" w:hanging="8"/>
        <w:spacing w:after="0" w:line="282" w:lineRule="auto"/>
        <w:tabs>
          <w:tab w:leader="none" w:pos="27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61" w:lineRule="exact"/>
        <w:rPr>
          <w:rFonts w:ascii="Times New Roman" w:cs="Times New Roman" w:eastAsia="Times New Roman" w:hAnsi="Times New Roman"/>
          <w:sz w:val="18"/>
          <w:szCs w:val="18"/>
          <w:b w:val="1"/>
          <w:bCs w:val="1"/>
          <w:color w:val="auto"/>
        </w:rPr>
      </w:pPr>
    </w:p>
    <w:p>
      <w:pPr>
        <w:ind w:left="8" w:right="540" w:hanging="8"/>
        <w:spacing w:after="0" w:line="282" w:lineRule="auto"/>
        <w:tabs>
          <w:tab w:leader="none" w:pos="25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1" w:lineRule="exact"/>
        <w:rPr>
          <w:rFonts w:ascii="Times New Roman" w:cs="Times New Roman" w:eastAsia="Times New Roman" w:hAnsi="Times New Roman"/>
          <w:sz w:val="18"/>
          <w:szCs w:val="18"/>
          <w:b w:val="1"/>
          <w:bCs w:val="1"/>
          <w:color w:val="auto"/>
        </w:rPr>
      </w:pPr>
    </w:p>
    <w:p>
      <w:pPr>
        <w:ind w:left="8" w:right="580" w:hanging="8"/>
        <w:spacing w:after="0" w:line="282" w:lineRule="auto"/>
        <w:tabs>
          <w:tab w:leader="none" w:pos="27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b w:val="1"/>
          <w:bCs w:val="1"/>
          <w:color w:val="auto"/>
        </w:rPr>
      </w:pPr>
    </w:p>
    <w:p>
      <w:pPr>
        <w:ind w:left="8" w:right="140" w:hanging="8"/>
        <w:spacing w:after="0" w:line="266" w:lineRule="auto"/>
        <w:tabs>
          <w:tab w:leader="none" w:pos="25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2" w:lineRule="exact"/>
        <w:rPr>
          <w:sz w:val="20"/>
          <w:szCs w:val="20"/>
          <w:color w:val="auto"/>
        </w:rPr>
      </w:pPr>
    </w:p>
    <w:p>
      <w:pPr>
        <w:ind w:left="8" w:hanging="8"/>
        <w:spacing w:after="0" w:line="256" w:lineRule="auto"/>
        <w:tabs>
          <w:tab w:leader="none" w:pos="2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PLAN DOCUMENT</w:t>
      </w:r>
      <w:r>
        <w:rPr>
          <w:rFonts w:ascii="Times New Roman" w:cs="Times New Roman" w:eastAsia="Times New Roman" w:hAnsi="Times New Roman"/>
          <w:sz w:val="18"/>
          <w:szCs w:val="18"/>
          <w:color w:val="auto"/>
        </w:rPr>
        <w:t>. Your Award is subject to all the provisions of the Plan, the provisions of which are hereby made a part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2" w:lineRule="exact"/>
        <w:rPr>
          <w:rFonts w:ascii="Times New Roman" w:cs="Times New Roman" w:eastAsia="Times New Roman" w:hAnsi="Times New Roman"/>
          <w:sz w:val="18"/>
          <w:szCs w:val="18"/>
          <w:b w:val="1"/>
          <w:bCs w:val="1"/>
          <w:color w:val="auto"/>
        </w:rPr>
      </w:pPr>
    </w:p>
    <w:p>
      <w:pPr>
        <w:jc w:val="both"/>
        <w:ind w:left="8" w:hanging="8"/>
        <w:spacing w:after="0" w:line="262" w:lineRule="auto"/>
        <w:tabs>
          <w:tab w:leader="none" w:pos="2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the Award subject to this Agreement shall not be included as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6" w:lineRule="exact"/>
        <w:rPr>
          <w:rFonts w:ascii="Times New Roman" w:cs="Times New Roman" w:eastAsia="Times New Roman" w:hAnsi="Times New Roman"/>
          <w:sz w:val="18"/>
          <w:szCs w:val="18"/>
          <w:b w:val="1"/>
          <w:bCs w:val="1"/>
          <w:color w:val="auto"/>
        </w:rPr>
      </w:pPr>
    </w:p>
    <w:p>
      <w:pPr>
        <w:ind w:left="8" w:right="40" w:hanging="8"/>
        <w:spacing w:after="0" w:line="262" w:lineRule="auto"/>
        <w:tabs>
          <w:tab w:leader="none" w:pos="2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all or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8" w:right="120" w:hanging="8"/>
        <w:spacing w:after="0" w:line="268" w:lineRule="auto"/>
        <w:tabs>
          <w:tab w:leader="none" w:pos="2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You hereby acknowledge receipt or the right to receive a document providing the information required by Rule 428(b)(1)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70" w:lineRule="exact"/>
        <w:rPr>
          <w:rFonts w:ascii="Times New Roman" w:cs="Times New Roman" w:eastAsia="Times New Roman" w:hAnsi="Times New Roman"/>
          <w:sz w:val="18"/>
          <w:szCs w:val="18"/>
          <w:b w:val="1"/>
          <w:bCs w:val="1"/>
          <w:color w:val="auto"/>
        </w:rPr>
      </w:pPr>
    </w:p>
    <w:p>
      <w:pPr>
        <w:ind w:left="8" w:right="20" w:hanging="8"/>
        <w:spacing w:after="0" w:line="255" w:lineRule="auto"/>
        <w:tabs>
          <w:tab w:leader="none" w:pos="2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This Agreement may not be modified, amended or terminated except by an instrument in writing, signed by you and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84" w:lineRule="exact"/>
        <w:rPr>
          <w:rFonts w:ascii="Times New Roman" w:cs="Times New Roman" w:eastAsia="Times New Roman" w:hAnsi="Times New Roman"/>
          <w:sz w:val="18"/>
          <w:szCs w:val="18"/>
          <w:b w:val="1"/>
          <w:bCs w:val="1"/>
          <w:color w:val="auto"/>
        </w:rPr>
      </w:pPr>
    </w:p>
    <w:p>
      <w:pPr>
        <w:ind w:left="8" w:right="20" w:hanging="8"/>
        <w:spacing w:after="0" w:line="271" w:lineRule="auto"/>
        <w:tabs>
          <w:tab w:leader="none" w:pos="278"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 WITH SECTION 409A OF THE CODE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Award is intended to be exempt from the application of Section 409A of the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w:t>
      </w:r>
    </w:p>
    <w:p>
      <w:pPr>
        <w:sectPr>
          <w:pgSz w:w="11900" w:h="16838" w:orient="portrait"/>
          <w:cols w:equalWidth="0" w:num="1">
            <w:col w:w="11068"/>
          </w:cols>
          <w:pgMar w:left="472" w:top="117" w:right="359" w:bottom="0" w:gutter="0" w:footer="0" w:header="0"/>
        </w:sectPr>
      </w:pPr>
    </w:p>
    <w:bookmarkStart w:id="70" w:name="page71"/>
    <w:bookmarkEnd w:id="70"/>
    <w:p>
      <w:pPr>
        <w:ind w:right="260"/>
        <w:spacing w:after="0" w:line="266" w:lineRule="auto"/>
        <w:rPr>
          <w:sz w:val="20"/>
          <w:szCs w:val="20"/>
          <w:color w:val="auto"/>
        </w:rPr>
      </w:pPr>
      <w:r>
        <w:rPr>
          <w:rFonts w:ascii="Times New Roman" w:cs="Times New Roman" w:eastAsia="Times New Roman" w:hAnsi="Times New Roman"/>
          <w:sz w:val="18"/>
          <w:szCs w:val="18"/>
          <w:color w:val="auto"/>
        </w:rPr>
        <w:t>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Restricted Stock Unit Award Agreement shall be deemed to be signed by the Company and the Participant upon the signing by the Participant of the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200025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80" w:top="121" w:right="379" w:bottom="1440" w:gutter="0" w:footer="0" w:header="0"/>
        </w:sectPr>
      </w:pPr>
    </w:p>
    <w:bookmarkStart w:id="71" w:name="page72"/>
    <w:bookmarkEnd w:id="71"/>
    <w:p>
      <w:pPr>
        <w:jc w:val="center"/>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II</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AMENDED AND RESTATED 2018 EQUITY INCENTIVE PLAN</w:t>
      </w:r>
    </w:p>
    <w:p>
      <w:pPr>
        <w:sectPr>
          <w:pgSz w:w="11900" w:h="16838" w:orient="portrait"/>
          <w:cols w:equalWidth="0" w:num="1">
            <w:col w:w="9019"/>
          </w:cols>
          <w:pgMar w:left="1440" w:top="79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August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August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October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upperLetter"/>
      <w:start w:val="29"/>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lvl w:ilvl="1">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Roman"/>
      <w:start w:val="1"/>
    </w:lvl>
  </w:abstractNum>
  <w:abstractNum w:abstractNumId="27">
    <w:nsid w:val="3006C83E"/>
    <w:multiLevelType w:val="hybridMultilevel"/>
    <w:lvl w:ilvl="0">
      <w:lvlJc w:val="left"/>
      <w:lvlText w:val="(%1)"/>
      <w:numFmt w:val="lowerLetter"/>
      <w:start w:val="3"/>
    </w:lvl>
  </w:abstractNum>
  <w:abstractNum w:abstractNumId="28">
    <w:nsid w:val="614FD4A1"/>
    <w:multiLevelType w:val="hybridMultilevel"/>
    <w:lvl w:ilvl="0">
      <w:lvlJc w:val="left"/>
      <w:lvlText w:val="%1."/>
      <w:numFmt w:val="decimal"/>
      <w:start w:val="7"/>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12"/>
    </w:lvl>
  </w:abstractNum>
  <w:abstractNum w:abstractNumId="32">
    <w:nsid w:val="5072367"/>
    <w:multiLevelType w:val="hybridMultilevel"/>
    <w:lvl w:ilvl="0">
      <w:lvlJc w:val="left"/>
      <w:lvlText w:val="%1."/>
      <w:numFmt w:val="decimal"/>
      <w:start w:val="13"/>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7"/>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73" Type="http://schemas.openxmlformats.org/officeDocument/2006/relationships/hyperlink" Target="http://www.sec.gov/Archives/edgar/data/1731348/000114036123042396/brhc20058217_ex10-1.htm" TargetMode="External"/><Relationship Id="rId74" Type="http://schemas.openxmlformats.org/officeDocument/2006/relationships/hyperlink" Target="http://www.sec.gov/Archives/edgar/data/1731348/000143774923022325/ex_548126.htm" TargetMode="External"/><Relationship Id="rId75" Type="http://schemas.openxmlformats.org/officeDocument/2006/relationships/hyperlink" Target="http://www.sec.gov/Archives/edgar/data/1731348/000114036122014053/ny20003820x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2024-10-11T08:16:54Z</dcterms:created>
  <dcterms:modified xsi:type="dcterms:W3CDTF">2024-10-11T08:16:54Z</dcterms:modified>
</cp:coreProperties>
</file>