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37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ind w:left="304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19, 2025</w:t>
      </w:r>
    </w:p>
    <w:p>
      <w:pPr>
        <w:spacing w:after="0" w:line="3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Tilray Brands, Inc.</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32" w:lineRule="exact"/>
        <w:rPr>
          <w:sz w:val="24"/>
          <w:szCs w:val="24"/>
          <w:color w:val="auto"/>
        </w:rPr>
      </w:pPr>
    </w:p>
    <w:tbl>
      <w:tblPr>
        <w:tblLayout w:type="fixed"/>
        <w:tblInd w:w="440" w:type="dxa"/>
        <w:tblCellMar>
          <w:top w:w="0" w:type="dxa"/>
          <w:left w:w="0" w:type="dxa"/>
          <w:bottom w:w="0" w:type="dxa"/>
          <w:right w:w="0" w:type="dxa"/>
        </w:tblCellMar>
      </w:tblPr>
      <w:tr>
        <w:trPr>
          <w:trHeight w:val="184"/>
        </w:trPr>
        <w:tc>
          <w:tcPr>
            <w:tcW w:w="3460" w:type="dxa"/>
            <w:vAlign w:val="bottom"/>
          </w:tcPr>
          <w:p>
            <w:pPr>
              <w:jc w:val="center"/>
              <w:ind w:right="76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3140" w:type="dxa"/>
            <w:vAlign w:val="bottom"/>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5"/>
              </w:rPr>
              <w:t>001-38594</w:t>
            </w:r>
          </w:p>
        </w:tc>
        <w:tc>
          <w:tcPr>
            <w:tcW w:w="240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82-4310622</w:t>
            </w:r>
          </w:p>
        </w:tc>
      </w:tr>
      <w:tr>
        <w:trPr>
          <w:trHeight w:val="180"/>
        </w:trPr>
        <w:tc>
          <w:tcPr>
            <w:tcW w:w="3460" w:type="dxa"/>
            <w:vAlign w:val="bottom"/>
          </w:tcPr>
          <w:p>
            <w:pPr>
              <w:jc w:val="center"/>
              <w:ind w:right="742"/>
              <w:spacing w:after="0" w:line="180" w:lineRule="exact"/>
              <w:rPr>
                <w:sz w:val="20"/>
                <w:szCs w:val="20"/>
                <w:color w:val="auto"/>
              </w:rPr>
            </w:pPr>
            <w:r>
              <w:rPr>
                <w:rFonts w:ascii="Times New Roman" w:cs="Times New Roman" w:eastAsia="Times New Roman" w:hAnsi="Times New Roman"/>
                <w:sz w:val="16"/>
                <w:szCs w:val="16"/>
                <w:b w:val="1"/>
                <w:bCs w:val="1"/>
                <w:color w:val="auto"/>
                <w:w w:val="96"/>
              </w:rPr>
              <w:t>(State or Other Jurisdiction</w:t>
            </w:r>
          </w:p>
        </w:tc>
        <w:tc>
          <w:tcPr>
            <w:tcW w:w="3140" w:type="dxa"/>
            <w:vAlign w:val="bottom"/>
          </w:tcPr>
          <w:p>
            <w:pPr>
              <w:jc w:val="center"/>
              <w:ind w:right="262"/>
              <w:spacing w:after="0" w:line="180" w:lineRule="exact"/>
              <w:rPr>
                <w:sz w:val="20"/>
                <w:szCs w:val="20"/>
                <w:color w:val="auto"/>
              </w:rPr>
            </w:pPr>
            <w:r>
              <w:rPr>
                <w:rFonts w:ascii="Times New Roman" w:cs="Times New Roman" w:eastAsia="Times New Roman" w:hAnsi="Times New Roman"/>
                <w:sz w:val="16"/>
                <w:szCs w:val="16"/>
                <w:b w:val="1"/>
                <w:bCs w:val="1"/>
                <w:color w:val="auto"/>
                <w:w w:val="96"/>
              </w:rPr>
              <w:t>(Commission File</w:t>
            </w:r>
          </w:p>
        </w:tc>
        <w:tc>
          <w:tcPr>
            <w:tcW w:w="2400" w:type="dxa"/>
            <w:vAlign w:val="bottom"/>
          </w:tcPr>
          <w:p>
            <w:pPr>
              <w:jc w:val="center"/>
              <w:ind w:left="1102"/>
              <w:spacing w:after="0" w:line="180"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05"/>
        </w:trPr>
        <w:tc>
          <w:tcPr>
            <w:tcW w:w="3460" w:type="dxa"/>
            <w:vAlign w:val="bottom"/>
          </w:tcPr>
          <w:p>
            <w:pPr>
              <w:jc w:val="center"/>
              <w:ind w:right="742"/>
              <w:spacing w:after="0"/>
              <w:rPr>
                <w:sz w:val="20"/>
                <w:szCs w:val="20"/>
                <w:color w:val="auto"/>
              </w:rPr>
            </w:pPr>
            <w:r>
              <w:rPr>
                <w:rFonts w:ascii="Times New Roman" w:cs="Times New Roman" w:eastAsia="Times New Roman" w:hAnsi="Times New Roman"/>
                <w:sz w:val="16"/>
                <w:szCs w:val="16"/>
                <w:b w:val="1"/>
                <w:bCs w:val="1"/>
                <w:color w:val="auto"/>
                <w:w w:val="97"/>
              </w:rPr>
              <w:t>of Incorporation)</w:t>
            </w:r>
          </w:p>
        </w:tc>
        <w:tc>
          <w:tcPr>
            <w:tcW w:w="3140" w:type="dxa"/>
            <w:vAlign w:val="bottom"/>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w w:val="99"/>
              </w:rPr>
              <w:t>Number)</w:t>
            </w:r>
          </w:p>
        </w:tc>
        <w:tc>
          <w:tcPr>
            <w:tcW w:w="2400" w:type="dxa"/>
            <w:vAlign w:val="bottom"/>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w w:val="97"/>
              </w:rPr>
              <w:t>Identification No.)</w:t>
            </w:r>
          </w:p>
        </w:tc>
      </w:tr>
      <w:tr>
        <w:trPr>
          <w:trHeight w:val="335"/>
        </w:trPr>
        <w:tc>
          <w:tcPr>
            <w:tcW w:w="346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265 Talbot Street West,</w:t>
            </w:r>
          </w:p>
        </w:tc>
        <w:tc>
          <w:tcPr>
            <w:tcW w:w="31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80"/>
        </w:trPr>
        <w:tc>
          <w:tcPr>
            <w:tcW w:w="3460" w:type="dxa"/>
            <w:vAlign w:val="bottom"/>
          </w:tcPr>
          <w:p>
            <w:pPr>
              <w:jc w:val="center"/>
              <w:ind w:right="762"/>
              <w:spacing w:after="0" w:line="180" w:lineRule="exact"/>
              <w:rPr>
                <w:sz w:val="20"/>
                <w:szCs w:val="20"/>
                <w:color w:val="auto"/>
              </w:rPr>
            </w:pPr>
            <w:r>
              <w:rPr>
                <w:rFonts w:ascii="Times New Roman" w:cs="Times New Roman" w:eastAsia="Times New Roman" w:hAnsi="Times New Roman"/>
                <w:sz w:val="16"/>
                <w:szCs w:val="16"/>
                <w:b w:val="1"/>
                <w:bCs w:val="1"/>
                <w:color w:val="auto"/>
                <w:w w:val="95"/>
              </w:rPr>
              <w:t>Leamington, ON</w:t>
            </w:r>
          </w:p>
        </w:tc>
        <w:tc>
          <w:tcPr>
            <w:tcW w:w="3140" w:type="dxa"/>
            <w:vAlign w:val="bottom"/>
          </w:tcPr>
          <w:p>
            <w:pPr>
              <w:spacing w:after="0"/>
              <w:rPr>
                <w:sz w:val="15"/>
                <w:szCs w:val="15"/>
                <w:color w:val="auto"/>
              </w:rPr>
            </w:pPr>
          </w:p>
        </w:tc>
        <w:tc>
          <w:tcPr>
            <w:tcW w:w="2400" w:type="dxa"/>
            <w:vAlign w:val="bottom"/>
          </w:tcPr>
          <w:p>
            <w:pPr>
              <w:jc w:val="center"/>
              <w:ind w:left="1102"/>
              <w:spacing w:after="0" w:line="180" w:lineRule="exact"/>
              <w:rPr>
                <w:sz w:val="20"/>
                <w:szCs w:val="20"/>
                <w:color w:val="auto"/>
              </w:rPr>
            </w:pPr>
            <w:r>
              <w:rPr>
                <w:rFonts w:ascii="Times New Roman" w:cs="Times New Roman" w:eastAsia="Times New Roman" w:hAnsi="Times New Roman"/>
                <w:sz w:val="16"/>
                <w:szCs w:val="16"/>
                <w:b w:val="1"/>
                <w:bCs w:val="1"/>
                <w:color w:val="auto"/>
                <w:w w:val="98"/>
              </w:rPr>
              <w:t>N8H 5L4</w:t>
            </w:r>
          </w:p>
        </w:tc>
      </w:tr>
      <w:tr>
        <w:trPr>
          <w:trHeight w:val="205"/>
        </w:trPr>
        <w:tc>
          <w:tcPr>
            <w:tcW w:w="3460" w:type="dxa"/>
            <w:vAlign w:val="bottom"/>
          </w:tcPr>
          <w:p>
            <w:pPr>
              <w:jc w:val="center"/>
              <w:ind w:right="742"/>
              <w:spacing w:after="0"/>
              <w:rPr>
                <w:sz w:val="20"/>
                <w:szCs w:val="20"/>
                <w:color w:val="auto"/>
              </w:rPr>
            </w:pPr>
            <w:r>
              <w:rPr>
                <w:rFonts w:ascii="Times New Roman" w:cs="Times New Roman" w:eastAsia="Times New Roman" w:hAnsi="Times New Roman"/>
                <w:sz w:val="16"/>
                <w:szCs w:val="16"/>
                <w:b w:val="1"/>
                <w:bCs w:val="1"/>
                <w:color w:val="auto"/>
                <w:w w:val="96"/>
              </w:rPr>
              <w:t>(Address of Principal Executive Offices,</w:t>
            </w:r>
          </w:p>
        </w:tc>
        <w:tc>
          <w:tcPr>
            <w:tcW w:w="3140" w:type="dxa"/>
            <w:vAlign w:val="bottom"/>
          </w:tcPr>
          <w:p>
            <w:pPr>
              <w:spacing w:after="0"/>
              <w:rPr>
                <w:sz w:val="17"/>
                <w:szCs w:val="17"/>
                <w:color w:val="auto"/>
              </w:rPr>
            </w:pPr>
          </w:p>
        </w:tc>
        <w:tc>
          <w:tcPr>
            <w:tcW w:w="2400" w:type="dxa"/>
            <w:vAlign w:val="bottom"/>
          </w:tcPr>
          <w:p>
            <w:pPr>
              <w:jc w:val="center"/>
              <w:ind w:left="1102"/>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(844) 845-7291</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840" w:hanging="294"/>
        <w:spacing w:after="0"/>
        <w:tabs>
          <w:tab w:leader="none" w:pos="8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76" w:lineRule="exact"/>
        <w:rPr>
          <w:rFonts w:ascii="MS PGothic" w:cs="MS PGothic" w:eastAsia="MS PGothic" w:hAnsi="MS PGothic"/>
          <w:sz w:val="16"/>
          <w:szCs w:val="16"/>
          <w:color w:val="auto"/>
        </w:rPr>
      </w:pPr>
    </w:p>
    <w:p>
      <w:pPr>
        <w:ind w:left="840" w:hanging="294"/>
        <w:spacing w:after="0"/>
        <w:tabs>
          <w:tab w:leader="none" w:pos="8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76" w:lineRule="exact"/>
        <w:rPr>
          <w:rFonts w:ascii="MS PGothic" w:cs="MS PGothic" w:eastAsia="MS PGothic" w:hAnsi="MS PGothic"/>
          <w:sz w:val="16"/>
          <w:szCs w:val="16"/>
          <w:color w:val="auto"/>
        </w:rPr>
      </w:pPr>
    </w:p>
    <w:p>
      <w:pPr>
        <w:ind w:left="840" w:hanging="294"/>
        <w:spacing w:after="0"/>
        <w:tabs>
          <w:tab w:leader="none" w:pos="8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76" w:lineRule="exact"/>
        <w:rPr>
          <w:rFonts w:ascii="MS PGothic" w:cs="MS PGothic" w:eastAsia="MS PGothic" w:hAnsi="MS PGothic"/>
          <w:sz w:val="16"/>
          <w:szCs w:val="16"/>
          <w:color w:val="auto"/>
        </w:rPr>
      </w:pPr>
    </w:p>
    <w:p>
      <w:pPr>
        <w:ind w:right="2720" w:firstLine="546"/>
        <w:spacing w:after="0" w:line="468" w:lineRule="auto"/>
        <w:tabs>
          <w:tab w:leader="none" w:pos="82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ectPr>
          <w:pgSz w:w="11900" w:h="16840" w:orient="portrait"/>
          <w:cols w:equalWidth="0" w:num="1">
            <w:col w:w="10520"/>
          </w:cols>
          <w:pgMar w:left="660" w:top="554" w:right="720" w:bottom="1440" w:gutter="0" w:footer="0" w:header="0"/>
        </w:sectPr>
      </w:pPr>
    </w:p>
    <w:p>
      <w:pPr>
        <w:spacing w:after="0" w:line="181"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176" w:lineRule="exact"/>
        <w:rPr>
          <w:sz w:val="24"/>
          <w:szCs w:val="24"/>
          <w:color w:val="auto"/>
        </w:rPr>
      </w:pPr>
    </w:p>
    <w:p>
      <w:pPr>
        <w:jc w:val="center"/>
        <w:ind w:left="80"/>
        <w:spacing w:after="0"/>
        <w:rPr>
          <w:sz w:val="20"/>
          <w:szCs w:val="20"/>
          <w:color w:val="auto"/>
        </w:rPr>
      </w:pPr>
      <w:r>
        <w:rPr>
          <w:rFonts w:ascii="Times New Roman" w:cs="Times New Roman" w:eastAsia="Times New Roman" w:hAnsi="Times New Roman"/>
          <w:sz w:val="14"/>
          <w:szCs w:val="14"/>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Trading</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Symbol(s)</w:t>
      </w:r>
    </w:p>
    <w:p>
      <w:pPr>
        <w:spacing w:after="0" w:line="1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TLRY</w:t>
      </w:r>
    </w:p>
    <w:p>
      <w:pPr>
        <w:spacing w:after="0" w:line="20" w:lineRule="exact"/>
        <w:rPr>
          <w:sz w:val="24"/>
          <w:szCs w:val="24"/>
          <w:color w:val="auto"/>
        </w:rPr>
      </w:pPr>
      <w:r>
        <w:rPr>
          <w:sz w:val="24"/>
          <w:szCs w:val="24"/>
          <w:color w:val="auto"/>
        </w:rPr>
        <w:br w:type="column"/>
      </w:r>
    </w:p>
    <w:p>
      <w:pPr>
        <w:ind w:right="380"/>
        <w:spacing w:after="0" w:line="262" w:lineRule="auto"/>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3" w:lineRule="exact"/>
        <w:rPr>
          <w:sz w:val="24"/>
          <w:szCs w:val="24"/>
          <w:color w:val="auto"/>
        </w:rPr>
      </w:pPr>
    </w:p>
    <w:p>
      <w:pPr>
        <w:sectPr>
          <w:pgSz w:w="11900" w:h="16840" w:orient="portrait"/>
          <w:cols w:equalWidth="0" w:num="3">
            <w:col w:w="4920" w:space="720"/>
            <w:col w:w="1600" w:space="720"/>
            <w:col w:w="2560"/>
          </w:cols>
          <w:pgMar w:left="660" w:top="554" w:right="720"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4"/>
          <w:szCs w:val="14"/>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p>
      <w:pPr>
        <w:spacing w:after="0" w:line="200" w:lineRule="exact"/>
        <w:rPr>
          <w:sz w:val="24"/>
          <w:szCs w:val="24"/>
          <w:color w:val="auto"/>
        </w:rPr>
      </w:pPr>
    </w:p>
    <w:p>
      <w:pPr>
        <w:sectPr>
          <w:pgSz w:w="11900" w:h="16840" w:orient="portrait"/>
          <w:cols w:equalWidth="0" w:num="2">
            <w:col w:w="7240" w:space="720"/>
            <w:col w:w="2560"/>
          </w:cols>
          <w:pgMar w:left="660" w:top="554" w:right="720" w:bottom="1440" w:gutter="0" w:footer="0" w:header="0"/>
          <w:type w:val="continuous"/>
        </w:sectPr>
      </w:pPr>
    </w:p>
    <w:p>
      <w:pPr>
        <w:spacing w:after="0" w:line="156" w:lineRule="exact"/>
        <w:rPr>
          <w:sz w:val="24"/>
          <w:szCs w:val="24"/>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230.405 of this chapter) or Rule 12b-2 of the Securities Exchange Act of 1934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240.12b-2 of this chapter).</w:t>
      </w:r>
    </w:p>
    <w:p>
      <w:pPr>
        <w:spacing w:after="0" w:line="1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0" w:lineRule="exact"/>
        <w:rPr>
          <w:sz w:val="24"/>
          <w:szCs w:val="24"/>
          <w:color w:val="auto"/>
        </w:rPr>
      </w:pPr>
    </w:p>
    <w:p>
      <w:pPr>
        <w:ind w:right="24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297815</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20"/>
          </w:cols>
          <w:pgMar w:left="660" w:top="554" w:right="720"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5.07</w:t>
      </w:r>
      <w:r>
        <w:rPr>
          <w:sz w:val="20"/>
          <w:szCs w:val="20"/>
          <w:color w:val="auto"/>
        </w:rPr>
        <w:tab/>
      </w:r>
      <w:r>
        <w:rPr>
          <w:rFonts w:ascii="Times New Roman" w:cs="Times New Roman" w:eastAsia="Times New Roman" w:hAnsi="Times New Roman"/>
          <w:sz w:val="14"/>
          <w:szCs w:val="14"/>
          <w:b w:val="1"/>
          <w:bCs w:val="1"/>
          <w:color w:val="auto"/>
        </w:rPr>
        <w:t>Submission of Matters to a Vote of Security Holders.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On November 18, 2025, Tilray Brands,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held its 2025 annual meeting of stockholders (the “</w:t>
      </w:r>
      <w:r>
        <w:rPr>
          <w:rFonts w:ascii="Times New Roman" w:cs="Times New Roman" w:eastAsia="Times New Roman" w:hAnsi="Times New Roman"/>
          <w:sz w:val="14"/>
          <w:szCs w:val="14"/>
          <w:b w:val="1"/>
          <w:bCs w:val="1"/>
          <w:color w:val="auto"/>
        </w:rPr>
        <w:t>Annual Meeting</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at which a quorum was present.</w:t>
      </w:r>
    </w:p>
    <w:p>
      <w:pPr>
        <w:spacing w:after="0" w:line="201" w:lineRule="exact"/>
        <w:rPr>
          <w:sz w:val="20"/>
          <w:szCs w:val="20"/>
          <w:color w:val="auto"/>
        </w:rPr>
      </w:pPr>
    </w:p>
    <w:p>
      <w:pPr>
        <w:ind w:left="120" w:right="100"/>
        <w:spacing w:after="0" w:line="239" w:lineRule="auto"/>
        <w:rPr>
          <w:sz w:val="20"/>
          <w:szCs w:val="20"/>
          <w:color w:val="auto"/>
        </w:rPr>
      </w:pPr>
      <w:r>
        <w:rPr>
          <w:rFonts w:ascii="Times New Roman" w:cs="Times New Roman" w:eastAsia="Times New Roman" w:hAnsi="Times New Roman"/>
          <w:sz w:val="16"/>
          <w:szCs w:val="16"/>
          <w:color w:val="auto"/>
        </w:rPr>
        <w:t>At the Annual Meeting, stockholders considered and voted on the following proposals, each of which is described in more detail in the Company’s proxy statement dated September 26, 2025 (the "</w:t>
      </w:r>
      <w:r>
        <w:rPr>
          <w:rFonts w:ascii="Times New Roman" w:cs="Times New Roman" w:eastAsia="Times New Roman" w:hAnsi="Times New Roman"/>
          <w:sz w:val="16"/>
          <w:szCs w:val="16"/>
          <w:b w:val="1"/>
          <w:bCs w:val="1"/>
          <w:color w:val="auto"/>
        </w:rPr>
        <w:t>Proxy Statement</w:t>
      </w:r>
      <w:r>
        <w:rPr>
          <w:rFonts w:ascii="Times New Roman" w:cs="Times New Roman" w:eastAsia="Times New Roman" w:hAnsi="Times New Roman"/>
          <w:sz w:val="16"/>
          <w:szCs w:val="16"/>
          <w:color w:val="auto"/>
        </w:rPr>
        <w:t>"): (1) the re-election of John Herhalt as the Class I director to serve until his term expires or until a successor is duly elected and qualified; (2) the ratification of the appointment of PricewaterhouseCoopers LLP ("</w:t>
      </w:r>
      <w:r>
        <w:rPr>
          <w:rFonts w:ascii="Times New Roman" w:cs="Times New Roman" w:eastAsia="Times New Roman" w:hAnsi="Times New Roman"/>
          <w:sz w:val="16"/>
          <w:szCs w:val="16"/>
          <w:b w:val="1"/>
          <w:bCs w:val="1"/>
          <w:color w:val="auto"/>
        </w:rPr>
        <w:t>PWC</w:t>
      </w:r>
      <w:r>
        <w:rPr>
          <w:rFonts w:ascii="Times New Roman" w:cs="Times New Roman" w:eastAsia="Times New Roman" w:hAnsi="Times New Roman"/>
          <w:sz w:val="16"/>
          <w:szCs w:val="16"/>
          <w:color w:val="auto"/>
        </w:rPr>
        <w:t>") as the Company's independent registered accounting firm for the current fiscal year; (3) approval of the non-binding advisory resolution on the named executive officer compensation; and (4) the approval of the amendments (the “</w:t>
      </w:r>
      <w:r>
        <w:rPr>
          <w:rFonts w:ascii="Times New Roman" w:cs="Times New Roman" w:eastAsia="Times New Roman" w:hAnsi="Times New Roman"/>
          <w:sz w:val="16"/>
          <w:szCs w:val="16"/>
          <w:b w:val="1"/>
          <w:bCs w:val="1"/>
          <w:color w:val="auto"/>
        </w:rPr>
        <w:t>Governance Changes Proposal</w:t>
      </w:r>
      <w:r>
        <w:rPr>
          <w:rFonts w:ascii="Times New Roman" w:cs="Times New Roman" w:eastAsia="Times New Roman" w:hAnsi="Times New Roman"/>
          <w:sz w:val="16"/>
          <w:szCs w:val="16"/>
          <w:color w:val="auto"/>
        </w:rPr>
        <w:t>”) to the Company’s Certificate of Incorporation, as amended, to declassify the Company’s Board of Directors and eliminate provisions that allow stockholders to remove directors only for cause.</w:t>
      </w:r>
    </w:p>
    <w:p>
      <w:pPr>
        <w:spacing w:after="0" w:line="161"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6"/>
          <w:szCs w:val="16"/>
          <w:color w:val="auto"/>
        </w:rPr>
        <w:t>Each of the first and second proposals were formally approved and the third proposal was supported by approximately 70% of the vote of the Company’s stockholders at the Annual Meeting, as detailed in the voting results outlined below.</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The fourth proposal did not receive sufficient votes cast to approve the Governance Changes Proposal (i.e., majority of outstanding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Proposal No. 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Election of the Class I Director:</w:t>
            </w:r>
          </w:p>
        </w:tc>
        <w:tc>
          <w:tcPr>
            <w:tcW w:w="20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335"/>
        </w:trPr>
        <w:tc>
          <w:tcPr>
            <w:tcW w:w="3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4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8"/>
              </w:rPr>
              <w:t>Broker</w:t>
            </w:r>
          </w:p>
        </w:tc>
      </w:tr>
      <w:tr>
        <w:trPr>
          <w:trHeight w:val="211"/>
        </w:trPr>
        <w:tc>
          <w:tcPr>
            <w:tcW w:w="3940" w:type="dxa"/>
            <w:vAlign w:val="bottom"/>
            <w:tcBorders>
              <w:bottom w:val="single" w:sz="8" w:color="auto"/>
            </w:tcBorders>
          </w:tcPr>
          <w:p>
            <w:pPr>
              <w:jc w:val="center"/>
              <w:ind w:right="502"/>
              <w:spacing w:after="0"/>
              <w:rPr>
                <w:sz w:val="20"/>
                <w:szCs w:val="20"/>
                <w:color w:val="auto"/>
              </w:rPr>
            </w:pPr>
            <w:r>
              <w:rPr>
                <w:rFonts w:ascii="Times New Roman" w:cs="Times New Roman" w:eastAsia="Times New Roman" w:hAnsi="Times New Roman"/>
                <w:sz w:val="16"/>
                <w:szCs w:val="16"/>
                <w:b w:val="1"/>
                <w:bCs w:val="1"/>
                <w:color w:val="auto"/>
                <w:w w:val="99"/>
              </w:rPr>
              <w:t>Nominee</w:t>
            </w:r>
          </w:p>
        </w:tc>
        <w:tc>
          <w:tcPr>
            <w:tcW w:w="2040" w:type="dxa"/>
            <w:vAlign w:val="bottom"/>
            <w:tcBorders>
              <w:bottom w:val="single" w:sz="8" w:color="auto"/>
            </w:tcBorders>
          </w:tcPr>
          <w:p>
            <w:pPr>
              <w:jc w:val="center"/>
              <w:ind w:right="442"/>
              <w:spacing w:after="0"/>
              <w:rPr>
                <w:sz w:val="20"/>
                <w:szCs w:val="20"/>
                <w:color w:val="auto"/>
              </w:rPr>
            </w:pPr>
            <w:r>
              <w:rPr>
                <w:rFonts w:ascii="Times New Roman" w:cs="Times New Roman" w:eastAsia="Times New Roman" w:hAnsi="Times New Roman"/>
                <w:sz w:val="16"/>
                <w:szCs w:val="16"/>
                <w:b w:val="1"/>
                <w:bCs w:val="1"/>
                <w:color w:val="auto"/>
                <w:w w:val="96"/>
              </w:rPr>
              <w:t>For</w:t>
            </w:r>
          </w:p>
        </w:tc>
        <w:tc>
          <w:tcPr>
            <w:tcW w:w="244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6"/>
              </w:rPr>
              <w:t>Withheld</w:t>
            </w:r>
          </w:p>
        </w:tc>
        <w:tc>
          <w:tcPr>
            <w:tcW w:w="214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6"/>
                <w:szCs w:val="16"/>
                <w:b w:val="1"/>
                <w:bCs w:val="1"/>
                <w:color w:val="auto"/>
                <w:w w:val="97"/>
              </w:rPr>
              <w:t>Non-Votes</w:t>
            </w:r>
          </w:p>
        </w:tc>
      </w:tr>
      <w:tr>
        <w:trPr>
          <w:trHeight w:val="203"/>
        </w:trPr>
        <w:tc>
          <w:tcPr>
            <w:tcW w:w="3940" w:type="dxa"/>
            <w:vAlign w:val="bottom"/>
          </w:tcPr>
          <w:p>
            <w:pPr>
              <w:jc w:val="center"/>
              <w:ind w:right="502"/>
              <w:spacing w:after="0"/>
              <w:rPr>
                <w:sz w:val="20"/>
                <w:szCs w:val="20"/>
                <w:color w:val="auto"/>
              </w:rPr>
            </w:pPr>
            <w:r>
              <w:rPr>
                <w:rFonts w:ascii="Times New Roman" w:cs="Times New Roman" w:eastAsia="Times New Roman" w:hAnsi="Times New Roman"/>
                <w:sz w:val="16"/>
                <w:szCs w:val="16"/>
                <w:color w:val="auto"/>
                <w:w w:val="97"/>
              </w:rPr>
              <w:t>John Herhalt</w:t>
            </w:r>
          </w:p>
        </w:tc>
        <w:tc>
          <w:tcPr>
            <w:tcW w:w="204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rPr>
              <w:t>85,540,003</w:t>
            </w:r>
          </w:p>
        </w:tc>
        <w:tc>
          <w:tcPr>
            <w:tcW w:w="244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rPr>
              <w:t>23,445,500</w:t>
            </w:r>
          </w:p>
        </w:tc>
        <w:tc>
          <w:tcPr>
            <w:tcW w:w="214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7"/>
              </w:rPr>
              <w:t>326,877,556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358775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1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Proposal No. 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Ratification of Selection of PWC as Independent Registered Public Accounting Firm:</w:t>
            </w:r>
          </w:p>
        </w:tc>
        <w:tc>
          <w:tcPr>
            <w:tcW w:w="1280" w:type="dxa"/>
            <w:vAlign w:val="bottom"/>
          </w:tcPr>
          <w:p>
            <w:pPr>
              <w:spacing w:after="0"/>
              <w:rPr>
                <w:sz w:val="18"/>
                <w:szCs w:val="18"/>
                <w:color w:val="auto"/>
              </w:rPr>
            </w:pPr>
          </w:p>
        </w:tc>
      </w:tr>
      <w:tr>
        <w:trPr>
          <w:trHeight w:val="335"/>
        </w:trPr>
        <w:tc>
          <w:tcPr>
            <w:tcW w:w="712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For</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402,964,551</w:t>
            </w:r>
          </w:p>
        </w:tc>
      </w:tr>
      <w:tr>
        <w:trPr>
          <w:trHeight w:val="180"/>
        </w:trPr>
        <w:tc>
          <w:tcPr>
            <w:tcW w:w="7120" w:type="dxa"/>
            <w:vAlign w:val="bottom"/>
          </w:tcPr>
          <w:p>
            <w:pPr>
              <w:ind w:left="1440"/>
              <w:spacing w:after="0" w:line="180" w:lineRule="exact"/>
              <w:rPr>
                <w:sz w:val="20"/>
                <w:szCs w:val="20"/>
                <w:color w:val="auto"/>
              </w:rPr>
            </w:pPr>
            <w:r>
              <w:rPr>
                <w:rFonts w:ascii="Times New Roman" w:cs="Times New Roman" w:eastAsia="Times New Roman" w:hAnsi="Times New Roman"/>
                <w:sz w:val="16"/>
                <w:szCs w:val="16"/>
                <w:b w:val="1"/>
                <w:bCs w:val="1"/>
                <w:color w:val="auto"/>
              </w:rPr>
              <w:t>Against</w:t>
            </w:r>
          </w:p>
        </w:tc>
        <w:tc>
          <w:tcPr>
            <w:tcW w:w="1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20,170,494</w:t>
            </w:r>
          </w:p>
        </w:tc>
      </w:tr>
      <w:tr>
        <w:trPr>
          <w:trHeight w:val="205"/>
        </w:trPr>
        <w:tc>
          <w:tcPr>
            <w:tcW w:w="7120" w:type="dxa"/>
            <w:vAlign w:val="bottom"/>
          </w:tcPr>
          <w:p>
            <w:pPr>
              <w:ind w:left="1440"/>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138430</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Proposal No. 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Voting Results for the Non-Binding Advisory Resolution on the Named Executive Officer Compensation:</w:t>
      </w:r>
    </w:p>
    <w:p>
      <w:pPr>
        <w:spacing w:after="0" w:line="354"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72,869,843</w:t>
            </w:r>
          </w:p>
        </w:tc>
      </w:tr>
      <w:tr>
        <w:trPr>
          <w:trHeight w:val="180"/>
        </w:trPr>
        <w:tc>
          <w:tcPr>
            <w:tcW w:w="33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Against</w:t>
            </w:r>
          </w:p>
        </w:tc>
        <w:tc>
          <w:tcPr>
            <w:tcW w:w="3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31,887,041</w:t>
            </w:r>
          </w:p>
        </w:tc>
      </w:tr>
      <w:tr>
        <w:trPr>
          <w:trHeight w:val="205"/>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3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Proposal No. 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 xml:space="preserve"> Governance Changes Proposal:</w:t>
            </w:r>
          </w:p>
        </w:tc>
        <w:tc>
          <w:tcPr>
            <w:tcW w:w="4920" w:type="dxa"/>
            <w:vAlign w:val="bottom"/>
          </w:tcPr>
          <w:p>
            <w:pPr>
              <w:spacing w:after="0"/>
              <w:rPr>
                <w:sz w:val="18"/>
                <w:szCs w:val="18"/>
                <w:color w:val="auto"/>
              </w:rPr>
            </w:pPr>
          </w:p>
        </w:tc>
      </w:tr>
      <w:tr>
        <w:trPr>
          <w:trHeight w:val="515"/>
        </w:trPr>
        <w:tc>
          <w:tcPr>
            <w:tcW w:w="564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For</w:t>
            </w:r>
          </w:p>
        </w:tc>
        <w:tc>
          <w:tcPr>
            <w:tcW w:w="4920" w:type="dxa"/>
            <w:vAlign w:val="bottom"/>
          </w:tcPr>
          <w:p>
            <w:pPr>
              <w:jc w:val="right"/>
              <w:ind w:right="1942"/>
              <w:spacing w:after="0"/>
              <w:rPr>
                <w:sz w:val="20"/>
                <w:szCs w:val="20"/>
                <w:color w:val="auto"/>
              </w:rPr>
            </w:pPr>
            <w:r>
              <w:rPr>
                <w:rFonts w:ascii="Times New Roman" w:cs="Times New Roman" w:eastAsia="Times New Roman" w:hAnsi="Times New Roman"/>
                <w:sz w:val="16"/>
                <w:szCs w:val="16"/>
                <w:color w:val="auto"/>
              </w:rPr>
              <w:t>93,618,416</w:t>
            </w:r>
          </w:p>
        </w:tc>
      </w:tr>
      <w:tr>
        <w:trPr>
          <w:trHeight w:val="180"/>
        </w:trPr>
        <w:tc>
          <w:tcPr>
            <w:tcW w:w="5640" w:type="dxa"/>
            <w:vAlign w:val="bottom"/>
          </w:tcPr>
          <w:p>
            <w:pPr>
              <w:ind w:left="2020"/>
              <w:spacing w:after="0" w:line="180" w:lineRule="exact"/>
              <w:rPr>
                <w:sz w:val="20"/>
                <w:szCs w:val="20"/>
                <w:color w:val="auto"/>
              </w:rPr>
            </w:pPr>
            <w:r>
              <w:rPr>
                <w:rFonts w:ascii="Times New Roman" w:cs="Times New Roman" w:eastAsia="Times New Roman" w:hAnsi="Times New Roman"/>
                <w:sz w:val="16"/>
                <w:szCs w:val="16"/>
                <w:b w:val="1"/>
                <w:bCs w:val="1"/>
                <w:color w:val="auto"/>
              </w:rPr>
              <w:t>Against</w:t>
            </w:r>
          </w:p>
        </w:tc>
        <w:tc>
          <w:tcPr>
            <w:tcW w:w="4920" w:type="dxa"/>
            <w:vAlign w:val="bottom"/>
          </w:tcPr>
          <w:p>
            <w:pPr>
              <w:jc w:val="right"/>
              <w:ind w:right="1942"/>
              <w:spacing w:after="0" w:line="180" w:lineRule="exact"/>
              <w:rPr>
                <w:sz w:val="20"/>
                <w:szCs w:val="20"/>
                <w:color w:val="auto"/>
              </w:rPr>
            </w:pPr>
            <w:r>
              <w:rPr>
                <w:rFonts w:ascii="Times New Roman" w:cs="Times New Roman" w:eastAsia="Times New Roman" w:hAnsi="Times New Roman"/>
                <w:sz w:val="16"/>
                <w:szCs w:val="16"/>
                <w:color w:val="auto"/>
              </w:rPr>
              <w:t>12,215,984</w:t>
            </w:r>
          </w:p>
        </w:tc>
      </w:tr>
      <w:tr>
        <w:trPr>
          <w:trHeight w:val="180"/>
        </w:trPr>
        <w:tc>
          <w:tcPr>
            <w:tcW w:w="5640" w:type="dxa"/>
            <w:vAlign w:val="bottom"/>
          </w:tcPr>
          <w:p>
            <w:pPr>
              <w:ind w:left="2020"/>
              <w:spacing w:after="0" w:line="180" w:lineRule="exact"/>
              <w:rPr>
                <w:sz w:val="20"/>
                <w:szCs w:val="20"/>
                <w:color w:val="auto"/>
              </w:rPr>
            </w:pPr>
            <w:r>
              <w:rPr>
                <w:rFonts w:ascii="Times New Roman" w:cs="Times New Roman" w:eastAsia="Times New Roman" w:hAnsi="Times New Roman"/>
                <w:sz w:val="16"/>
                <w:szCs w:val="16"/>
                <w:b w:val="1"/>
                <w:bCs w:val="1"/>
                <w:color w:val="auto"/>
              </w:rPr>
              <w:t>Abstain</w:t>
            </w:r>
          </w:p>
        </w:tc>
        <w:tc>
          <w:tcPr>
            <w:tcW w:w="4920" w:type="dxa"/>
            <w:vAlign w:val="bottom"/>
          </w:tcPr>
          <w:p>
            <w:pPr>
              <w:jc w:val="right"/>
              <w:ind w:right="1922"/>
              <w:spacing w:after="0" w:line="180" w:lineRule="exact"/>
              <w:rPr>
                <w:sz w:val="20"/>
                <w:szCs w:val="20"/>
                <w:color w:val="auto"/>
              </w:rPr>
            </w:pPr>
            <w:r>
              <w:rPr>
                <w:rFonts w:ascii="Times New Roman" w:cs="Times New Roman" w:eastAsia="Times New Roman" w:hAnsi="Times New Roman"/>
                <w:sz w:val="16"/>
                <w:szCs w:val="16"/>
                <w:color w:val="auto"/>
              </w:rPr>
              <w:t>3,151,103</w:t>
            </w:r>
          </w:p>
        </w:tc>
      </w:tr>
      <w:tr>
        <w:trPr>
          <w:trHeight w:val="205"/>
        </w:trPr>
        <w:tc>
          <w:tcPr>
            <w:tcW w:w="5640" w:type="dxa"/>
            <w:vAlign w:val="bottom"/>
          </w:tcPr>
          <w:p>
            <w:pPr>
              <w:ind w:left="2020"/>
              <w:spacing w:after="0"/>
              <w:rPr>
                <w:sz w:val="20"/>
                <w:szCs w:val="20"/>
                <w:color w:val="auto"/>
              </w:rPr>
            </w:pPr>
            <w:r>
              <w:rPr>
                <w:rFonts w:ascii="Times New Roman" w:cs="Times New Roman" w:eastAsia="Times New Roman" w:hAnsi="Times New Roman"/>
                <w:sz w:val="16"/>
                <w:szCs w:val="16"/>
                <w:b w:val="1"/>
                <w:bCs w:val="1"/>
                <w:color w:val="auto"/>
              </w:rPr>
              <w:t>Broker Non-Votes</w:t>
            </w:r>
          </w:p>
        </w:tc>
        <w:tc>
          <w:tcPr>
            <w:tcW w:w="4920" w:type="dxa"/>
            <w:vAlign w:val="bottom"/>
          </w:tcPr>
          <w:p>
            <w:pPr>
              <w:jc w:val="right"/>
              <w:ind w:right="1922"/>
              <w:spacing w:after="0"/>
              <w:rPr>
                <w:sz w:val="20"/>
                <w:szCs w:val="20"/>
                <w:color w:val="auto"/>
              </w:rPr>
            </w:pPr>
            <w:r>
              <w:rPr>
                <w:rFonts w:ascii="Times New Roman" w:cs="Times New Roman" w:eastAsia="Times New Roman" w:hAnsi="Times New Roman"/>
                <w:sz w:val="16"/>
                <w:szCs w:val="16"/>
                <w:color w:val="auto"/>
              </w:rPr>
              <w:t>326,877,556</w:t>
            </w:r>
          </w:p>
        </w:tc>
      </w:tr>
      <w:tr>
        <w:trPr>
          <w:trHeight w:val="678"/>
        </w:trPr>
        <w:tc>
          <w:tcPr>
            <w:tcW w:w="56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40" w:orient="portrait"/>
          <w:cols w:equalWidth="0" w:num="1">
            <w:col w:w="10560"/>
          </w:cols>
          <w:pgMar w:left="660" w:top="963" w:right="680"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Tilray Brands,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19, 2025</w:t>
      </w:r>
    </w:p>
    <w:p>
      <w:pPr>
        <w:ind w:left="4720"/>
        <w:spacing w:after="0" w:line="234" w:lineRule="auto"/>
        <w:rPr>
          <w:sz w:val="20"/>
          <w:szCs w:val="20"/>
          <w:color w:val="auto"/>
        </w:rPr>
      </w:pPr>
      <w:r>
        <w:rPr>
          <w:rFonts w:ascii="Times New Roman" w:cs="Times New Roman" w:eastAsia="Times New Roman" w:hAnsi="Times New Roman"/>
          <w:sz w:val="16"/>
          <w:szCs w:val="16"/>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-17145</wp:posOffset>
            </wp:positionV>
            <wp:extent cx="784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4860" cy="7620"/>
                    </a:xfrm>
                    <a:prstGeom prst="rect">
                      <a:avLst/>
                    </a:prstGeom>
                    <a:noFill/>
                  </pic:spPr>
                </pic:pic>
              </a:graphicData>
            </a:graphic>
          </wp:anchor>
        </w:drawing>
      </w:r>
    </w:p>
    <w:p>
      <w:pPr>
        <w:ind w:left="4720"/>
        <w:spacing w:after="0" w:line="235" w:lineRule="auto"/>
        <w:rPr>
          <w:sz w:val="20"/>
          <w:szCs w:val="20"/>
          <w:color w:val="auto"/>
        </w:rPr>
      </w:pPr>
      <w:r>
        <w:rPr>
          <w:rFonts w:ascii="Times New Roman" w:cs="Times New Roman" w:eastAsia="Times New Roman" w:hAnsi="Times New Roman"/>
          <w:sz w:val="16"/>
          <w:szCs w:val="16"/>
          <w:color w:val="auto"/>
        </w:rPr>
        <w:t>Name: Mitchell Gendel</w:t>
      </w:r>
    </w:p>
    <w:p>
      <w:pPr>
        <w:spacing w:after="0" w:line="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Title: Global General Counsel</w:t>
      </w:r>
    </w:p>
    <w:p>
      <w:pPr>
        <w:sectPr>
          <w:pgSz w:w="11900" w:h="16840" w:orient="portrait"/>
          <w:cols w:equalWidth="0" w:num="1">
            <w:col w:w="10340"/>
          </w:cols>
          <w:pgMar w:left="660" w:top="963" w:right="900" w:bottom="1440" w:gutter="0" w:footer="0" w:header="0"/>
        </w:sectPr>
      </w:pPr>
    </w:p>
    <w:bookmarkStart w:id="3" w:name="page4"/>
    <w:bookmarkEnd w:id="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2025-11-19T15:42:40Z</dcterms:created>
  <dcterms:modified xsi:type="dcterms:W3CDTF">2025-11-19T15:42:40Z</dcterms:modified>
</cp:coreProperties>
</file>