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717"/>
        <w:gridCol w:w="3422"/>
        <w:gridCol w:w="3066"/>
      </w:tblGrid>
      <w:tr>
        <w:trPr/>
        <w:tc>
          <w:tcPr>
            <w:tcW w:w="371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7"/>
            </w:tblGrid>
            <w:tr>
              <w:trPr/>
              <w:tc>
                <w:tcPr>
                  <w:tcW w:w="35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FALTISCHEK DENISE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9"/>
              <w:gridCol w:w="1199"/>
              <w:gridCol w:w="1199"/>
            </w:tblGrid>
            <w:tr>
              <w:trPr/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7"/>
            </w:tblGrid>
            <w:tr>
              <w:trPr/>
              <w:tc>
                <w:tcPr>
                  <w:tcW w:w="35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5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9"/>
              <w:gridCol w:w="1199"/>
              <w:gridCol w:w="1199"/>
            </w:tblGrid>
            <w:tr>
              <w:trPr/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9"/>
              <w:gridCol w:w="1199"/>
              <w:gridCol w:w="1199"/>
            </w:tblGrid>
            <w:tr>
              <w:trPr/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7"/>
            </w:tblGrid>
            <w:tr>
              <w:trPr/>
              <w:tc>
                <w:tcPr>
                  <w:tcW w:w="35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CANADA (FEDERAL LEVEL)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42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6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2"/>
              <w:gridCol w:w="441"/>
              <w:gridCol w:w="1032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6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71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2505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4.78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Amount includes shares of Common Stock beneficially owned by the reporting person but excludes other unvested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M. Faltischek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590" TargetMode="External"/><Relationship Id="rId5" Type="http://schemas.openxmlformats.org/officeDocument/2006/relationships/hyperlink" Target="http://www.sec.gov/cgi-bin/browse-edgar?action=getcompany&amp;CIK=00017313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3246</Characters>
  <CharactersWithSpaces>3770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