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476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763135"/>
                    </a:xfrm>
                    <a:prstGeom prst="rect">
                      <a:avLst/>
                    </a:prstGeom>
                    <a:noFill/>
                  </pic:spPr>
                </pic:pic>
              </a:graphicData>
            </a:graphic>
          </wp:anchor>
        </w:drawing>
      </w:r>
    </w:p>
    <w:p>
      <w:pPr>
        <w:spacing w:after="0" w:line="1002" w:lineRule="exact"/>
        <w:rPr>
          <w:sz w:val="24"/>
          <w:szCs w:val="24"/>
          <w:color w:val="auto"/>
        </w:rPr>
      </w:pPr>
    </w:p>
    <w:p>
      <w:pPr>
        <w:sectPr>
          <w:pgSz w:w="11900" w:h="16838" w:orient="portrait"/>
          <w:cols w:equalWidth="0" w:num="2">
            <w:col w:w="2260" w:space="46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3"/>
            <w:vMerge w:val="restart"/>
          </w:tcPr>
          <w:p>
            <w:pPr>
              <w:spacing w:after="0" w:line="225"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FALTISCHEK DENISE M</w:t>
              </w:r>
            </w:hyperlink>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gridSpan w:val="5"/>
          </w:tcPr>
          <w:p>
            <w:pPr>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bottom w:val="single" w:sz="8" w:color="0000EE"/>
            </w:tcBorders>
            <w:gridSpan w:val="3"/>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40" w:type="dxa"/>
            <w:vAlign w:val="bottom"/>
            <w:gridSpan w:val="3"/>
          </w:tcPr>
          <w:p>
            <w:pPr>
              <w:spacing w:after="0"/>
              <w:rPr>
                <w:sz w:val="3"/>
                <w:szCs w:val="3"/>
                <w:color w:val="auto"/>
              </w:rPr>
            </w:pPr>
          </w:p>
        </w:tc>
        <w:tc>
          <w:tcPr>
            <w:tcW w:w="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20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Borders>
              <w:top w:val="single" w:sz="8" w:color="EEEEEE"/>
            </w:tcBorders>
          </w:tcPr>
          <w:p>
            <w:pPr>
              <w:spacing w:after="0"/>
              <w:rPr>
                <w:sz w:val="11"/>
                <w:szCs w:val="11"/>
                <w:color w:val="auto"/>
              </w:rPr>
            </w:pPr>
          </w:p>
        </w:tc>
        <w:tc>
          <w:tcPr>
            <w:tcW w:w="11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1"/>
                <w:szCs w:val="11"/>
                <w:color w:val="auto"/>
              </w:rPr>
            </w:pPr>
          </w:p>
        </w:tc>
        <w:tc>
          <w:tcPr>
            <w:tcW w:w="300" w:type="dxa"/>
            <w:vAlign w:val="bottom"/>
            <w:tcBorders>
              <w:top w:val="single" w:sz="8" w:color="EEEEEE"/>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120"/>
              <w:spacing w:after="0" w:line="111"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ind w:left="200"/>
              <w:spacing w:after="0" w:line="111" w:lineRule="exact"/>
              <w:rPr>
                <w:sz w:val="20"/>
                <w:szCs w:val="20"/>
                <w:color w:val="auto"/>
              </w:rPr>
            </w:pPr>
            <w:r>
              <w:rPr>
                <w:rFonts w:ascii="Arial" w:cs="Arial" w:eastAsia="Arial" w:hAnsi="Arial"/>
                <w:sz w:val="12"/>
                <w:szCs w:val="12"/>
                <w:color w:val="auto"/>
              </w:rPr>
              <w:t>below)</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40" w:type="dxa"/>
            <w:vAlign w:val="bottom"/>
            <w:gridSpan w:val="4"/>
            <w:vMerge w:val="restart"/>
          </w:tcPr>
          <w:p>
            <w:pPr>
              <w:ind w:left="460"/>
              <w:spacing w:after="0" w:line="177" w:lineRule="exact"/>
              <w:rPr>
                <w:sz w:val="20"/>
                <w:szCs w:val="20"/>
                <w:color w:val="auto"/>
              </w:rPr>
            </w:pPr>
            <w:r>
              <w:rPr>
                <w:rFonts w:ascii="Times New Roman" w:cs="Times New Roman" w:eastAsia="Times New Roman" w:hAnsi="Times New Roman"/>
                <w:sz w:val="16"/>
                <w:szCs w:val="16"/>
                <w:color w:val="0000FF"/>
              </w:rPr>
              <w:t>Chief Strategy Officer</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TILRAY BRANDS, INC.</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8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07/29/2025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265 TALBOT STREET WEST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202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480" w:type="dxa"/>
            <w:vAlign w:val="bottom"/>
            <w:tcBorders>
              <w:top w:val="single" w:sz="8" w:color="808080"/>
            </w:tcBorders>
            <w:gridSpan w:val="3"/>
            <w:shd w:val="clear" w:color="auto" w:fill="2C2C2C"/>
          </w:tcPr>
          <w:p>
            <w:pPr>
              <w:spacing w:after="0" w:line="20" w:lineRule="exact"/>
              <w:rPr>
                <w:sz w:val="1"/>
                <w:szCs w:val="1"/>
                <w:color w:val="auto"/>
              </w:rPr>
            </w:pPr>
          </w:p>
        </w:tc>
        <w:tc>
          <w:tcPr>
            <w:tcW w:w="2020" w:type="dxa"/>
            <w:vAlign w:val="bottom"/>
            <w:tcBorders>
              <w:top w:val="single" w:sz="8" w:color="808080"/>
            </w:tcBorders>
            <w:gridSpan w:val="5"/>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LEAMINGTON</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A6</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N8H 4H3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261,194</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919,069</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138,433</w:t>
            </w:r>
            <w:r>
              <w:rPr>
                <w:rFonts w:ascii="Times New Roman" w:cs="Times New Roman" w:eastAsia="Times New Roman" w:hAnsi="Times New Roman"/>
                <w:sz w:val="20"/>
                <w:szCs w:val="20"/>
                <w:color w:val="008000"/>
                <w:vertAlign w:val="superscript"/>
              </w:rPr>
              <w:t>(3)</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780,636</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gridSpan w:val="14"/>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0000FF"/>
              </w:rPr>
              <w:t>261,194</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5"/>
                <w:szCs w:val="5"/>
                <w:color w:val="auto"/>
              </w:rPr>
            </w:pPr>
          </w:p>
        </w:tc>
        <w:tc>
          <w:tcPr>
            <w:tcW w:w="920" w:type="dxa"/>
            <w:vAlign w:val="bottom"/>
            <w:vMerge w:val="restart"/>
          </w:tcPr>
          <w:p>
            <w:pPr>
              <w:jc w:val="center"/>
              <w:ind w:left="218"/>
              <w:spacing w:after="0" w:line="135" w:lineRule="exact"/>
              <w:rPr>
                <w:sz w:val="20"/>
                <w:szCs w:val="20"/>
                <w:color w:val="auto"/>
              </w:rPr>
            </w:pPr>
            <w:r>
              <w:rPr>
                <w:rFonts w:ascii="Times New Roman" w:cs="Times New Roman" w:eastAsia="Times New Roman" w:hAnsi="Times New Roman"/>
                <w:sz w:val="12"/>
                <w:szCs w:val="12"/>
                <w:color w:val="0000FF"/>
              </w:rPr>
              <w:t>07/30/2025</w:t>
            </w: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5"/>
                <w:szCs w:val="5"/>
                <w:color w:val="auto"/>
              </w:rPr>
            </w:pPr>
          </w:p>
        </w:tc>
        <w:tc>
          <w:tcPr>
            <w:tcW w:w="520" w:type="dxa"/>
            <w:vAlign w:val="bottom"/>
            <w:vMerge w:val="restart"/>
          </w:tcPr>
          <w:p>
            <w:pPr>
              <w:ind w:left="40"/>
              <w:spacing w:after="0" w:line="135" w:lineRule="exact"/>
              <w:rPr>
                <w:sz w:val="20"/>
                <w:szCs w:val="20"/>
                <w:color w:val="auto"/>
              </w:rPr>
            </w:pPr>
            <w:r>
              <w:rPr>
                <w:rFonts w:ascii="Times New Roman" w:cs="Times New Roman" w:eastAsia="Times New Roman" w:hAnsi="Times New Roman"/>
                <w:sz w:val="12"/>
                <w:szCs w:val="12"/>
                <w:color w:val="0000FF"/>
              </w:rPr>
              <w:t>261,194</w:t>
            </w: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restart"/>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45"/>
              <w:spacing w:after="0" w:line="135" w:lineRule="exact"/>
              <w:rPr>
                <w:sz w:val="20"/>
                <w:szCs w:val="20"/>
                <w:color w:val="auto"/>
              </w:rPr>
            </w:pPr>
            <w:r>
              <w:rPr>
                <w:rFonts w:ascii="Times New Roman" w:cs="Times New Roman" w:eastAsia="Times New Roman" w:hAnsi="Times New Roman"/>
                <w:sz w:val="12"/>
                <w:szCs w:val="12"/>
                <w:color w:val="0000FF"/>
              </w:rPr>
              <w:t>261,194</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right"/>
              <w:ind w:right="115"/>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1,873,707</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0"/>
                <w:szCs w:val="10"/>
                <w:color w:val="auto"/>
              </w:rPr>
            </w:pPr>
          </w:p>
        </w:tc>
        <w:tc>
          <w:tcPr>
            <w:tcW w:w="920" w:type="dxa"/>
            <w:vAlign w:val="bottom"/>
          </w:tcPr>
          <w:p>
            <w:pPr>
              <w:jc w:val="center"/>
              <w:ind w:left="218"/>
              <w:spacing w:after="0" w:line="123" w:lineRule="exact"/>
              <w:rPr>
                <w:sz w:val="20"/>
                <w:szCs w:val="20"/>
                <w:color w:val="auto"/>
              </w:rPr>
            </w:pPr>
            <w:r>
              <w:rPr>
                <w:rFonts w:ascii="Times New Roman" w:cs="Times New Roman" w:eastAsia="Times New Roman" w:hAnsi="Times New Roman"/>
                <w:sz w:val="12"/>
                <w:szCs w:val="12"/>
                <w:color w:val="0000FF"/>
              </w:rPr>
              <w:t>07/29/2025</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160"/>
              <w:spacing w:after="0" w:line="123"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0000FF"/>
              </w:rPr>
              <w:t>1,873,707</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tcPr>
          <w:p>
            <w:pPr>
              <w:ind w:left="260"/>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05"/>
              <w:spacing w:after="0" w:line="123" w:lineRule="exact"/>
              <w:rPr>
                <w:sz w:val="20"/>
                <w:szCs w:val="20"/>
                <w:color w:val="auto"/>
              </w:rPr>
            </w:pPr>
            <w:r>
              <w:rPr>
                <w:rFonts w:ascii="Times New Roman" w:cs="Times New Roman" w:eastAsia="Times New Roman" w:hAnsi="Times New Roman"/>
                <w:sz w:val="12"/>
                <w:szCs w:val="12"/>
                <w:color w:val="0000FF"/>
              </w:rPr>
              <w:t>1,873,707</w:t>
            </w:r>
          </w:p>
        </w:tc>
        <w:tc>
          <w:tcPr>
            <w:tcW w:w="640" w:type="dxa"/>
            <w:vAlign w:val="bottom"/>
          </w:tcPr>
          <w:p>
            <w:pPr>
              <w:ind w:left="340"/>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15"/>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-1852930</wp:posOffset>
            </wp:positionV>
            <wp:extent cx="27940" cy="1858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864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2024, the reporting person was granted 522,388 of 2024 RSUs, and 261,194 RSUs vested on July 30, 2025.</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261,194 2024 RSUs previously granted on July 30, 2024.</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unit represents a contingent right to receive one (1) share of Tilray Common Stock.</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(1) share of Common Stock. Grant date is based on close of trading on July 29, 2025.</w:t>
      </w:r>
    </w:p>
    <w:p>
      <w:pPr>
        <w:spacing w:after="0" w:line="45" w:lineRule="exact"/>
        <w:rPr>
          <w:rFonts w:ascii="Times New Roman" w:cs="Times New Roman" w:eastAsia="Times New Roman" w:hAnsi="Times New Roman"/>
          <w:sz w:val="12"/>
          <w:szCs w:val="12"/>
          <w:color w:val="008000"/>
        </w:rPr>
      </w:pPr>
    </w:p>
    <w:p>
      <w:pPr>
        <w:ind w:left="40" w:right="14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Denise M. Faltischek</w:t>
            </w:r>
          </w:p>
        </w:tc>
        <w:tc>
          <w:tcPr>
            <w:tcW w:w="44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07/31/2025</w:t>
            </w:r>
          </w:p>
        </w:tc>
      </w:tr>
      <w:tr>
        <w:trPr>
          <w:trHeight w:val="20"/>
        </w:trPr>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7590"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2025-07-31T17:28:08Z</dcterms:created>
  <dcterms:modified xsi:type="dcterms:W3CDTF">2025-07-31T17:28:08Z</dcterms:modified>
</cp:coreProperties>
</file>