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9" w:lineRule="exact"/>
        <w:rPr>
          <w:sz w:val="24"/>
          <w:szCs w:val="24"/>
          <w:color w:val="auto"/>
        </w:rPr>
      </w:pPr>
    </w:p>
    <w:p>
      <w:pPr>
        <w:ind w:left="320" w:right="140"/>
        <w:spacing w:after="0" w:line="24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-214630</wp:posOffset>
            </wp:positionV>
            <wp:extent cx="116205"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4" w:lineRule="exact"/>
        <w:rPr>
          <w:sz w:val="24"/>
          <w:szCs w:val="24"/>
          <w:color w:val="auto"/>
        </w:rPr>
      </w:pPr>
    </w:p>
    <w:p>
      <w:pPr>
        <w:ind w:left="320"/>
        <w:spacing w:after="0" w:line="23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-547370</wp:posOffset>
            </wp:positionV>
            <wp:extent cx="116205" cy="116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jc w:val="center"/>
              <w:ind w:right="32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40" w:type="dxa"/>
            <w:vAlign w:val="bottom"/>
            <w:vMerge w:val="restart"/>
          </w:tcPr>
          <w:p>
            <w:pPr>
              <w:jc w:val="center"/>
              <w:ind w:right="320"/>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20"/>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5171440</wp:posOffset>
            </wp:positionH>
            <wp:positionV relativeFrom="paragraph">
              <wp:posOffset>-594360</wp:posOffset>
            </wp:positionV>
            <wp:extent cx="5651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69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-594360</wp:posOffset>
            </wp:positionV>
            <wp:extent cx="56515" cy="607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769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629920</wp:posOffset>
            </wp:positionV>
            <wp:extent cx="7000240" cy="4763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4763135"/>
                    </a:xfrm>
                    <a:prstGeom prst="rect">
                      <a:avLst/>
                    </a:prstGeom>
                    <a:noFill/>
                  </pic:spPr>
                </pic:pic>
              </a:graphicData>
            </a:graphic>
          </wp:anchor>
        </w:drawing>
      </w:r>
    </w:p>
    <w:p>
      <w:pPr>
        <w:spacing w:after="0" w:line="1002" w:lineRule="exact"/>
        <w:rPr>
          <w:sz w:val="24"/>
          <w:szCs w:val="24"/>
          <w:color w:val="auto"/>
        </w:rPr>
      </w:pPr>
    </w:p>
    <w:p>
      <w:pPr>
        <w:sectPr>
          <w:pgSz w:w="11900" w:h="16838" w:orient="portrait"/>
          <w:cols w:equalWidth="0" w:num="2">
            <w:col w:w="2260" w:space="460"/>
            <w:col w:w="8360"/>
          </w:cols>
          <w:pgMar w:left="460" w:top="212"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2"/>
            <w:vMerge w:val="restart"/>
          </w:tcPr>
          <w:p>
            <w:pPr>
              <w:spacing w:after="0" w:line="225" w:lineRule="exact"/>
              <w:rPr>
                <w:rFonts w:ascii="Times New Roman" w:cs="Times New Roman" w:eastAsia="Times New Roman" w:hAnsi="Times New Roman"/>
                <w:sz w:val="20"/>
                <w:szCs w:val="20"/>
                <w:color w:val="0000EE"/>
                <w:w w:val="96"/>
              </w:rPr>
            </w:pPr>
            <w:hyperlink r:id="rId13">
              <w:r>
                <w:rPr>
                  <w:rFonts w:ascii="Times New Roman" w:cs="Times New Roman" w:eastAsia="Times New Roman" w:hAnsi="Times New Roman"/>
                  <w:sz w:val="20"/>
                  <w:szCs w:val="20"/>
                  <w:color w:val="0000EE"/>
                  <w:w w:val="96"/>
                </w:rPr>
                <w:t>Merton Carl A</w:t>
              </w:r>
            </w:hyperlink>
          </w:p>
        </w:tc>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20" w:type="dxa"/>
            <w:vAlign w:val="bottom"/>
            <w:gridSpan w:val="5"/>
          </w:tcPr>
          <w:p>
            <w:pPr>
              <w:spacing w:after="0" w:line="98"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Tilray Brands,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TLRY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gridSpan w:val="3"/>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Borders>
              <w:bottom w:val="single" w:sz="8" w:color="0000EE"/>
            </w:tcBorders>
            <w:gridSpan w:val="2"/>
            <w:vMerge w:val="continue"/>
          </w:tcPr>
          <w:p>
            <w:pPr>
              <w:spacing w:after="0"/>
              <w:rPr>
                <w:sz w:val="4"/>
                <w:szCs w:val="4"/>
                <w:color w:val="auto"/>
              </w:rPr>
            </w:pPr>
          </w:p>
        </w:tc>
        <w:tc>
          <w:tcPr>
            <w:tcW w:w="60" w:type="dxa"/>
            <w:vAlign w:val="bottom"/>
            <w:vMerge w:val="restart"/>
          </w:tcPr>
          <w:p>
            <w:pPr>
              <w:spacing w:after="0"/>
              <w:rPr>
                <w:sz w:val="4"/>
                <w:szCs w:val="4"/>
                <w:color w:val="auto"/>
              </w:rPr>
            </w:pPr>
          </w:p>
        </w:tc>
        <w:tc>
          <w:tcPr>
            <w:tcW w:w="1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6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29" w:lineRule="exact"/>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11"/>
                <w:szCs w:val="11"/>
                <w:color w:val="auto"/>
              </w:rPr>
            </w:pPr>
          </w:p>
        </w:tc>
        <w:tc>
          <w:tcPr>
            <w:tcW w:w="1440" w:type="dxa"/>
            <w:vAlign w:val="bottom"/>
            <w:gridSpan w:val="4"/>
          </w:tcPr>
          <w:p>
            <w:pPr>
              <w:ind w:left="200"/>
              <w:spacing w:after="0" w:line="129"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(Last)</w:t>
            </w:r>
          </w:p>
        </w:tc>
        <w:tc>
          <w:tcPr>
            <w:tcW w:w="600" w:type="dxa"/>
            <w:vAlign w:val="bottom"/>
            <w:tcBorders>
              <w:top w:val="single" w:sz="8" w:color="EEEEEE"/>
            </w:tcBorders>
          </w:tcPr>
          <w:p>
            <w:pPr>
              <w:spacing w:after="0"/>
              <w:rPr>
                <w:sz w:val="11"/>
                <w:szCs w:val="11"/>
                <w:color w:val="auto"/>
              </w:rPr>
            </w:pPr>
          </w:p>
        </w:tc>
        <w:tc>
          <w:tcPr>
            <w:tcW w:w="60" w:type="dxa"/>
            <w:vAlign w:val="bottom"/>
            <w:tcBorders>
              <w:top w:val="single" w:sz="8" w:color="EEEEEE"/>
            </w:tcBorders>
          </w:tcPr>
          <w:p>
            <w:pPr>
              <w:spacing w:after="0"/>
              <w:rPr>
                <w:sz w:val="11"/>
                <w:szCs w:val="11"/>
                <w:color w:val="auto"/>
              </w:rPr>
            </w:pPr>
          </w:p>
        </w:tc>
        <w:tc>
          <w:tcPr>
            <w:tcW w:w="1120" w:type="dxa"/>
            <w:vAlign w:val="bottom"/>
            <w:tcBorders>
              <w:top w:val="single" w:sz="8" w:color="EEEEEE"/>
              <w:bottom w:val="single" w:sz="8" w:color="EEEEEE"/>
            </w:tcBorders>
            <w:vMerge w:val="restart"/>
          </w:tcPr>
          <w:p>
            <w:pPr>
              <w:ind w:left="20"/>
              <w:spacing w:after="0"/>
              <w:rPr>
                <w:sz w:val="20"/>
                <w:szCs w:val="20"/>
                <w:color w:val="auto"/>
              </w:rPr>
            </w:pPr>
            <w:r>
              <w:rPr>
                <w:rFonts w:ascii="Arial" w:cs="Arial" w:eastAsia="Arial" w:hAnsi="Arial"/>
                <w:sz w:val="12"/>
                <w:szCs w:val="12"/>
                <w:color w:val="auto"/>
              </w:rPr>
              <w:t>(First)</w:t>
            </w:r>
          </w:p>
        </w:tc>
        <w:tc>
          <w:tcPr>
            <w:tcW w:w="960" w:type="dxa"/>
            <w:vAlign w:val="bottom"/>
            <w:tcBorders>
              <w:top w:val="single" w:sz="8" w:color="EEEEEE"/>
              <w:bottom w:val="single" w:sz="8" w:color="EEEEEE"/>
            </w:tcBorders>
            <w:vMerge w:val="restart"/>
          </w:tcPr>
          <w:p>
            <w:pPr>
              <w:ind w:left="120"/>
              <w:spacing w:after="0"/>
              <w:rPr>
                <w:sz w:val="20"/>
                <w:szCs w:val="20"/>
                <w:color w:val="auto"/>
              </w:rPr>
            </w:pPr>
            <w:r>
              <w:rPr>
                <w:rFonts w:ascii="Arial" w:cs="Arial" w:eastAsia="Arial" w:hAnsi="Arial"/>
                <w:sz w:val="12"/>
                <w:szCs w:val="12"/>
                <w:color w:val="auto"/>
              </w:rPr>
              <w:t>(Middle)</w:t>
            </w:r>
          </w:p>
        </w:tc>
        <w:tc>
          <w:tcPr>
            <w:tcW w:w="60" w:type="dxa"/>
            <w:vAlign w:val="bottom"/>
            <w:tcBorders>
              <w:top w:val="single" w:sz="8" w:color="EEEEEE"/>
            </w:tcBorders>
          </w:tcPr>
          <w:p>
            <w:pPr>
              <w:spacing w:after="0"/>
              <w:rPr>
                <w:sz w:val="11"/>
                <w:szCs w:val="11"/>
                <w:color w:val="auto"/>
              </w:rPr>
            </w:pPr>
          </w:p>
        </w:tc>
        <w:tc>
          <w:tcPr>
            <w:tcW w:w="300" w:type="dxa"/>
            <w:vAlign w:val="bottom"/>
            <w:tcBorders>
              <w:top w:val="single" w:sz="8" w:color="EEEEEE"/>
            </w:tcBorders>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ind w:left="120"/>
              <w:spacing w:after="0" w:line="111" w:lineRule="exact"/>
              <w:rPr>
                <w:sz w:val="20"/>
                <w:szCs w:val="20"/>
                <w:color w:val="auto"/>
              </w:rPr>
            </w:pPr>
            <w:r>
              <w:rPr>
                <w:rFonts w:ascii="Arial" w:cs="Arial" w:eastAsia="Arial" w:hAnsi="Arial"/>
                <w:sz w:val="12"/>
                <w:szCs w:val="12"/>
                <w:color w:val="auto"/>
              </w:rPr>
              <w:t>below)</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ind w:left="200"/>
              <w:spacing w:after="0" w:line="111" w:lineRule="exact"/>
              <w:rPr>
                <w:sz w:val="20"/>
                <w:szCs w:val="20"/>
                <w:color w:val="auto"/>
              </w:rPr>
            </w:pPr>
            <w:r>
              <w:rPr>
                <w:rFonts w:ascii="Arial" w:cs="Arial" w:eastAsia="Arial" w:hAnsi="Arial"/>
                <w:sz w:val="12"/>
                <w:szCs w:val="12"/>
                <w:color w:val="auto"/>
              </w:rPr>
              <w:t>below)</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140" w:type="dxa"/>
            <w:vAlign w:val="bottom"/>
            <w:gridSpan w:val="4"/>
            <w:vMerge w:val="restart"/>
          </w:tcPr>
          <w:p>
            <w:pPr>
              <w:ind w:left="440"/>
              <w:spacing w:after="0"/>
              <w:rPr>
                <w:sz w:val="20"/>
                <w:szCs w:val="20"/>
                <w:color w:val="auto"/>
              </w:rPr>
            </w:pPr>
            <w:r>
              <w:rPr>
                <w:rFonts w:ascii="Times New Roman" w:cs="Times New Roman" w:eastAsia="Times New Roman" w:hAnsi="Times New Roman"/>
                <w:sz w:val="16"/>
                <w:szCs w:val="16"/>
                <w:color w:val="0000FF"/>
              </w:rPr>
              <w:t>Chief Financial Officer</w:t>
            </w: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3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C/O TILRAY BRANDS, INC.</w:t>
            </w: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80" w:type="dxa"/>
            <w:vAlign w:val="bottom"/>
            <w:gridSpan w:val="6"/>
            <w:vMerge w:val="continue"/>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140" w:type="dxa"/>
            <w:vAlign w:val="bottom"/>
            <w:gridSpan w:val="4"/>
            <w:vMerge w:val="continue"/>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4"/>
            <w:vMerge w:val="continue"/>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0000FF"/>
              </w:rPr>
              <w:t>07/29/2025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265 TALBOT STREET WEST</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spacing w:after="0"/>
              <w:rPr>
                <w:sz w:val="15"/>
                <w:szCs w:val="15"/>
                <w:color w:val="auto"/>
              </w:rPr>
            </w:pPr>
          </w:p>
        </w:tc>
        <w:tc>
          <w:tcPr>
            <w:tcW w:w="2020" w:type="dxa"/>
            <w:vAlign w:val="bottom"/>
            <w:gridSpan w:val="5"/>
          </w:tcPr>
          <w:p>
            <w:pPr>
              <w:spacing w:after="0"/>
              <w:rPr>
                <w:sz w:val="15"/>
                <w:szCs w:val="15"/>
                <w:color w:val="auto"/>
              </w:rPr>
            </w:pPr>
          </w:p>
        </w:tc>
        <w:tc>
          <w:tcPr>
            <w:tcW w:w="260" w:type="dxa"/>
            <w:vAlign w:val="bottom"/>
          </w:tcPr>
          <w:p>
            <w:pPr>
              <w:spacing w:after="0"/>
              <w:rPr>
                <w:sz w:val="15"/>
                <w:szCs w:val="15"/>
                <w:color w:val="auto"/>
              </w:rPr>
            </w:pPr>
          </w:p>
        </w:tc>
        <w:tc>
          <w:tcPr>
            <w:tcW w:w="3300" w:type="dxa"/>
            <w:vAlign w:val="bottom"/>
            <w:gridSpan w:val="6"/>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40" w:type="dxa"/>
            <w:vAlign w:val="bottom"/>
            <w:tcBorders>
              <w:right w:val="single" w:sz="8" w:color="2C2C2C"/>
            </w:tcBorders>
          </w:tcPr>
          <w:p>
            <w:pPr>
              <w:spacing w:after="0" w:line="20" w:lineRule="exact"/>
              <w:rPr>
                <w:sz w:val="1"/>
                <w:szCs w:val="1"/>
                <w:color w:val="auto"/>
              </w:rPr>
            </w:pPr>
          </w:p>
        </w:tc>
        <w:tc>
          <w:tcPr>
            <w:tcW w:w="1480" w:type="dxa"/>
            <w:vAlign w:val="bottom"/>
            <w:tcBorders>
              <w:top w:val="single" w:sz="8" w:color="808080"/>
            </w:tcBorders>
            <w:gridSpan w:val="3"/>
            <w:shd w:val="clear" w:color="auto" w:fill="2C2C2C"/>
          </w:tcPr>
          <w:p>
            <w:pPr>
              <w:spacing w:after="0" w:line="20" w:lineRule="exact"/>
              <w:rPr>
                <w:sz w:val="1"/>
                <w:szCs w:val="1"/>
                <w:color w:val="auto"/>
              </w:rPr>
            </w:pPr>
          </w:p>
        </w:tc>
        <w:tc>
          <w:tcPr>
            <w:tcW w:w="2020" w:type="dxa"/>
            <w:vAlign w:val="bottom"/>
            <w:tcBorders>
              <w:top w:val="single" w:sz="8" w:color="808080"/>
            </w:tcBorders>
            <w:gridSpan w:val="5"/>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3300" w:type="dxa"/>
            <w:vAlign w:val="bottom"/>
            <w:tcBorders>
              <w:top w:val="single" w:sz="8" w:color="808080"/>
            </w:tcBorders>
            <w:gridSpan w:val="6"/>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gridSpan w:val="8"/>
          </w:tcPr>
          <w:p>
            <w:pPr>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6"/>
                <w:szCs w:val="16"/>
                <w:color w:val="auto"/>
              </w:rPr>
            </w:pPr>
          </w:p>
        </w:tc>
        <w:tc>
          <w:tcPr>
            <w:tcW w:w="3420" w:type="dxa"/>
            <w:vAlign w:val="bottom"/>
            <w:gridSpan w:val="8"/>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LEAMINGTON</w:t>
            </w: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A6</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N8H 4H3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4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940" w:type="dxa"/>
            <w:vAlign w:val="bottom"/>
            <w:gridSpan w:val="7"/>
          </w:tcPr>
          <w:p>
            <w:pPr>
              <w:ind w:left="120"/>
              <w:spacing w:after="0" w:line="136"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2"/>
                <w:szCs w:val="12"/>
                <w:color w:val="auto"/>
              </w:rPr>
              <w:t>(State)</w:t>
            </w:r>
          </w:p>
        </w:tc>
        <w:tc>
          <w:tcPr>
            <w:tcW w:w="960" w:type="dxa"/>
            <w:vAlign w:val="bottom"/>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28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120" w:type="dxa"/>
            <w:vAlign w:val="bottom"/>
            <w:tcBorders>
              <w:top w:val="single" w:sz="8" w:color="2C2C2C"/>
            </w:tcBorders>
          </w:tcPr>
          <w:p>
            <w:pPr>
              <w:spacing w:after="0"/>
              <w:rPr>
                <w:sz w:val="20"/>
                <w:szCs w:val="20"/>
                <w:color w:val="auto"/>
              </w:rPr>
            </w:pPr>
          </w:p>
        </w:tc>
        <w:tc>
          <w:tcPr>
            <w:tcW w:w="6340" w:type="dxa"/>
            <w:vAlign w:val="bottom"/>
            <w:tcBorders>
              <w:top w:val="single" w:sz="8" w:color="2C2C2C"/>
            </w:tcBorders>
            <w:gridSpan w:val="15"/>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5"/>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8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1140" w:type="dxa"/>
            <w:vAlign w:val="bottom"/>
            <w:gridSpan w:val="3"/>
          </w:tcPr>
          <w:p>
            <w:pPr>
              <w:ind w:left="180"/>
              <w:spacing w:after="0" w:line="123"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60" w:type="dxa"/>
            <w:vAlign w:val="bottom"/>
            <w:gridSpan w:val="5"/>
          </w:tcPr>
          <w:p>
            <w:pPr>
              <w:ind w:left="20"/>
              <w:spacing w:after="0" w:line="123" w:lineRule="exact"/>
              <w:rPr>
                <w:sz w:val="20"/>
                <w:szCs w:val="20"/>
                <w:color w:val="auto"/>
              </w:rPr>
            </w:pPr>
            <w:r>
              <w:rPr>
                <w:rFonts w:ascii="Arial" w:cs="Arial" w:eastAsia="Arial" w:hAnsi="Arial"/>
                <w:sz w:val="11"/>
                <w:szCs w:val="11"/>
                <w:b w:val="1"/>
                <w:bCs w:val="1"/>
                <w:color w:val="auto"/>
              </w:rPr>
              <w:t>(Month/Day/Year)  if any</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3"/>
          </w:tcPr>
          <w:p>
            <w:pPr>
              <w:ind w:left="180"/>
              <w:spacing w:after="0" w:line="123"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48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jc w:val="right"/>
              <w:ind w:right="115"/>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1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rPr>
              <w:t>07/30/2025</w:t>
            </w:r>
          </w:p>
        </w:tc>
        <w:tc>
          <w:tcPr>
            <w:tcW w:w="6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8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166,558</w:t>
            </w:r>
            <w:r>
              <w:rPr>
                <w:rFonts w:ascii="Times New Roman" w:cs="Times New Roman" w:eastAsia="Times New Roman" w:hAnsi="Times New Roman"/>
                <w:sz w:val="20"/>
                <w:szCs w:val="20"/>
                <w:color w:val="008000"/>
                <w:vertAlign w:val="superscript"/>
              </w:rPr>
              <w:t>(1)</w:t>
            </w:r>
          </w:p>
        </w:tc>
        <w:tc>
          <w:tcPr>
            <w:tcW w:w="4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gridSpan w:val="2"/>
          </w:tcPr>
          <w:p>
            <w:pPr>
              <w:jc w:val="right"/>
              <w:ind w:right="7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0.61</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964,627</w:t>
            </w:r>
            <w:r>
              <w:rPr>
                <w:rFonts w:ascii="Times New Roman" w:cs="Times New Roman" w:eastAsia="Times New Roman" w:hAnsi="Times New Roman"/>
                <w:sz w:val="20"/>
                <w:szCs w:val="20"/>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1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rPr>
              <w:t>07/30/2025</w:t>
            </w:r>
          </w:p>
        </w:tc>
        <w:tc>
          <w:tcPr>
            <w:tcW w:w="6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8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88,276</w:t>
            </w:r>
            <w:r>
              <w:rPr>
                <w:rFonts w:ascii="Times New Roman" w:cs="Times New Roman" w:eastAsia="Times New Roman" w:hAnsi="Times New Roman"/>
                <w:sz w:val="20"/>
                <w:szCs w:val="20"/>
                <w:color w:val="008000"/>
                <w:vertAlign w:val="superscript"/>
              </w:rPr>
              <w:t>(3)</w:t>
            </w:r>
          </w:p>
        </w:tc>
        <w:tc>
          <w:tcPr>
            <w:tcW w:w="4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gridSpan w:val="2"/>
          </w:tcPr>
          <w:p>
            <w:pPr>
              <w:jc w:val="right"/>
              <w:ind w:right="7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0.61</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876,351</w:t>
            </w:r>
            <w:r>
              <w:rPr>
                <w:rFonts w:ascii="Times New Roman" w:cs="Times New Roman" w:eastAsia="Times New Roman" w:hAnsi="Times New Roman"/>
                <w:sz w:val="20"/>
                <w:szCs w:val="20"/>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112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5"/>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00" w:type="dxa"/>
            <w:vAlign w:val="bottom"/>
            <w:gridSpan w:val="14"/>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3"/>
                <w:szCs w:val="13"/>
                <w:color w:val="auto"/>
              </w:rPr>
            </w:pPr>
          </w:p>
        </w:tc>
        <w:tc>
          <w:tcPr>
            <w:tcW w:w="112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7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Conversion  Date</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10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w w:val="94"/>
              </w:rPr>
              <w:t>or Exercise</w:t>
            </w:r>
          </w:p>
        </w:tc>
        <w:tc>
          <w:tcPr>
            <w:tcW w:w="11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120" w:type="dxa"/>
            <w:vAlign w:val="bottom"/>
          </w:tcPr>
          <w:p>
            <w:pPr>
              <w:spacing w:after="0"/>
              <w:rPr>
                <w:sz w:val="10"/>
                <w:szCs w:val="10"/>
                <w:color w:val="auto"/>
              </w:rPr>
            </w:pP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36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Acquired (A) or</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Disposed of (D)</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(Instr. 3, 4 and 5)</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10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w w:val="95"/>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54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(4)</w:t>
            </w: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color w:val="0000FF"/>
              </w:rPr>
              <w:t>166,558</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gridSpan w:val="2"/>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vMerge w:val="restart"/>
          </w:tcPr>
          <w:p>
            <w:pPr>
              <w:jc w:val="center"/>
              <w:ind w:left="18"/>
              <w:spacing w:after="0" w:line="135" w:lineRule="exact"/>
              <w:rPr>
                <w:sz w:val="20"/>
                <w:szCs w:val="20"/>
                <w:color w:val="auto"/>
              </w:rPr>
            </w:pPr>
            <w:r>
              <w:rPr>
                <w:rFonts w:ascii="Times New Roman" w:cs="Times New Roman" w:eastAsia="Times New Roman" w:hAnsi="Times New Roman"/>
                <w:sz w:val="12"/>
                <w:szCs w:val="12"/>
                <w:color w:val="0000FF"/>
              </w:rPr>
              <w:t>07/30/2025</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vMerge w:val="restart"/>
          </w:tcPr>
          <w:p>
            <w:pPr>
              <w:ind w:left="140"/>
              <w:spacing w:after="0" w:line="135" w:lineRule="exact"/>
              <w:rPr>
                <w:sz w:val="20"/>
                <w:szCs w:val="20"/>
                <w:color w:val="auto"/>
              </w:rPr>
            </w:pPr>
            <w:r>
              <w:rPr>
                <w:rFonts w:ascii="Times New Roman" w:cs="Times New Roman" w:eastAsia="Times New Roman" w:hAnsi="Times New Roman"/>
                <w:sz w:val="12"/>
                <w:szCs w:val="12"/>
                <w:color w:val="0000FF"/>
              </w:rPr>
              <w:t>M</w:t>
            </w:r>
          </w:p>
        </w:tc>
        <w:tc>
          <w:tcPr>
            <w:tcW w:w="600" w:type="dxa"/>
            <w:vAlign w:val="bottom"/>
          </w:tcPr>
          <w:p>
            <w:pPr>
              <w:spacing w:after="0"/>
              <w:rPr>
                <w:sz w:val="5"/>
                <w:szCs w:val="5"/>
                <w:color w:val="auto"/>
              </w:rPr>
            </w:pPr>
          </w:p>
        </w:tc>
        <w:tc>
          <w:tcPr>
            <w:tcW w:w="520" w:type="dxa"/>
            <w:vAlign w:val="bottom"/>
            <w:vMerge w:val="restart"/>
          </w:tcPr>
          <w:p>
            <w:pPr>
              <w:ind w:left="40"/>
              <w:spacing w:after="0" w:line="135" w:lineRule="exact"/>
              <w:rPr>
                <w:sz w:val="20"/>
                <w:szCs w:val="20"/>
                <w:color w:val="auto"/>
              </w:rPr>
            </w:pPr>
            <w:r>
              <w:rPr>
                <w:rFonts w:ascii="Times New Roman" w:cs="Times New Roman" w:eastAsia="Times New Roman" w:hAnsi="Times New Roman"/>
                <w:sz w:val="12"/>
                <w:szCs w:val="12"/>
                <w:color w:val="0000FF"/>
              </w:rPr>
              <w:t>166,558</w:t>
            </w: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40" w:type="dxa"/>
            <w:vAlign w:val="bottom"/>
            <w:vMerge w:val="restart"/>
          </w:tcPr>
          <w:p>
            <w:pPr>
              <w:ind w:left="260"/>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right"/>
              <w:ind w:right="145"/>
              <w:spacing w:after="0" w:line="135" w:lineRule="exact"/>
              <w:rPr>
                <w:sz w:val="20"/>
                <w:szCs w:val="20"/>
                <w:color w:val="auto"/>
              </w:rPr>
            </w:pPr>
            <w:r>
              <w:rPr>
                <w:rFonts w:ascii="Times New Roman" w:cs="Times New Roman" w:eastAsia="Times New Roman" w:hAnsi="Times New Roman"/>
                <w:sz w:val="12"/>
                <w:szCs w:val="12"/>
                <w:color w:val="0000FF"/>
              </w:rPr>
              <w:t>166,558</w:t>
            </w:r>
          </w:p>
        </w:tc>
        <w:tc>
          <w:tcPr>
            <w:tcW w:w="640" w:type="dxa"/>
            <w:vAlign w:val="bottom"/>
            <w:vMerge w:val="restart"/>
          </w:tcPr>
          <w:p>
            <w:pPr>
              <w:ind w:left="340"/>
              <w:spacing w:after="0" w:line="135" w:lineRule="exact"/>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vMerge w:val="restart"/>
          </w:tcPr>
          <w:p>
            <w:pPr>
              <w:jc w:val="right"/>
              <w:ind w:right="115"/>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85"/>
              </w:rPr>
              <w:t>(6)</w:t>
            </w: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1,208,339</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ind w:left="18"/>
              <w:spacing w:after="0" w:line="123" w:lineRule="exact"/>
              <w:rPr>
                <w:sz w:val="20"/>
                <w:szCs w:val="20"/>
                <w:color w:val="auto"/>
              </w:rPr>
            </w:pPr>
            <w:r>
              <w:rPr>
                <w:rFonts w:ascii="Times New Roman" w:cs="Times New Roman" w:eastAsia="Times New Roman" w:hAnsi="Times New Roman"/>
                <w:sz w:val="12"/>
                <w:szCs w:val="12"/>
                <w:color w:val="0000FF"/>
              </w:rPr>
              <w:t>07/29/2025</w:t>
            </w: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ind w:left="160"/>
              <w:spacing w:after="0" w:line="123" w:lineRule="exact"/>
              <w:rPr>
                <w:sz w:val="20"/>
                <w:szCs w:val="20"/>
                <w:color w:val="auto"/>
              </w:rPr>
            </w:pPr>
            <w:r>
              <w:rPr>
                <w:rFonts w:ascii="Times New Roman" w:cs="Times New Roman" w:eastAsia="Times New Roman" w:hAnsi="Times New Roman"/>
                <w:sz w:val="12"/>
                <w:szCs w:val="12"/>
                <w:color w:val="0000FF"/>
              </w:rPr>
              <w:t>A</w:t>
            </w:r>
          </w:p>
        </w:tc>
        <w:tc>
          <w:tcPr>
            <w:tcW w:w="600" w:type="dxa"/>
            <w:vAlign w:val="bottom"/>
          </w:tcPr>
          <w:p>
            <w:pPr>
              <w:ind w:left="40"/>
              <w:spacing w:after="0" w:line="123" w:lineRule="exact"/>
              <w:rPr>
                <w:sz w:val="20"/>
                <w:szCs w:val="20"/>
                <w:color w:val="auto"/>
              </w:rPr>
            </w:pPr>
            <w:r>
              <w:rPr>
                <w:rFonts w:ascii="Times New Roman" w:cs="Times New Roman" w:eastAsia="Times New Roman" w:hAnsi="Times New Roman"/>
                <w:sz w:val="12"/>
                <w:szCs w:val="12"/>
                <w:color w:val="0000FF"/>
              </w:rPr>
              <w:t>1,208,339</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40" w:type="dxa"/>
            <w:vAlign w:val="bottom"/>
          </w:tcPr>
          <w:p>
            <w:pPr>
              <w:ind w:left="260"/>
              <w:spacing w:after="0" w:line="12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105"/>
              <w:spacing w:after="0" w:line="123" w:lineRule="exact"/>
              <w:rPr>
                <w:sz w:val="20"/>
                <w:szCs w:val="20"/>
                <w:color w:val="auto"/>
              </w:rPr>
            </w:pPr>
            <w:r>
              <w:rPr>
                <w:rFonts w:ascii="Times New Roman" w:cs="Times New Roman" w:eastAsia="Times New Roman" w:hAnsi="Times New Roman"/>
                <w:sz w:val="12"/>
                <w:szCs w:val="12"/>
                <w:color w:val="0000FF"/>
              </w:rPr>
              <w:t>1,208,339</w:t>
            </w:r>
          </w:p>
        </w:tc>
        <w:tc>
          <w:tcPr>
            <w:tcW w:w="640" w:type="dxa"/>
            <w:vAlign w:val="bottom"/>
          </w:tcPr>
          <w:p>
            <w:pPr>
              <w:ind w:left="340"/>
              <w:spacing w:after="0" w:line="123" w:lineRule="exact"/>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ind w:right="115"/>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-1852930</wp:posOffset>
            </wp:positionV>
            <wp:extent cx="27940" cy="1858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185864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0"/>
          <w:szCs w:val="20"/>
          <w:color w:val="auto"/>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July 30, 2024, the reporting person was granted 333,116 of 2024 RSUs, and 166,558 RSUs vested on July 30, 2025.</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includes shares of Common Stock beneficially owned by the reporting person but excludes other unvested RSUs.</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withheld by the Company to satisfy the tax withholding obligation associated with the vesting of 166,558 2024 RSUs previously granted on July 30, 2024.</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unit represents a contingent right to receive one (1) share of Tilray Common Stock.</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("RSU") represents a contingent right to receive one (1) share of Common Stock. Grant date is based on close of trading on July 29, 2025.</w:t>
      </w:r>
    </w:p>
    <w:p>
      <w:pPr>
        <w:spacing w:after="0" w:line="45" w:lineRule="exact"/>
        <w:rPr>
          <w:rFonts w:ascii="Times New Roman" w:cs="Times New Roman" w:eastAsia="Times New Roman" w:hAnsi="Times New Roman"/>
          <w:sz w:val="12"/>
          <w:szCs w:val="12"/>
          <w:color w:val="008000"/>
        </w:rPr>
      </w:pPr>
    </w:p>
    <w:p>
      <w:pPr>
        <w:ind w:left="40" w:right="140" w:hanging="5"/>
        <w:spacing w:after="0" w:line="270"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Subject to the reporting person's continuous employment through the vesting date, the LTIP RSUs shall vest in two (2) equal annual installments, commencing on July 29, 2026, and July 29, 2027, except in the case of the reporting person's earlier voluntary resignation, death or disability. In the event of a voluntary termination by the reporting person prior to the vesting date, all RSUs will be forfeited.</w:t>
      </w:r>
    </w:p>
    <w:p>
      <w:pPr>
        <w:spacing w:after="0" w:line="20"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0000FF"/>
                <w:w w:val="97"/>
              </w:rPr>
              <w:t>/s/ Carl A. Merton</w:t>
            </w:r>
          </w:p>
        </w:tc>
        <w:tc>
          <w:tcPr>
            <w:tcW w:w="820" w:type="dxa"/>
            <w:vAlign w:val="bottom"/>
          </w:tcPr>
          <w:p>
            <w:pPr>
              <w:spacing w:after="0"/>
              <w:rPr>
                <w:sz w:val="15"/>
                <w:szCs w:val="15"/>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w w:val="95"/>
              </w:rPr>
              <w:t>07/31/2025</w:t>
            </w:r>
          </w:p>
        </w:tc>
      </w:tr>
      <w:tr>
        <w:trPr>
          <w:trHeight w:val="20"/>
        </w:trPr>
        <w:tc>
          <w:tcPr>
            <w:tcW w:w="11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4"/>
        </w:trPr>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3980" w:hanging="5"/>
        <w:spacing w:after="0" w:line="319"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0546" TargetMode="External"/><Relationship Id="rId14" Type="http://schemas.openxmlformats.org/officeDocument/2006/relationships/hyperlink" Target="http://www.sec.gov/cgi-bin/browse-edgar?action=getcompany&amp;CIK=00017313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2025-07-31T17:18:44Z</dcterms:created>
  <dcterms:modified xsi:type="dcterms:W3CDTF">2025-07-31T17:18:44Z</dcterms:modified>
</cp:coreProperties>
</file>