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3613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16510"/>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189230</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80"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1"/>
          <w:szCs w:val="21"/>
          <w:color w:val="auto"/>
        </w:rPr>
        <w:t>_________________</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12"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1"/>
          <w:szCs w:val="21"/>
          <w:color w:val="auto"/>
        </w:rPr>
        <w:t>_________________</w:t>
      </w:r>
    </w:p>
    <w:p>
      <w:pPr>
        <w:spacing w:after="0" w:line="201"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00"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 2026</w:t>
      </w:r>
    </w:p>
    <w:p>
      <w:pPr>
        <w:spacing w:after="0" w:line="207"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1"/>
          <w:szCs w:val="21"/>
          <w:color w:val="auto"/>
        </w:rPr>
        <w:t>_______________________________</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Tilray Brands, Inc.</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5"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1"/>
          <w:szCs w:val="21"/>
          <w:color w:val="auto"/>
        </w:rPr>
        <w:t>_______________________________</w:t>
      </w:r>
    </w:p>
    <w:p>
      <w:pPr>
        <w:sectPr>
          <w:pgSz w:w="11900" w:h="16838" w:orient="portrait"/>
          <w:cols w:equalWidth="0" w:num="1">
            <w:col w:w="11240"/>
          </w:cols>
          <w:pgMar w:left="320" w:top="494" w:right="339" w:bottom="1440" w:gutter="0" w:footer="0" w:header="0"/>
        </w:sectPr>
      </w:pPr>
    </w:p>
    <w:p>
      <w:pPr>
        <w:spacing w:after="0" w:line="212"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3"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001-38594</w:t>
      </w:r>
    </w:p>
    <w:p>
      <w:pPr>
        <w:spacing w:after="0" w:line="23"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82-4310622</w:t>
      </w:r>
    </w:p>
    <w:p>
      <w:pPr>
        <w:spacing w:after="0" w:line="2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40" w:space="720"/>
            <w:col w:w="2740" w:space="720"/>
            <w:col w:w="3120"/>
          </w:cols>
          <w:pgMar w:left="320" w:top="494" w:right="339" w:bottom="1440" w:gutter="0" w:footer="0" w:header="0"/>
          <w:type w:val="continuous"/>
        </w:sectPr>
      </w:pP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265 Talbot Street West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Leamington, Ontario N8H 4H3</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(844) 845-7291</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ectPr>
          <w:pgSz w:w="11900" w:h="16838" w:orient="portrait"/>
          <w:cols w:equalWidth="0" w:num="1">
            <w:col w:w="11240"/>
          </w:cols>
          <w:pgMar w:left="320" w:top="494" w:right="339" w:bottom="1440" w:gutter="0" w:footer="0" w:header="0"/>
          <w:type w:val="continuous"/>
        </w:sectPr>
      </w:pP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87"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1"/>
          <w:szCs w:val="21"/>
          <w:color w:val="auto"/>
        </w:rPr>
        <w:t>_______________________________</w:t>
      </w:r>
    </w:p>
    <w:p>
      <w:pPr>
        <w:spacing w:after="0" w:line="214" w:lineRule="exact"/>
        <w:rPr>
          <w:sz w:val="24"/>
          <w:szCs w:val="24"/>
          <w:color w:val="auto"/>
        </w:rPr>
      </w:pPr>
    </w:p>
    <w:p>
      <w:pPr>
        <w:ind w:right="240"/>
        <w:spacing w:after="0" w:line="26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3" w:lineRule="exact"/>
        <w:rPr>
          <w:sz w:val="24"/>
          <w:szCs w:val="24"/>
          <w:color w:val="auto"/>
        </w:rPr>
      </w:pPr>
    </w:p>
    <w:p>
      <w:pPr>
        <w:ind w:left="340" w:hanging="24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340" w:hanging="24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 w:lineRule="exact"/>
        <w:rPr>
          <w:rFonts w:ascii="MS PGothic" w:cs="MS PGothic" w:eastAsia="MS PGothic" w:hAnsi="MS PGothic"/>
          <w:sz w:val="18"/>
          <w:szCs w:val="18"/>
          <w:color w:val="auto"/>
        </w:rPr>
      </w:pPr>
    </w:p>
    <w:p>
      <w:pPr>
        <w:ind w:left="340" w:hanging="24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 w:lineRule="exact"/>
        <w:rPr>
          <w:rFonts w:ascii="MS PGothic" w:cs="MS PGothic" w:eastAsia="MS PGothic" w:hAnsi="MS PGothic"/>
          <w:sz w:val="18"/>
          <w:szCs w:val="18"/>
          <w:color w:val="auto"/>
        </w:rPr>
      </w:pPr>
    </w:p>
    <w:p>
      <w:pPr>
        <w:ind w:left="340" w:hanging="24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20" w:type="dxa"/>
            <w:vAlign w:val="bottom"/>
          </w:tcPr>
          <w:p>
            <w:pPr>
              <w:spacing w:after="0"/>
              <w:rPr>
                <w:sz w:val="19"/>
                <w:szCs w:val="19"/>
                <w:color w:val="auto"/>
              </w:rPr>
            </w:pPr>
          </w:p>
        </w:tc>
        <w:tc>
          <w:tcPr>
            <w:tcW w:w="4280" w:type="dxa"/>
            <w:vAlign w:val="bottom"/>
          </w:tcPr>
          <w:p>
            <w:pPr>
              <w:spacing w:after="0"/>
              <w:rPr>
                <w:sz w:val="19"/>
                <w:szCs w:val="19"/>
                <w:color w:val="auto"/>
              </w:rPr>
            </w:pPr>
          </w:p>
        </w:tc>
      </w:tr>
      <w:tr>
        <w:trPr>
          <w:trHeight w:val="316"/>
        </w:trPr>
        <w:tc>
          <w:tcPr>
            <w:tcW w:w="45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4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Name of each exchange on which registered</w:t>
            </w:r>
          </w:p>
        </w:tc>
      </w:tr>
      <w:tr>
        <w:trPr>
          <w:trHeight w:val="222"/>
        </w:trPr>
        <w:tc>
          <w:tcPr>
            <w:tcW w:w="45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6"/>
              </w:rPr>
              <w:t>Common stock, par value $0.0001 per share</w:t>
            </w:r>
          </w:p>
        </w:tc>
        <w:tc>
          <w:tcPr>
            <w:tcW w:w="24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TLRY</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The NASDAQ Global Select Market</w:t>
            </w:r>
          </w:p>
        </w:tc>
      </w:tr>
    </w:tbl>
    <w:p>
      <w:pPr>
        <w:spacing w:after="0" w:line="69" w:lineRule="exact"/>
        <w:rPr>
          <w:sz w:val="24"/>
          <w:szCs w:val="24"/>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7" w:lineRule="exact"/>
        <w:rPr>
          <w:sz w:val="24"/>
          <w:szCs w:val="24"/>
          <w:color w:val="auto"/>
        </w:rPr>
      </w:pPr>
    </w:p>
    <w:p>
      <w:pPr>
        <w:ind w:right="280"/>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71361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41910"/>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 2026, the Registrant issued a press release, a copy of which is attached hereto as Exhibit 99.1 and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380" w:type="dxa"/>
            <w:vAlign w:val="bottom"/>
          </w:tcPr>
          <w:p>
            <w:pPr>
              <w:spacing w:after="0"/>
              <w:rPr>
                <w:sz w:val="19"/>
                <w:szCs w:val="19"/>
                <w:color w:val="auto"/>
              </w:rPr>
            </w:pPr>
          </w:p>
        </w:tc>
      </w:tr>
      <w:tr>
        <w:trPr>
          <w:trHeight w:val="382"/>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r>
      <w:tr>
        <w:trPr>
          <w:trHeight w:val="401"/>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Press Release dated April 1, 2026</w:t>
            </w:r>
          </w:p>
        </w:tc>
        <w:tc>
          <w:tcPr>
            <w:tcW w:w="7380" w:type="dxa"/>
            <w:vAlign w:val="bottom"/>
          </w:tcPr>
          <w:p>
            <w:pPr>
              <w:spacing w:after="0"/>
              <w:rPr>
                <w:sz w:val="24"/>
                <w:szCs w:val="24"/>
                <w:color w:val="auto"/>
              </w:rPr>
            </w:pPr>
          </w:p>
        </w:tc>
      </w:tr>
      <w:tr>
        <w:trPr>
          <w:trHeight w:val="22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37"/>
        </w:trPr>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380" w:type="dxa"/>
            <w:vAlign w:val="bottom"/>
          </w:tcPr>
          <w:p>
            <w:pPr>
              <w:spacing w:after="0"/>
              <w:rPr>
                <w:sz w:val="20"/>
                <w:szCs w:val="20"/>
                <w:color w:val="auto"/>
              </w:rPr>
            </w:pPr>
          </w:p>
        </w:tc>
      </w:tr>
      <w:tr>
        <w:trPr>
          <w:trHeight w:val="66"/>
        </w:trPr>
        <w:tc>
          <w:tcPr>
            <w:tcW w:w="32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500" w:type="dxa"/>
            <w:vAlign w:val="bottom"/>
            <w:shd w:val="clear" w:color="auto" w:fill="000000"/>
          </w:tcPr>
          <w:p>
            <w:pPr>
              <w:spacing w:after="0"/>
              <w:rPr>
                <w:sz w:val="5"/>
                <w:szCs w:val="5"/>
                <w:color w:val="auto"/>
              </w:rPr>
            </w:pPr>
          </w:p>
        </w:tc>
        <w:tc>
          <w:tcPr>
            <w:tcW w:w="73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56" w:right="33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40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Tilray Brands, Inc.</w:t>
            </w:r>
          </w:p>
        </w:tc>
      </w:tr>
      <w:tr>
        <w:trPr>
          <w:trHeight w:val="671"/>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2026</w:t>
            </w:r>
          </w:p>
        </w:tc>
        <w:tc>
          <w:tcPr>
            <w:tcW w:w="40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Mitchell Gendel</w:t>
            </w:r>
          </w:p>
        </w:tc>
      </w:tr>
      <w:tr>
        <w:trPr>
          <w:trHeight w:val="229"/>
        </w:trPr>
        <w:tc>
          <w:tcPr>
            <w:tcW w:w="34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Mitchell Gendel</w:t>
            </w:r>
          </w:p>
        </w:tc>
      </w:tr>
      <w:tr>
        <w:trPr>
          <w:trHeight w:val="237"/>
        </w:trPr>
        <w:tc>
          <w:tcPr>
            <w:tcW w:w="34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w w:val="96"/>
              </w:rPr>
              <w:t>Global General Counsel</w:t>
            </w:r>
          </w:p>
        </w:tc>
      </w:tr>
    </w:tbl>
    <w:p>
      <w:pPr>
        <w:sectPr>
          <w:pgSz w:w="11900" w:h="16838" w:orient="portrait"/>
          <w:cols w:equalWidth="0" w:num="1">
            <w:col w:w="10900"/>
          </w:cols>
          <w:pgMar w:left="320" w:top="592" w:right="679" w:bottom="1440" w:gutter="0" w:footer="0" w:header="0"/>
        </w:sectPr>
      </w:pPr>
    </w:p>
    <w:bookmarkStart w:id="3" w:name="page4"/>
    <w:bookmarkEnd w:id="3"/>
    <w:p>
      <w:pPr>
        <w:ind w:left="99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8" w:lineRule="exact"/>
        <w:rPr>
          <w:sz w:val="20"/>
          <w:szCs w:val="20"/>
          <w:color w:val="auto"/>
        </w:rPr>
      </w:pPr>
    </w:p>
    <w:p>
      <w:pPr>
        <w:jc w:val="center"/>
        <w:ind w:left="340" w:right="180"/>
        <w:spacing w:after="0" w:line="272" w:lineRule="auto"/>
        <w:rPr>
          <w:sz w:val="20"/>
          <w:szCs w:val="20"/>
          <w:color w:val="auto"/>
        </w:rPr>
      </w:pPr>
      <w:r>
        <w:rPr>
          <w:rFonts w:ascii="Times New Roman" w:cs="Times New Roman" w:eastAsia="Times New Roman" w:hAnsi="Times New Roman"/>
          <w:sz w:val="25"/>
          <w:szCs w:val="25"/>
          <w:b w:val="1"/>
          <w:bCs w:val="1"/>
          <w:color w:val="auto"/>
        </w:rPr>
        <w:t>Tilray Brands Delivers Record Q3 Fiscal 2026 Results; Net Revenue Increases to $207 Million with 11% Organic Growth and Gross Profit Expands to $55 Million, Increasing 6% Year-Over-Year</w:t>
      </w:r>
    </w:p>
    <w:p>
      <w:pPr>
        <w:spacing w:after="0" w:line="133" w:lineRule="exact"/>
        <w:rPr>
          <w:sz w:val="20"/>
          <w:szCs w:val="20"/>
          <w:color w:val="auto"/>
        </w:rPr>
      </w:pPr>
    </w:p>
    <w:p>
      <w:pPr>
        <w:jc w:val="center"/>
        <w:spacing w:after="0" w:line="272" w:lineRule="auto"/>
        <w:rPr>
          <w:sz w:val="20"/>
          <w:szCs w:val="20"/>
          <w:color w:val="auto"/>
        </w:rPr>
      </w:pPr>
      <w:r>
        <w:rPr>
          <w:rFonts w:ascii="Times New Roman" w:cs="Times New Roman" w:eastAsia="Times New Roman" w:hAnsi="Times New Roman"/>
          <w:sz w:val="21"/>
          <w:szCs w:val="21"/>
          <w:b w:val="1"/>
          <w:bCs w:val="1"/>
          <w:i w:val="1"/>
          <w:iCs w:val="1"/>
          <w:color w:val="auto"/>
        </w:rPr>
        <w:t>International Cannabis Accelerates with 73% Net Revenue Growth and 100% Increase in Cannabis Flower Sales Volume Year-Over-Year</w:t>
      </w:r>
    </w:p>
    <w:p>
      <w:pPr>
        <w:spacing w:after="0" w:line="136" w:lineRule="exact"/>
        <w:rPr>
          <w:sz w:val="20"/>
          <w:szCs w:val="20"/>
          <w:color w:val="auto"/>
        </w:rPr>
      </w:pPr>
    </w:p>
    <w:p>
      <w:pPr>
        <w:jc w:val="center"/>
        <w:spacing w:after="0" w:line="272" w:lineRule="auto"/>
        <w:rPr>
          <w:sz w:val="20"/>
          <w:szCs w:val="20"/>
          <w:color w:val="auto"/>
        </w:rPr>
      </w:pPr>
      <w:r>
        <w:rPr>
          <w:rFonts w:ascii="Times New Roman" w:cs="Times New Roman" w:eastAsia="Times New Roman" w:hAnsi="Times New Roman"/>
          <w:sz w:val="21"/>
          <w:szCs w:val="21"/>
          <w:b w:val="1"/>
          <w:bCs w:val="1"/>
          <w:i w:val="1"/>
          <w:iCs w:val="1"/>
          <w:color w:val="auto"/>
        </w:rPr>
        <w:t>Canadian Adult-Use and Medical Cannabis Net Revenue Combined Increased 8% Year-Over-Year; Tilray Maintains #1 Cannabis Leadership Position in Canada by Revenue</w:t>
      </w:r>
    </w:p>
    <w:p>
      <w:pPr>
        <w:spacing w:after="0" w:line="145" w:lineRule="exact"/>
        <w:rPr>
          <w:sz w:val="20"/>
          <w:szCs w:val="20"/>
          <w:color w:val="auto"/>
        </w:rPr>
      </w:pPr>
    </w:p>
    <w:p>
      <w:pPr>
        <w:jc w:val="center"/>
        <w:ind w:left="340" w:right="80"/>
        <w:spacing w:after="0" w:line="208" w:lineRule="auto"/>
        <w:rPr>
          <w:sz w:val="20"/>
          <w:szCs w:val="20"/>
          <w:color w:val="auto"/>
        </w:rPr>
      </w:pPr>
      <w:r>
        <w:rPr>
          <w:rFonts w:ascii="Times New Roman" w:cs="Times New Roman" w:eastAsia="Times New Roman" w:hAnsi="Times New Roman"/>
          <w:sz w:val="21"/>
          <w:szCs w:val="21"/>
          <w:b w:val="1"/>
          <w:bCs w:val="1"/>
          <w:i w:val="1"/>
          <w:iCs w:val="1"/>
          <w:color w:val="auto"/>
        </w:rPr>
        <w:t>BrewDog Acquisition</w:t>
      </w:r>
      <w:r>
        <w:rPr>
          <w:rFonts w:ascii="Times New Roman" w:cs="Times New Roman" w:eastAsia="Times New Roman" w:hAnsi="Times New Roman"/>
          <w:sz w:val="35"/>
          <w:szCs w:val="35"/>
          <w:b w:val="1"/>
          <w:bCs w:val="1"/>
          <w:i w:val="1"/>
          <w:iCs w:val="1"/>
          <w:color w:val="auto"/>
          <w:vertAlign w:val="superscript"/>
        </w:rPr>
        <w:t>1</w:t>
      </w:r>
      <w:r>
        <w:rPr>
          <w:rFonts w:ascii="Times New Roman" w:cs="Times New Roman" w:eastAsia="Times New Roman" w:hAnsi="Times New Roman"/>
          <w:sz w:val="21"/>
          <w:szCs w:val="21"/>
          <w:b w:val="1"/>
          <w:bCs w:val="1"/>
          <w:i w:val="1"/>
          <w:iCs w:val="1"/>
          <w:color w:val="auto"/>
        </w:rPr>
        <w:t xml:space="preserve"> for ~£40 Million Cash Positions Tilray as a Global Craft Beverage Leader with Multi-Region Expansion Across Europe, Middle East, Australia, Asia-Pacific and the U.S.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Strong Balance Sheet Supports Growth with $265 Million in Cash and Marketable Securities</w:t>
      </w:r>
      <w:r>
        <w:rPr>
          <w:rFonts w:ascii="Times New Roman" w:cs="Times New Roman" w:eastAsia="Times New Roman" w:hAnsi="Times New Roman"/>
          <w:sz w:val="35"/>
          <w:szCs w:val="35"/>
          <w:b w:val="1"/>
          <w:bCs w:val="1"/>
          <w:i w:val="1"/>
          <w:iCs w:val="1"/>
          <w:color w:val="auto"/>
          <w:vertAlign w:val="superscript"/>
        </w:rPr>
        <w:t>2</w:t>
      </w:r>
      <w:r>
        <w:rPr>
          <w:rFonts w:ascii="Times New Roman" w:cs="Times New Roman" w:eastAsia="Times New Roman" w:hAnsi="Times New Roman"/>
          <w:sz w:val="21"/>
          <w:szCs w:val="21"/>
          <w:b w:val="1"/>
          <w:bCs w:val="1"/>
          <w:i w:val="1"/>
          <w:iCs w:val="1"/>
          <w:color w:val="auto"/>
        </w:rPr>
        <w:t xml:space="preserve"> and ~$3.5 Million Net Cash</w:t>
      </w:r>
    </w:p>
    <w:p>
      <w:pPr>
        <w:spacing w:after="0" w:line="9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1"/>
          <w:szCs w:val="21"/>
          <w:color w:val="auto"/>
        </w:rPr>
        <w:t>NEW YORK and LONDON and LEAMINGTON, Ontario, April 01, 2026 (GLOBE NEWSWIRE) -- Tilray Brands, Inc. (“Tilray”, “our”, “we” or the “Company”) (Nasdaq: TLRY; TSX: TLRY), a global lifestyle and consumer packaged goods company at the forefront of the cannabis, beverage, and wellness industries, today reported financial results for its third fiscal quarter ended February 28, 2026, highlighting record net revenue, record gross profit, record international cannabis revenue and continued successful execution of its global expansion strategy. All financial information in this press release is reported in U.S. dollars, unless otherwise indicated.</w:t>
      </w:r>
    </w:p>
    <w:p>
      <w:pPr>
        <w:spacing w:after="0" w:line="171"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Irwin D. Simon, Chairman and Chief Executive Officer, Tilray Brands, stated, </w:t>
      </w:r>
      <w:r>
        <w:rPr>
          <w:rFonts w:ascii="Times New Roman" w:cs="Times New Roman" w:eastAsia="Times New Roman" w:hAnsi="Times New Roman"/>
          <w:sz w:val="21"/>
          <w:szCs w:val="21"/>
          <w:color w:val="auto"/>
        </w:rPr>
        <w:t>“Our third quarter results demonstrated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strength of our global strategy in action, delivering our strongest Q3 net revenue and gross profit to date. Our international cannabis business delivered its best quarterly net revenue in Company history, with over 70% year-over-year growth, which reflects the disciplined execution of our strategy across key global markets. We are seeing that our strategy works, driving growth through scale, product innovation, and strong distribution.”</w:t>
      </w:r>
    </w:p>
    <w:p>
      <w:pPr>
        <w:spacing w:after="0" w:line="170"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1"/>
          <w:szCs w:val="21"/>
          <w:color w:val="auto"/>
        </w:rPr>
        <w:t>Mr. Simon, continued, “With the acquisition of BrewDog, the UK’s leading craft beer brand, and our recently announced partnership with Carlsberg beginning in 2027, we are accelerating the buildout of a scaled global beverage platform. These initiatives broaden our infrastructure, strengthen our brand portfolio, and enhance our distribution capabilities, positioning Tilray to capture growth across key markets in the U.S., Europe, the Middle East, Australia, and Asia-Pacific. Supported by our diversified platform across cannabis, beverage, pharmaceutical distribution, and wellness, we are well-equipped to navigate industry headwinds while leveraging emerging opportunities driven by global consumer trends and regulatory changes. We remain focused on building a leading global consumer platform designed to drive sustained growth, expand profitability, and deliver long-term shareholder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w:t>
      </w:r>
    </w:p>
    <w:p>
      <w:pPr>
        <w:spacing w:after="0" w:line="42" w:lineRule="exact"/>
        <w:rPr>
          <w:sz w:val="20"/>
          <w:szCs w:val="20"/>
          <w:color w:val="auto"/>
        </w:rPr>
      </w:pPr>
    </w:p>
    <w:p>
      <w:pPr>
        <w:ind w:right="160" w:firstLine="5"/>
        <w:spacing w:after="0" w:line="195" w:lineRule="auto"/>
        <w:tabs>
          <w:tab w:leader="none" w:pos="117" w:val="left"/>
        </w:tabs>
        <w:numPr>
          <w:ilvl w:val="0"/>
          <w:numId w:val="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i w:val="1"/>
          <w:iCs w:val="1"/>
          <w:color w:val="auto"/>
        </w:rPr>
        <w:t>BrewDog acquisition is not reflected in the Company’s third quarter results or balance sheet, as the transaction closed and completed subsequent to quarter end.</w:t>
      </w:r>
    </w:p>
    <w:p>
      <w:pPr>
        <w:spacing w:after="0" w:line="21" w:lineRule="exact"/>
        <w:rPr>
          <w:sz w:val="20"/>
          <w:szCs w:val="20"/>
          <w:color w:val="auto"/>
        </w:rPr>
      </w:pPr>
    </w:p>
    <w:p>
      <w:pPr>
        <w:ind w:right="480" w:firstLine="5"/>
        <w:spacing w:after="0" w:line="195" w:lineRule="auto"/>
        <w:tabs>
          <w:tab w:leader="none" w:pos="117"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i w:val="1"/>
          <w:iCs w:val="1"/>
          <w:color w:val="auto"/>
        </w:rPr>
        <w:t>Cash, restricted cash and Marketable Securities is a Non-GAAP financial measure. See “Use of Non-GAAP Measures” below for additional discussion regarding these non-GAAP measures and for a reconciliation of such Non-GAAP Measures to our most comparable GAAP measure.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Financial Highlights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All comparisons made to the prior year period</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Net revenue increased 11% to a record $206.7 million in the third quarter compared to $185.8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-89535</wp:posOffset>
            </wp:positionV>
            <wp:extent cx="67310" cy="67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1"/>
          <w:szCs w:val="21"/>
          <w:color w:val="auto"/>
        </w:rPr>
        <w:t>Gross profit increased 6% to a record $55.0 million in the third quarter compared to $52.0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-101600</wp:posOffset>
            </wp:positionV>
            <wp:extent cx="67310" cy="67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left="540"/>
        <w:spacing w:after="0" w:line="235" w:lineRule="auto"/>
        <w:rPr>
          <w:sz w:val="20"/>
          <w:szCs w:val="20"/>
          <w:color w:val="auto"/>
        </w:rPr>
      </w:pPr>
      <w:r>
        <w:rPr>
          <w:rFonts w:ascii="Times New Roman" w:cs="Times New Roman" w:eastAsia="Times New Roman" w:hAnsi="Times New Roman"/>
          <w:sz w:val="21"/>
          <w:szCs w:val="21"/>
          <w:color w:val="auto"/>
        </w:rPr>
        <w:t>Gross margin was 27% in the third quarter compared to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-101600</wp:posOffset>
            </wp:positionV>
            <wp:extent cx="67310" cy="67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left="540" w:right="600"/>
        <w:spacing w:after="0" w:line="235" w:lineRule="auto"/>
        <w:rPr>
          <w:sz w:val="20"/>
          <w:szCs w:val="20"/>
          <w:color w:val="auto"/>
        </w:rPr>
      </w:pPr>
      <w:r>
        <w:rPr>
          <w:rFonts w:ascii="Times New Roman" w:cs="Times New Roman" w:eastAsia="Times New Roman" w:hAnsi="Times New Roman"/>
          <w:sz w:val="21"/>
          <w:szCs w:val="21"/>
          <w:color w:val="auto"/>
        </w:rPr>
        <w:t>Cannabis net revenue increased 19% to $64.8 million in the third quarter compared to $54.3 million as a result of a 73% increase in international cannabis revenue and an 8% increase in Canadian adult-use and medical cannabis net revenue combined.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-401955</wp:posOffset>
            </wp:positionV>
            <wp:extent cx="67310" cy="673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left="1060"/>
        <w:spacing w:after="0" w:line="235" w:lineRule="auto"/>
        <w:rPr>
          <w:sz w:val="20"/>
          <w:szCs w:val="20"/>
          <w:color w:val="auto"/>
        </w:rPr>
      </w:pPr>
      <w:r>
        <w:rPr>
          <w:rFonts w:ascii="Times New Roman" w:cs="Times New Roman" w:eastAsia="Times New Roman" w:hAnsi="Times New Roman"/>
          <w:sz w:val="21"/>
          <w:szCs w:val="21"/>
          <w:color w:val="auto"/>
        </w:rPr>
        <w:t>Cannabis gross profit increased 18% to $26.0 million in the third quarter compared to $22.0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-101600</wp:posOffset>
            </wp:positionV>
            <wp:extent cx="67310" cy="67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left="1060"/>
        <w:spacing w:after="0" w:line="235" w:lineRule="auto"/>
        <w:rPr>
          <w:sz w:val="20"/>
          <w:szCs w:val="20"/>
          <w:color w:val="auto"/>
        </w:rPr>
      </w:pPr>
      <w:r>
        <w:rPr>
          <w:rFonts w:ascii="Times New Roman" w:cs="Times New Roman" w:eastAsia="Times New Roman" w:hAnsi="Times New Roman"/>
          <w:sz w:val="21"/>
          <w:szCs w:val="21"/>
          <w:color w:val="auto"/>
        </w:rPr>
        <w:t>Cannabis gross margin was 40% in the third quarter compared to 41%.</w:t>
      </w:r>
    </w:p>
    <w:p>
      <w:pPr>
        <w:ind w:left="540"/>
        <w:spacing w:after="0" w:line="235" w:lineRule="auto"/>
        <w:rPr>
          <w:sz w:val="20"/>
          <w:szCs w:val="20"/>
          <w:color w:val="auto"/>
        </w:rPr>
      </w:pPr>
      <w:r>
        <w:rPr>
          <w:rFonts w:ascii="Times New Roman" w:cs="Times New Roman" w:eastAsia="Times New Roman" w:hAnsi="Times New Roman"/>
          <w:sz w:val="21"/>
          <w:szCs w:val="21"/>
          <w:color w:val="auto"/>
        </w:rPr>
        <w:t>Beverage net revenue was $42.6 million in the third quarter compared to $55.9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-100965</wp:posOffset>
            </wp:positionV>
            <wp:extent cx="67310" cy="673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left="1060"/>
        <w:spacing w:after="0" w:line="235" w:lineRule="auto"/>
        <w:rPr>
          <w:sz w:val="20"/>
          <w:szCs w:val="20"/>
          <w:color w:val="auto"/>
        </w:rPr>
      </w:pPr>
      <w:r>
        <w:rPr>
          <w:rFonts w:ascii="Times New Roman" w:cs="Times New Roman" w:eastAsia="Times New Roman" w:hAnsi="Times New Roman"/>
          <w:sz w:val="21"/>
          <w:szCs w:val="21"/>
          <w:color w:val="auto"/>
        </w:rPr>
        <w:t>Beverage gross profit was $13.6 million in the third quarter compared to $19.9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-100965</wp:posOffset>
            </wp:positionV>
            <wp:extent cx="67310" cy="673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left="1060"/>
        <w:spacing w:after="0" w:line="236" w:lineRule="auto"/>
        <w:rPr>
          <w:sz w:val="20"/>
          <w:szCs w:val="20"/>
          <w:color w:val="auto"/>
        </w:rPr>
      </w:pPr>
      <w:r>
        <w:rPr>
          <w:rFonts w:ascii="Times New Roman" w:cs="Times New Roman" w:eastAsia="Times New Roman" w:hAnsi="Times New Roman"/>
          <w:sz w:val="21"/>
          <w:szCs w:val="21"/>
          <w:color w:val="auto"/>
        </w:rPr>
        <w:t>Beverage gross margin was 32% in the third quarter compared to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-101600</wp:posOffset>
            </wp:positionV>
            <wp:extent cx="67310" cy="673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left="540"/>
        <w:spacing w:after="0" w:line="235" w:lineRule="auto"/>
        <w:rPr>
          <w:sz w:val="20"/>
          <w:szCs w:val="20"/>
          <w:color w:val="auto"/>
        </w:rPr>
      </w:pPr>
      <w:r>
        <w:rPr>
          <w:rFonts w:ascii="Times New Roman" w:cs="Times New Roman" w:eastAsia="Times New Roman" w:hAnsi="Times New Roman"/>
          <w:sz w:val="21"/>
          <w:szCs w:val="21"/>
          <w:color w:val="auto"/>
        </w:rPr>
        <w:t>Wellness net revenue increased 16% to $16.4 million in the third quarter compared to $14.1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-101600</wp:posOffset>
            </wp:positionV>
            <wp:extent cx="67310" cy="673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left="1060"/>
        <w:spacing w:after="0" w:line="235" w:lineRule="auto"/>
        <w:rPr>
          <w:sz w:val="20"/>
          <w:szCs w:val="20"/>
          <w:color w:val="auto"/>
        </w:rPr>
      </w:pPr>
      <w:r>
        <w:rPr>
          <w:rFonts w:ascii="Times New Roman" w:cs="Times New Roman" w:eastAsia="Times New Roman" w:hAnsi="Times New Roman"/>
          <w:sz w:val="21"/>
          <w:szCs w:val="21"/>
          <w:color w:val="auto"/>
        </w:rPr>
        <w:t>Wellness gross profit increased 19% to $5.4 million in the third quarter compared to $4.5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-101600</wp:posOffset>
            </wp:positionV>
            <wp:extent cx="67310" cy="673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left="1060"/>
        <w:spacing w:after="0" w:line="235" w:lineRule="auto"/>
        <w:rPr>
          <w:sz w:val="20"/>
          <w:szCs w:val="20"/>
          <w:color w:val="auto"/>
        </w:rPr>
      </w:pPr>
      <w:r>
        <w:rPr>
          <w:rFonts w:ascii="Times New Roman" w:cs="Times New Roman" w:eastAsia="Times New Roman" w:hAnsi="Times New Roman"/>
          <w:sz w:val="21"/>
          <w:szCs w:val="21"/>
          <w:color w:val="auto"/>
        </w:rPr>
        <w:t>Wellness gross margin increased to 33% in the third quarter compared to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-101600</wp:posOffset>
            </wp:positionV>
            <wp:extent cx="67310" cy="673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left="540" w:right="140"/>
        <w:spacing w:after="0" w:line="235" w:lineRule="auto"/>
        <w:rPr>
          <w:sz w:val="20"/>
          <w:szCs w:val="20"/>
          <w:color w:val="auto"/>
        </w:rPr>
      </w:pPr>
      <w:r>
        <w:rPr>
          <w:rFonts w:ascii="Times New Roman" w:cs="Times New Roman" w:eastAsia="Times New Roman" w:hAnsi="Times New Roman"/>
          <w:sz w:val="21"/>
          <w:szCs w:val="21"/>
          <w:color w:val="auto"/>
        </w:rPr>
        <w:t>Distribution net revenue, which includes Tilray Pharma, grew to a third quarter record net revenue of $83.0 million compared to $61.5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-252095</wp:posOffset>
            </wp:positionV>
            <wp:extent cx="67310" cy="673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left="1060"/>
        <w:spacing w:after="0" w:line="235" w:lineRule="auto"/>
        <w:rPr>
          <w:sz w:val="20"/>
          <w:szCs w:val="20"/>
          <w:color w:val="auto"/>
        </w:rPr>
      </w:pPr>
      <w:r>
        <w:rPr>
          <w:rFonts w:ascii="Times New Roman" w:cs="Times New Roman" w:eastAsia="Times New Roman" w:hAnsi="Times New Roman"/>
          <w:sz w:val="21"/>
          <w:szCs w:val="21"/>
          <w:color w:val="auto"/>
        </w:rPr>
        <w:t>Distribution gross profit increased to $10.0 million in the third quarter compared to $5.6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-101600</wp:posOffset>
            </wp:positionV>
            <wp:extent cx="67310" cy="673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left="1060"/>
        <w:spacing w:after="0" w:line="235" w:lineRule="auto"/>
        <w:rPr>
          <w:sz w:val="20"/>
          <w:szCs w:val="20"/>
          <w:color w:val="auto"/>
        </w:rPr>
      </w:pPr>
      <w:r>
        <w:rPr>
          <w:rFonts w:ascii="Times New Roman" w:cs="Times New Roman" w:eastAsia="Times New Roman" w:hAnsi="Times New Roman"/>
          <w:sz w:val="21"/>
          <w:szCs w:val="21"/>
          <w:color w:val="auto"/>
        </w:rPr>
        <w:t>Distribution gross margin increased to 12% in the third quarter compared to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-101600</wp:posOffset>
            </wp:positionV>
            <wp:extent cx="67310" cy="673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left="540" w:right="340"/>
        <w:spacing w:after="0" w:line="237" w:lineRule="auto"/>
        <w:rPr>
          <w:sz w:val="20"/>
          <w:szCs w:val="20"/>
          <w:color w:val="auto"/>
        </w:rPr>
      </w:pPr>
      <w:r>
        <w:rPr>
          <w:rFonts w:ascii="Times New Roman" w:cs="Times New Roman" w:eastAsia="Times New Roman" w:hAnsi="Times New Roman"/>
          <w:sz w:val="21"/>
          <w:szCs w:val="21"/>
          <w:color w:val="auto"/>
        </w:rPr>
        <w:t>Net loss improved 97% to $25.2 million in the third quarter compared to a net loss of $793.5 million, and net loss per share improved to $(0.24) in the third quarter from $(8.69).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-254635</wp:posOffset>
            </wp:positionV>
            <wp:extent cx="67310" cy="673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left="540" w:right="180"/>
        <w:spacing w:after="0" w:line="199" w:lineRule="auto"/>
        <w:rPr>
          <w:sz w:val="20"/>
          <w:szCs w:val="20"/>
          <w:color w:val="auto"/>
        </w:rPr>
      </w:pPr>
      <w:r>
        <w:rPr>
          <w:rFonts w:ascii="Times New Roman" w:cs="Times New Roman" w:eastAsia="Times New Roman" w:hAnsi="Times New Roman"/>
          <w:sz w:val="21"/>
          <w:szCs w:val="21"/>
          <w:color w:val="auto"/>
        </w:rPr>
        <w:t>Adjusted net income (loss)</w:t>
      </w:r>
      <w:r>
        <w:rPr>
          <w:rFonts w:ascii="Times New Roman" w:cs="Times New Roman" w:eastAsia="Times New Roman" w:hAnsi="Times New Roman"/>
          <w:sz w:val="35"/>
          <w:szCs w:val="35"/>
          <w:color w:val="auto"/>
          <w:vertAlign w:val="superscript"/>
        </w:rPr>
        <w:t>3</w:t>
      </w:r>
      <w:r>
        <w:rPr>
          <w:rFonts w:ascii="Times New Roman" w:cs="Times New Roman" w:eastAsia="Times New Roman" w:hAnsi="Times New Roman"/>
          <w:sz w:val="21"/>
          <w:szCs w:val="21"/>
          <w:color w:val="auto"/>
        </w:rPr>
        <w:t xml:space="preserve"> and adjusted net income (loss) per share</w:t>
      </w:r>
      <w:r>
        <w:rPr>
          <w:rFonts w:ascii="Times New Roman" w:cs="Times New Roman" w:eastAsia="Times New Roman" w:hAnsi="Times New Roman"/>
          <w:sz w:val="35"/>
          <w:szCs w:val="35"/>
          <w:color w:val="auto"/>
          <w:vertAlign w:val="superscript"/>
        </w:rPr>
        <w:t>3</w:t>
      </w:r>
      <w:r>
        <w:rPr>
          <w:rFonts w:ascii="Times New Roman" w:cs="Times New Roman" w:eastAsia="Times New Roman" w:hAnsi="Times New Roman"/>
          <w:sz w:val="21"/>
          <w:szCs w:val="21"/>
          <w:color w:val="auto"/>
        </w:rPr>
        <w:t xml:space="preserve"> improved to $2.4 million and $0.02 in the third quarter compared to adjusted net loss of $2.9 million and $(0.03).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-260350</wp:posOffset>
            </wp:positionV>
            <wp:extent cx="67310" cy="673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900" w:h="16838" w:orient="portrait"/>
          <w:cols w:equalWidth="0" w:num="1">
            <w:col w:w="11240"/>
          </w:cols>
          <w:pgMar w:left="320" w:top="110" w:right="339" w:bottom="0" w:gutter="0" w:footer="0" w:header="0"/>
        </w:sectPr>
      </w:pPr>
    </w:p>
    <w:bookmarkStart w:id="4" w:name="page5"/>
    <w:bookmarkEnd w:id="4"/>
    <w:p>
      <w:pPr>
        <w:ind w:left="540" w:right="160"/>
        <w:spacing w:after="0" w:line="203" w:lineRule="auto"/>
        <w:rPr>
          <w:sz w:val="20"/>
          <w:szCs w:val="20"/>
          <w:color w:val="auto"/>
        </w:rPr>
      </w:pPr>
      <w:r>
        <w:rPr>
          <w:rFonts w:ascii="Times New Roman" w:cs="Times New Roman" w:eastAsia="Times New Roman" w:hAnsi="Times New Roman"/>
          <w:sz w:val="21"/>
          <w:szCs w:val="21"/>
          <w:color w:val="auto"/>
        </w:rPr>
        <w:t>Adjusted cash operating income</w:t>
      </w:r>
      <w:r>
        <w:rPr>
          <w:rFonts w:ascii="Times New Roman" w:cs="Times New Roman" w:eastAsia="Times New Roman" w:hAnsi="Times New Roman"/>
          <w:sz w:val="35"/>
          <w:szCs w:val="35"/>
          <w:color w:val="auto"/>
          <w:vertAlign w:val="superscript"/>
        </w:rPr>
        <w:t>4</w:t>
      </w:r>
      <w:r>
        <w:rPr>
          <w:rFonts w:ascii="Times New Roman" w:cs="Times New Roman" w:eastAsia="Times New Roman" w:hAnsi="Times New Roman"/>
          <w:sz w:val="21"/>
          <w:szCs w:val="21"/>
          <w:color w:val="auto"/>
        </w:rPr>
        <w:t xml:space="preserve"> improved to $4.0 million in the third quarter compared to an adjusted cash operating loss of $3.1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-254635</wp:posOffset>
            </wp:positionV>
            <wp:extent cx="67310" cy="673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1"/>
          <w:szCs w:val="21"/>
          <w:color w:val="auto"/>
        </w:rPr>
        <w:t>Adjusted EBITDA</w:t>
      </w:r>
      <w:r>
        <w:rPr>
          <w:rFonts w:ascii="Times New Roman" w:cs="Times New Roman" w:eastAsia="Times New Roman" w:hAnsi="Times New Roman"/>
          <w:sz w:val="35"/>
          <w:szCs w:val="35"/>
          <w:color w:val="auto"/>
          <w:vertAlign w:val="superscript"/>
        </w:rPr>
        <w:t>5</w:t>
      </w:r>
      <w:r>
        <w:rPr>
          <w:rFonts w:ascii="Times New Roman" w:cs="Times New Roman" w:eastAsia="Times New Roman" w:hAnsi="Times New Roman"/>
          <w:sz w:val="21"/>
          <w:szCs w:val="21"/>
          <w:color w:val="auto"/>
        </w:rPr>
        <w:t xml:space="preserve"> increased 19% to $10.7 million in the third quarter compared to $9.0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-176530</wp:posOffset>
            </wp:positionV>
            <wp:extent cx="67310" cy="673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w:t>
      </w:r>
    </w:p>
    <w:p>
      <w:pPr>
        <w:spacing w:after="0" w:line="19" w:lineRule="exact"/>
        <w:rPr>
          <w:sz w:val="20"/>
          <w:szCs w:val="20"/>
          <w:color w:val="auto"/>
        </w:rPr>
      </w:pPr>
    </w:p>
    <w:p>
      <w:pPr>
        <w:ind w:right="480" w:firstLine="5"/>
        <w:spacing w:after="0" w:line="195" w:lineRule="auto"/>
        <w:tabs>
          <w:tab w:leader="none" w:pos="117"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i w:val="1"/>
          <w:iCs w:val="1"/>
          <w:color w:val="auto"/>
        </w:rPr>
        <w:t>Adjusted net income (loss) and adjusted net income (loss) per share are Non-GAAP financial measures. See “Use of Non-GAAP Measures” below for a discussion of these Non-GAAP measures and for a reconciliation of this Non-GAAP Measure to our most comparable GAAP measure.</w:t>
      </w:r>
    </w:p>
    <w:p>
      <w:pPr>
        <w:spacing w:after="0" w:line="60" w:lineRule="exact"/>
        <w:rPr>
          <w:sz w:val="20"/>
          <w:szCs w:val="20"/>
          <w:color w:val="auto"/>
        </w:rPr>
      </w:pPr>
    </w:p>
    <w:p>
      <w:pPr>
        <w:ind w:right="360" w:firstLine="5"/>
        <w:spacing w:after="0" w:line="195" w:lineRule="auto"/>
        <w:tabs>
          <w:tab w:leader="none" w:pos="125"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i w:val="1"/>
          <w:iCs w:val="1"/>
          <w:color w:val="auto"/>
        </w:rPr>
        <w:t>Adjusted cash operating income (loss) is a Non-GAAP financial measure. See “Use of Non-GAAP Measures” below for a discussion of these Non-GAAP measures and for a reconciliation of this Non-GAAP Measure to our most comparable GAAP measure.</w:t>
      </w:r>
    </w:p>
    <w:p>
      <w:pPr>
        <w:spacing w:after="0" w:line="21" w:lineRule="exact"/>
        <w:rPr>
          <w:sz w:val="20"/>
          <w:szCs w:val="20"/>
          <w:color w:val="auto"/>
        </w:rPr>
      </w:pPr>
    </w:p>
    <w:p>
      <w:pPr>
        <w:ind w:right="420" w:firstLine="5"/>
        <w:spacing w:after="0" w:line="195" w:lineRule="auto"/>
        <w:tabs>
          <w:tab w:leader="none" w:pos="117"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i w:val="1"/>
          <w:iCs w:val="1"/>
          <w:color w:val="auto"/>
        </w:rPr>
        <w:t>Adjusted EBITDA is a Non-GAAP financial measure. See “Use of Non-GAAP Measures” below for a discussion of these Non-GAAP measures and for a reconciliation of this Non-GAAP Measure to our most comparable GAAP measure.</w:t>
      </w:r>
    </w:p>
    <w:p>
      <w:pPr>
        <w:spacing w:after="0" w:line="200" w:lineRule="exact"/>
        <w:rPr>
          <w:sz w:val="20"/>
          <w:szCs w:val="20"/>
          <w:color w:val="auto"/>
        </w:rPr>
      </w:pPr>
    </w:p>
    <w:p>
      <w:pPr>
        <w:spacing w:after="0" w:line="217" w:lineRule="exact"/>
        <w:rPr>
          <w:sz w:val="20"/>
          <w:szCs w:val="20"/>
          <w:color w:val="auto"/>
        </w:rPr>
      </w:pPr>
    </w:p>
    <w:p>
      <w:pPr>
        <w:jc w:val="both"/>
        <w:ind w:right="160"/>
        <w:spacing w:after="0" w:line="253" w:lineRule="auto"/>
        <w:rPr>
          <w:sz w:val="20"/>
          <w:szCs w:val="20"/>
          <w:color w:val="auto"/>
        </w:rPr>
      </w:pPr>
      <w:r>
        <w:rPr>
          <w:rFonts w:ascii="Times New Roman" w:cs="Times New Roman" w:eastAsia="Times New Roman" w:hAnsi="Times New Roman"/>
          <w:sz w:val="21"/>
          <w:szCs w:val="21"/>
          <w:b w:val="1"/>
          <w:bCs w:val="1"/>
          <w:color w:val="auto"/>
        </w:rPr>
        <w:t xml:space="preserve">Balance Sheet Update: </w:t>
      </w:r>
      <w:r>
        <w:rPr>
          <w:rFonts w:ascii="Times New Roman" w:cs="Times New Roman" w:eastAsia="Times New Roman" w:hAnsi="Times New Roman"/>
          <w:sz w:val="21"/>
          <w:szCs w:val="21"/>
          <w:color w:val="auto"/>
        </w:rPr>
        <w:t>Our balance sheet remains strong, supported by cash, restricted cash, and marketable securities balance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$264.8 million at the end of the third quarter, providing flexibility for strategic opportunities and investment. In the quarter, we also further reduced our total outstanding debt by $4.2 million, highlighting our improved debt position.</w:t>
      </w:r>
    </w:p>
    <w:p>
      <w:pPr>
        <w:spacing w:after="0" w:line="156"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21"/>
          <w:szCs w:val="21"/>
          <w:b w:val="1"/>
          <w:bCs w:val="1"/>
          <w:color w:val="auto"/>
        </w:rPr>
        <w:t xml:space="preserve">Net (Debt) Cash Position: </w:t>
      </w:r>
      <w:r>
        <w:rPr>
          <w:rFonts w:ascii="Times New Roman" w:cs="Times New Roman" w:eastAsia="Times New Roman" w:hAnsi="Times New Roman"/>
          <w:sz w:val="21"/>
          <w:szCs w:val="21"/>
          <w:color w:val="auto"/>
        </w:rPr>
        <w:t>Our net cash position of $3.5 million improved $40.2 million from a net debt position of $36.6 million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prior year period.</w:t>
      </w:r>
    </w:p>
    <w:p>
      <w:pPr>
        <w:spacing w:after="0" w:line="136"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21"/>
          <w:szCs w:val="21"/>
          <w:b w:val="1"/>
          <w:bCs w:val="1"/>
          <w:color w:val="auto"/>
        </w:rPr>
        <w:t xml:space="preserve">Project 420 Update: </w:t>
      </w:r>
      <w:r>
        <w:rPr>
          <w:rFonts w:ascii="Times New Roman" w:cs="Times New Roman" w:eastAsia="Times New Roman" w:hAnsi="Times New Roman"/>
          <w:sz w:val="21"/>
          <w:szCs w:val="21"/>
          <w:color w:val="auto"/>
        </w:rPr>
        <w:t>In the quarter, we completed the previously-announced Project 420 synergy program, delivering approximately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$33 million in annualized cost savings and meaningfully strengthening the cost structure of our Beverage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Fiscal Year 2026 Guidance</w:t>
      </w:r>
    </w:p>
    <w:p>
      <w:pPr>
        <w:spacing w:after="0" w:line="23" w:lineRule="exact"/>
        <w:rPr>
          <w:sz w:val="20"/>
          <w:szCs w:val="20"/>
          <w:color w:val="auto"/>
        </w:rPr>
      </w:pPr>
    </w:p>
    <w:p>
      <w:pPr>
        <w:ind w:right="340"/>
        <w:spacing w:after="0" w:line="244" w:lineRule="auto"/>
        <w:rPr>
          <w:sz w:val="20"/>
          <w:szCs w:val="20"/>
          <w:color w:val="auto"/>
        </w:rPr>
      </w:pPr>
      <w:r>
        <w:rPr>
          <w:rFonts w:ascii="Times New Roman" w:cs="Times New Roman" w:eastAsia="Times New Roman" w:hAnsi="Times New Roman"/>
          <w:sz w:val="21"/>
          <w:szCs w:val="21"/>
          <w:color w:val="auto"/>
        </w:rPr>
        <w:t>For its fiscal year ended May 31, 2026, the Company reconfirms its guidance to achieve; adjusted EBITDA of $62 million to $72 million, representing growth of 13% to 31% as compared to fiscal year 2025.</w:t>
      </w:r>
    </w:p>
    <w:p>
      <w:pPr>
        <w:spacing w:after="0" w:line="168"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1"/>
          <w:szCs w:val="21"/>
          <w:color w:val="auto"/>
        </w:rPr>
        <w:t>Management’s guidance for adjusted EBITDA is provided on a non-GAAP basis and excludes stock-based compensation; change in fair value of contingent consideration; purchase price accounting step-up; impairments of intangible assets and goodwill; Other than temporary change in fair value of convertible notes receivable; litigation costs; restructuring costs, transaction (income) costs and other non-operating income (expenses) and other non-recurring items that may be incurred during the Company's fiscal year 2026, which the Company will continue to identify as it reports its future financial results. Given the escalation of hostilities in the Middle East, including Iran, we are monitoring various factors that may directly and indirectly impact operating expenses and, therefore, our adjusted EBITDA expectations, including energy, fuel, logistics, and supply chain disruption.</w:t>
      </w:r>
    </w:p>
    <w:p>
      <w:pPr>
        <w:spacing w:after="0" w:line="176"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1"/>
          <w:szCs w:val="21"/>
          <w:color w:val="auto"/>
        </w:rPr>
        <w:t>The Company cannot reconcile its expected adjusted EBITDA to net income “Fiscal Year 2026 Guidance” without unreasonable effort because of certain items that impact net income, and other reconciling metrics are out of the Company’s control and/or cannot be reasonably predicted at this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Live Audio Webcast</w:t>
      </w:r>
    </w:p>
    <w:p>
      <w:pPr>
        <w:spacing w:after="0" w:line="20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1"/>
          <w:szCs w:val="21"/>
          <w:color w:val="auto"/>
        </w:rPr>
        <w:t>Tilray Brands will host a webcast to discuss these results today at 8:30 a.m. Eastern Time. Investors may join the live webcast available on the Events &amp; Presentations section of Tilray’s Investor Relations website. A replay will be available and archived on the Company’s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About Tilray Brands</w:t>
      </w:r>
    </w:p>
    <w:p>
      <w:pPr>
        <w:spacing w:after="0" w:line="236"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1"/>
          <w:szCs w:val="21"/>
          <w:color w:val="auto"/>
        </w:rPr>
        <w:t>Tilray Brands, Inc. (“Tilray”) (Nasdaq: TLRY; TSX: TLRY), is a leading global lifestyle and consumer packaged goods company with operations in Canada, the United States, Europe, Australia,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and create memorable experiences. Tilray’s unprecedented platform supports over 40 brands in over 20 countries, including comprehensive cannabis offerings, hemp-based foods, and craft beverages.</w:t>
      </w:r>
    </w:p>
    <w:p>
      <w:pPr>
        <w:spacing w:after="0" w:line="175"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21"/>
          <w:szCs w:val="21"/>
          <w:color w:val="auto"/>
        </w:rPr>
        <w:t>For more information on how we are elevating lives through moments of connection, visit Tilray.com and follow @Tilray on all social platforms.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Cautionary Statement Concerning Forward-Looking Statements</w:t>
      </w:r>
    </w:p>
    <w:p>
      <w:pPr>
        <w:spacing w:after="0" w:line="20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1"/>
          <w:szCs w:val="21"/>
          <w:color w:val="auto"/>
        </w:rPr>
        <w:t>Certain statements in this press release constitute forward-looking information or forward-looking statements (together, “forward-looking statements”) under Canadian securities laws and within the meaning of Section 27A of the Securities Act of 1933, as amended, and Section 21E of the Securities Exchange Act of 1934, as amended, that are intended to be subject to the “safe harbor” created by those sections and other applicable laws. Forward-looking statements can be identified by words such as “forecast,” “future,” “should,” “could,” “enable,” “potential,” “contemplate,” “believe,” “anticipate,” “estimate,” “plan,” “expect,” “intend,” “position,” “may,” “project,” “will,” “would” and the negative of these terms or similar expressions, although not all forward-looking statements contain these identifying words. Certain material factors, estimates, goals, projections, or assumptions were used in drawing the conclusions contained in the forward-looking statements throughout this communication.</w:t>
      </w:r>
    </w:p>
    <w:p>
      <w:pPr>
        <w:spacing w:after="0" w:line="179" w:lineRule="exact"/>
        <w:rPr>
          <w:sz w:val="20"/>
          <w:szCs w:val="20"/>
          <w:color w:val="auto"/>
        </w:rPr>
      </w:pPr>
    </w:p>
    <w:p>
      <w:pPr>
        <w:ind w:right="660"/>
        <w:spacing w:after="0" w:line="270" w:lineRule="auto"/>
        <w:rPr>
          <w:sz w:val="20"/>
          <w:szCs w:val="20"/>
          <w:color w:val="auto"/>
        </w:rPr>
      </w:pPr>
      <w:r>
        <w:rPr>
          <w:rFonts w:ascii="Times New Roman" w:cs="Times New Roman" w:eastAsia="Times New Roman" w:hAnsi="Times New Roman"/>
          <w:sz w:val="20"/>
          <w:szCs w:val="20"/>
          <w:color w:val="auto"/>
        </w:rPr>
        <w:t>Forward-looking statements include statements regarding our intentions, beliefs, projections, outlook, analyses or current expectations concerning, among other things: the Company’s ability to become a leading lifestyle consumer packaged goods company; the Company’s ability to become a leading beverage alcohol Company; the Company’s ability to achieve long term</w:t>
      </w:r>
    </w:p>
    <w:p>
      <w:pPr>
        <w:sectPr>
          <w:pgSz w:w="11900" w:h="16838" w:orient="portrait"/>
          <w:cols w:equalWidth="0" w:num="1">
            <w:col w:w="11240"/>
          </w:cols>
          <w:pgMar w:left="320" w:top="121" w:right="339" w:bottom="0" w:gutter="0" w:footer="0" w:header="0"/>
        </w:sectPr>
      </w:pPr>
    </w:p>
    <w:bookmarkStart w:id="5" w:name="page6"/>
    <w:bookmarkEnd w:id="5"/>
    <w:p>
      <w:pPr>
        <w:spacing w:after="0" w:line="239" w:lineRule="auto"/>
        <w:rPr>
          <w:sz w:val="20"/>
          <w:szCs w:val="20"/>
          <w:color w:val="auto"/>
        </w:rPr>
      </w:pPr>
      <w:r>
        <w:rPr>
          <w:rFonts w:ascii="Times New Roman" w:cs="Times New Roman" w:eastAsia="Times New Roman" w:hAnsi="Times New Roman"/>
          <w:sz w:val="21"/>
          <w:szCs w:val="21"/>
          <w:color w:val="auto"/>
        </w:rPr>
        <w:t>profitability; the Company’s ability to achieve operational scale, market share, distribution, profitability and revenue growth in particular business lines and markets; the Company’s ability to successfully achieve revenue growth, margin and profitability improvements, production and supply chain efficiencies, synergies and cost savings; the Company’s ability to achieve fiscal year 2026 financial guidance, including expected Adjusted EBITDA of $62 to $72 million and synergy optimizations; the Company’s expected revenue growth, sales volume, profitability, synergies and accretion related to any of its acquisitions; expected opportunities in the U.S., including upon U.S. federal cannabis legalization or rescheduling and the Company’s ability to leverage its platform in connection therewith; the Company’s ability to successfully leverage artificial intelligence strategies; the Company’s anticipated investments and acquisitions, including in organic and strategic growth, partnership efforts, product offerings and other initiatives; and the Company’s ability to commercialize new and innovative products.</w:t>
      </w:r>
    </w:p>
    <w:p>
      <w:pPr>
        <w:spacing w:after="0" w:line="17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1"/>
          <w:szCs w:val="21"/>
          <w:color w:val="auto"/>
        </w:rPr>
        <w:t>Many factors could cause actual results, performance or achievement to be materially different from any forward-looking statements, and other risks and uncertainties not presently known to the Company or that the Company deems immaterial could also cause actual results or events to differ materially from those expressed in the forward-looking statements contained herein. For a more detailed discussion of these risks and other factors, see the most recently filed annual information form of the Company and the Annual Report on Form 10-K (and other periodic reports filed with the SEC) of the Company made with the SEC and available on EDGAR. The forward-looking statements included in this communication are made as of the date of this communication and the Company does not undertake any obligation to publicly update such forward-looking statements to reflect new information, subsequent events or otherwise unless required by applicable securities laws.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Use of Non-U.S. GAAP Financial Measures</w:t>
      </w:r>
    </w:p>
    <w:p>
      <w:pPr>
        <w:spacing w:after="0" w:line="20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1"/>
          <w:szCs w:val="21"/>
          <w:color w:val="auto"/>
        </w:rPr>
        <w:t>This press release and the accompanying tables include non-GAAP financial measures, including Adjusted gross margin (consolidated and for each of our reporting segments), Adjusted gross profit (consolidated and for each of our reporting segments), Adjusted EBITDA, Adjusted cash operating income (loss), Adjusted net income (loss), Adjusted net income (loss) per share, free cash flow, adjusted free cash flow, constant currency presentations of revenue, cash, restricted cash and marketable securities, and net (debt) cash. Management believes that the non-GAAP financial measures presented provide useful additional information to investors about current trends in the Company's operations and are useful for period-over-period comparisons of operations. These non-GAAP financial measures should not be considered in isolation or as a substitute for the comparable GAAP measures, nor should adjusted net income (loss) per share be used as a measure of liquidity. In addition, these non-GAAP measures may not be the same as similar measures provided by other companies due to potential differences in methods of calculation and items being excluded. They should be read only in connection with the Company's Consolidated Statements of Operations and Cash Flows presented in accordance with GAAP.</w:t>
      </w:r>
    </w:p>
    <w:p>
      <w:pPr>
        <w:spacing w:after="0" w:line="179"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21"/>
          <w:szCs w:val="21"/>
          <w:color w:val="auto"/>
        </w:rPr>
        <w:t>Certain forward-looking non-GAAP financial measures included in this press release are not reconciled to the comparable forward-looking GAAP financial measures. The Company is not able to reconcile these forward-looking non-GAAP financial measures to their most directly comparable forward-looking GAAP financial measures without unreasonable efforts because the Company is unable to predict with a reasonable degree of certainty the type and extent of certain items that would be expected to impact GAAP measures but would not impact the non-GAAP measures. Such items may include litigation and related expenses, transaction costs, impairments of intangible assets and goodwill, foreign exchange movements and other items. The unavailable information could have a significant impact on the Company's GAAP financial results.</w:t>
      </w:r>
    </w:p>
    <w:p>
      <w:pPr>
        <w:spacing w:after="0" w:line="176"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1"/>
          <w:szCs w:val="21"/>
          <w:color w:val="auto"/>
        </w:rPr>
        <w:t>The Company believes presenting net sales at constant currency provides useful information to investors because it provides transparency to underlying performance in the Company's consolidated net sales by excluding the effect that foreign currency exchange rate fluctuations have on period-to-period comparability given the volatility in foreign currency exchange markets. To present this information for historical periods, current period net sales for entities reporting in currencies other than the U.S. dollar are translated into U.S. dollars at the average monthly exchange rates in effect during the corresponding period of the prior fiscal year, rather than at the actual average monthly exchange rate in effect during the current period of the current fiscal year. As a result, the foreign currency impact is equal to the current year results in local currencies multiplied by the change in average foreign currency exchange rate between the current fiscal period and the corresponding period of the prior fiscal year. A reconciliation of prior year revenue to constant currency revenue as the most directly comparable GAAP measure, has been provided in the financial statement tables included above in this press release.</w:t>
      </w:r>
    </w:p>
    <w:p>
      <w:pPr>
        <w:spacing w:after="0" w:line="181"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21"/>
          <w:szCs w:val="21"/>
          <w:color w:val="auto"/>
        </w:rPr>
        <w:t>Adjusted EBITDA is calculated as net income (loss) before income tax expense (recovery), net; interest expense, net; non-operating income (expense), net; amortization; stock-based compensation; change in fair value of contingent consideration; purchase price accounting step-up; project 420 optimization costs; other than temporary change in fair value of convertible notes receivable; impairments; litigation costs; restructuring costs, and transaction (income) costs, net. A reconciliation of Adjusted EBITDA to net loss, the most directly comparable GAAP measure, has been provided in the financial statement tables included below in this press release.</w:t>
      </w:r>
    </w:p>
    <w:p>
      <w:pPr>
        <w:spacing w:after="0" w:line="175"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1"/>
          <w:szCs w:val="21"/>
          <w:color w:val="auto"/>
        </w:rPr>
        <w:t>Adjusted cash operating income (loss) is calculated as operating loss, less; amortization; stock-based compensation; other than temporary change in fair value of convertible notes receivable; impairments; and change in fair value of contingent consideration. A reconciliation of adjusted cash operating income (loss) to operating loss, the most directly comparable GAAP measure, has been included below in this press release. Adjusted cash operating income (loss) is not calculated in accordance with GAAP and should not be considered an alternative for GAAP operating income or as a measure of liquidity.</w:t>
      </w:r>
    </w:p>
    <w:p>
      <w:pPr>
        <w:spacing w:after="0" w:line="171"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1"/>
          <w:szCs w:val="21"/>
          <w:color w:val="auto"/>
        </w:rPr>
        <w:t>Adjusted net income (loss) is calculated as net loss attributable to stockholders of Tilray Brands, Inc., less; non-operating income (expense), net; amortization; stock-based compensation; change in fair value of contingent consideration; project 420 optimization costs; other than temporary change in fair value of convertible notes receivable; impairments; litigation costs; restructuring costs and transaction (income) costs, net. A reconciliation of Adjusted net income (loss) to net loss attributable to stockholders of Tilray Brands, Inc., the most directly comparable GAAP measure, has been included below in this press release.</w:t>
      </w:r>
    </w:p>
    <w:p>
      <w:pPr>
        <w:sectPr>
          <w:pgSz w:w="11900" w:h="16838" w:orient="portrait"/>
          <w:cols w:equalWidth="0" w:num="1">
            <w:col w:w="11240"/>
          </w:cols>
          <w:pgMar w:left="320" w:top="114" w:right="339" w:bottom="0" w:gutter="0" w:footer="0" w:header="0"/>
        </w:sectPr>
      </w:pPr>
    </w:p>
    <w:bookmarkStart w:id="6" w:name="page7"/>
    <w:bookmarkEnd w:id="6"/>
    <w:p>
      <w:pPr>
        <w:ind w:right="80"/>
        <w:spacing w:after="0" w:line="239" w:lineRule="auto"/>
        <w:rPr>
          <w:sz w:val="20"/>
          <w:szCs w:val="20"/>
          <w:color w:val="auto"/>
        </w:rPr>
      </w:pPr>
      <w:r>
        <w:rPr>
          <w:rFonts w:ascii="Times New Roman" w:cs="Times New Roman" w:eastAsia="Times New Roman" w:hAnsi="Times New Roman"/>
          <w:sz w:val="21"/>
          <w:szCs w:val="21"/>
          <w:color w:val="auto"/>
        </w:rPr>
        <w:t>Adjusted net income (loss) per share is calculated as net loss attributable to stockholders of Tilray Brands, Inc., net; non-operating income (expense), net; amortization; stock-based compensation; change in fair value of contingent consideration; project 420 optimization costs; other than temporary change in fair value of convertible notes receivable; impairments; litigation costs; restructuring costs and transaction (income) costs, divided by weighted average number of common shares outstanding. A reconciliation of Adjusted net income (loss) per share to net loss attributable to stockholders of Tilray Brands, Inc., the most directly comparable GAAP measure, has been included below in this press release. Adjusted net income (loss) per share is not calculated in accordance with GAAP and should not be considered an alternative for GAAP net income (loss) per share or as a measure of liquidity.</w:t>
      </w:r>
    </w:p>
    <w:p>
      <w:pPr>
        <w:spacing w:after="0" w:line="178"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1"/>
          <w:szCs w:val="21"/>
          <w:color w:val="auto"/>
        </w:rPr>
        <w:t>Adjusted gross profit (consolidated and for each of our reporting segments), is calculated as gross profit adjusted to exclude the impact of purchase price accounting valuation step-up. A reconciliation of Adjusted gross profit, excluding purchase price accounting valuation step-up, to gross profit, the most directly comparable GAAP measure, has been provided in the financial statement tables included above in this press release. Adjusted gross margin (consolidated and for each of our reporting segments), excluding purchase price accounting valuation step-up, is calculated as revenue less cost of sales adjusted to add back amortization of inventory step-up, divided by revenue. A reconciliation of Adjusted gross margin, excluding purchase price accounting valuation step-up, to gross margin, the most directly comparable GAAP measure, has been provided in the financial statement tables included above in this press release.</w:t>
      </w:r>
    </w:p>
    <w:p>
      <w:pPr>
        <w:spacing w:after="0" w:line="179"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1"/>
          <w:szCs w:val="21"/>
          <w:color w:val="auto"/>
        </w:rPr>
        <w:t>Free cash flow is comprised of two GAAP measures which are net cash flow provided by (used in) operating activities less investments in capital and intangible assets, net. A reconciliation of net cash flow provided by (used in) operating activities to free cash flow, the most directly comparable GAAP measure, has been provided in the financial statement tables included above in this press release. Adjusted free cash flow is comprised of two GAAP measures which are net cash flow provided by (used in) operating activities less investments in capital and intangible assets, net, and the exclusion of growth CAPEX from investments in capital and intangible assets, net, which excludes the amount of capital expenditures that are considered to be associated with growth of future operations rather than to maintain the existing operations of the Company, and excludes cash paid for litigation settlements. A reconciliation of net cash flow provided by (used in) operating activities to adjusted free cash flow, the most directly comparable GAAP measure, has been provided in the financial statement tables included above in this press release.</w:t>
      </w:r>
    </w:p>
    <w:p>
      <w:pPr>
        <w:spacing w:after="0" w:line="17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1"/>
          <w:szCs w:val="21"/>
          <w:color w:val="auto"/>
        </w:rPr>
        <w:t>Cash, restricted cash and marketable securities are comprised of three GAAP measures, cash and cash equivalents and restricted cash both added to marketable securities. The Company’s management believes that this presentation provides useful information to management, analysts and investors regarding certain additional financial and business trends relating to its short-term liquidity position by combing these three GAAP metrics.</w:t>
      </w:r>
    </w:p>
    <w:p>
      <w:pPr>
        <w:spacing w:after="0" w:line="16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1"/>
          <w:szCs w:val="21"/>
          <w:color w:val="auto"/>
        </w:rPr>
        <w:t>Net (debt) cash is comprised of GAAP measures and reduces bank indebtedness, current and non-current portions of long-term debt, the principal balance of convertible debt by cash and cash equivalents, restricted cash and marketable securities. The company believes this metric provides useful information to management, analysts, and investors regarding its liquidity and the Company’s ability to repay all of its debt.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Contacts: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Investor Relations</w:t>
      </w:r>
    </w:p>
    <w:p>
      <w:pPr>
        <w:spacing w:after="0" w:line="235" w:lineRule="auto"/>
        <w:rPr>
          <w:sz w:val="20"/>
          <w:szCs w:val="20"/>
          <w:color w:val="auto"/>
        </w:rPr>
      </w:pPr>
      <w:r>
        <w:rPr>
          <w:rFonts w:ascii="Times New Roman" w:cs="Times New Roman" w:eastAsia="Times New Roman" w:hAnsi="Times New Roman"/>
          <w:sz w:val="21"/>
          <w:szCs w:val="21"/>
          <w:color w:val="auto"/>
        </w:rPr>
        <w:t>investors@tilray.com</w:t>
      </w:r>
    </w:p>
    <w:p>
      <w:pPr>
        <w:spacing w:after="0"/>
        <w:rPr>
          <w:sz w:val="20"/>
          <w:szCs w:val="20"/>
          <w:color w:val="auto"/>
        </w:rPr>
      </w:pPr>
      <w:r>
        <w:rPr>
          <w:rFonts w:ascii="Times New Roman" w:cs="Times New Roman" w:eastAsia="Times New Roman" w:hAnsi="Times New Roman"/>
          <w:sz w:val="21"/>
          <w:szCs w:val="21"/>
          <w:color w:val="auto"/>
        </w:rPr>
        <w:t>Pro-TLRY@prosek.com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Media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News@tilray.com</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79"/>
        </w:trPr>
        <w:tc>
          <w:tcPr>
            <w:tcW w:w="80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Consolidated Statements of Financial Position</w:t>
            </w:r>
          </w:p>
        </w:tc>
        <w:tc>
          <w:tcPr>
            <w:tcW w:w="140" w:type="dxa"/>
            <w:vAlign w:val="bottom"/>
          </w:tcPr>
          <w:p>
            <w:pPr>
              <w:spacing w:after="0"/>
              <w:rPr>
                <w:sz w:val="24"/>
                <w:szCs w:val="24"/>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b w:val="1"/>
                <w:bCs w:val="1"/>
                <w:color w:val="auto"/>
              </w:rPr>
              <w:t>February 28,</w:t>
            </w:r>
          </w:p>
        </w:tc>
        <w:tc>
          <w:tcPr>
            <w:tcW w:w="260" w:type="dxa"/>
            <w:vAlign w:val="bottom"/>
          </w:tcPr>
          <w:p>
            <w:pPr>
              <w:spacing w:after="0"/>
              <w:rPr>
                <w:sz w:val="24"/>
                <w:szCs w:val="24"/>
                <w:color w:val="auto"/>
              </w:rPr>
            </w:pPr>
          </w:p>
        </w:tc>
        <w:tc>
          <w:tcPr>
            <w:tcW w:w="1220" w:type="dxa"/>
            <w:vAlign w:val="bottom"/>
            <w:vMerge w:val="restart"/>
          </w:tcPr>
          <w:p>
            <w:pPr>
              <w:jc w:val="right"/>
              <w:ind w:right="275"/>
              <w:spacing w:after="0"/>
              <w:rPr>
                <w:sz w:val="20"/>
                <w:szCs w:val="20"/>
                <w:color w:val="auto"/>
              </w:rPr>
            </w:pPr>
            <w:r>
              <w:rPr>
                <w:rFonts w:ascii="Times New Roman" w:cs="Times New Roman" w:eastAsia="Times New Roman" w:hAnsi="Times New Roman"/>
                <w:sz w:val="21"/>
                <w:szCs w:val="21"/>
                <w:b w:val="1"/>
                <w:bCs w:val="1"/>
                <w:color w:val="auto"/>
              </w:rPr>
              <w:t>May 31,</w:t>
            </w:r>
          </w:p>
        </w:tc>
        <w:tc>
          <w:tcPr>
            <w:tcW w:w="0" w:type="dxa"/>
            <w:vAlign w:val="bottom"/>
          </w:tcPr>
          <w:p>
            <w:pPr>
              <w:spacing w:after="0"/>
              <w:rPr>
                <w:sz w:val="1"/>
                <w:szCs w:val="1"/>
                <w:color w:val="auto"/>
              </w:rPr>
            </w:pPr>
          </w:p>
        </w:tc>
      </w:tr>
      <w:tr>
        <w:trPr>
          <w:trHeight w:val="246"/>
        </w:trPr>
        <w:tc>
          <w:tcPr>
            <w:tcW w:w="8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80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(in thousands of US dollars)</w:t>
            </w: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21"/>
                <w:szCs w:val="21"/>
                <w:b w:val="1"/>
                <w:bCs w:val="1"/>
                <w:color w:val="auto"/>
              </w:rPr>
              <w:t>2026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21"/>
                <w:szCs w:val="21"/>
                <w:b w:val="1"/>
                <w:bCs w:val="1"/>
                <w:color w:val="auto"/>
              </w:rPr>
              <w:t>2025</w:t>
            </w:r>
          </w:p>
        </w:tc>
        <w:tc>
          <w:tcPr>
            <w:tcW w:w="0" w:type="dxa"/>
            <w:vAlign w:val="bottom"/>
          </w:tcPr>
          <w:p>
            <w:pPr>
              <w:spacing w:after="0"/>
              <w:rPr>
                <w:sz w:val="1"/>
                <w:szCs w:val="1"/>
                <w:color w:val="auto"/>
              </w:rPr>
            </w:pPr>
          </w:p>
        </w:tc>
      </w:tr>
      <w:tr>
        <w:trPr>
          <w:trHeight w:val="240"/>
        </w:trPr>
        <w:tc>
          <w:tcPr>
            <w:tcW w:w="8080" w:type="dxa"/>
            <w:vAlign w:val="bottom"/>
          </w:tcPr>
          <w:p>
            <w:pPr>
              <w:spacing w:after="0" w:line="240" w:lineRule="exact"/>
              <w:rPr>
                <w:sz w:val="20"/>
                <w:szCs w:val="20"/>
                <w:color w:val="auto"/>
              </w:rPr>
            </w:pPr>
            <w:r>
              <w:rPr>
                <w:rFonts w:ascii="Times New Roman" w:cs="Times New Roman" w:eastAsia="Times New Roman" w:hAnsi="Times New Roman"/>
                <w:sz w:val="21"/>
                <w:szCs w:val="21"/>
                <w:b w:val="1"/>
                <w:bCs w:val="1"/>
                <w:color w:val="auto"/>
              </w:rPr>
              <w:t>Assets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80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Current assets</w:t>
            </w: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204,620</w:t>
            </w:r>
          </w:p>
        </w:tc>
        <w:tc>
          <w:tcPr>
            <w:tcW w:w="100" w:type="dxa"/>
            <w:vAlign w:val="bottom"/>
          </w:tcPr>
          <w:p>
            <w:pPr>
              <w:spacing w:after="0"/>
              <w:rPr>
                <w:sz w:val="22"/>
                <w:szCs w:val="22"/>
                <w:color w:val="auto"/>
              </w:rPr>
            </w:pPr>
          </w:p>
        </w:tc>
        <w:tc>
          <w:tcPr>
            <w:tcW w:w="260" w:type="dxa"/>
            <w:vAlign w:val="bottom"/>
          </w:tcPr>
          <w:p>
            <w:pPr>
              <w:jc w:val="right"/>
              <w:ind w:right="35"/>
              <w:spacing w:after="0"/>
              <w:rPr>
                <w:sz w:val="20"/>
                <w:szCs w:val="20"/>
                <w:color w:val="auto"/>
              </w:rPr>
            </w:pPr>
            <w:r>
              <w:rPr>
                <w:rFonts w:ascii="Times New Roman" w:cs="Times New Roman" w:eastAsia="Times New Roman" w:hAnsi="Times New Roman"/>
                <w:sz w:val="21"/>
                <w:szCs w:val="21"/>
                <w:color w:val="auto"/>
                <w:w w:val="9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221,666</w:t>
            </w:r>
          </w:p>
        </w:tc>
        <w:tc>
          <w:tcPr>
            <w:tcW w:w="0" w:type="dxa"/>
            <w:vAlign w:val="bottom"/>
          </w:tcPr>
          <w:p>
            <w:pPr>
              <w:spacing w:after="0"/>
              <w:rPr>
                <w:sz w:val="1"/>
                <w:szCs w:val="1"/>
                <w:color w:val="auto"/>
              </w:rPr>
            </w:pPr>
          </w:p>
        </w:tc>
      </w:tr>
      <w:tr>
        <w:trPr>
          <w:trHeight w:val="263"/>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Restricted cash</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44,885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63"/>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Marketable securities</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15,312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34,697</w:t>
            </w:r>
          </w:p>
        </w:tc>
        <w:tc>
          <w:tcPr>
            <w:tcW w:w="0" w:type="dxa"/>
            <w:vAlign w:val="bottom"/>
          </w:tcPr>
          <w:p>
            <w:pPr>
              <w:spacing w:after="0"/>
              <w:rPr>
                <w:sz w:val="1"/>
                <w:szCs w:val="1"/>
                <w:color w:val="auto"/>
              </w:rPr>
            </w:pPr>
          </w:p>
        </w:tc>
      </w:tr>
      <w:tr>
        <w:trPr>
          <w:trHeight w:val="263"/>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Accounts receivable, net</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118,372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121,489</w:t>
            </w:r>
          </w:p>
        </w:tc>
        <w:tc>
          <w:tcPr>
            <w:tcW w:w="0" w:type="dxa"/>
            <w:vAlign w:val="bottom"/>
          </w:tcPr>
          <w:p>
            <w:pPr>
              <w:spacing w:after="0"/>
              <w:rPr>
                <w:sz w:val="1"/>
                <w:szCs w:val="1"/>
                <w:color w:val="auto"/>
              </w:rPr>
            </w:pPr>
          </w:p>
        </w:tc>
      </w:tr>
      <w:tr>
        <w:trPr>
          <w:trHeight w:val="263"/>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Inventory</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292,303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270,882</w:t>
            </w:r>
          </w:p>
        </w:tc>
        <w:tc>
          <w:tcPr>
            <w:tcW w:w="0" w:type="dxa"/>
            <w:vAlign w:val="bottom"/>
          </w:tcPr>
          <w:p>
            <w:pPr>
              <w:spacing w:after="0"/>
              <w:rPr>
                <w:sz w:val="1"/>
                <w:szCs w:val="1"/>
                <w:color w:val="auto"/>
              </w:rPr>
            </w:pPr>
          </w:p>
        </w:tc>
      </w:tr>
      <w:tr>
        <w:trPr>
          <w:trHeight w:val="263"/>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Prepaids and other current assets</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40,819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34,092</w:t>
            </w:r>
          </w:p>
        </w:tc>
        <w:tc>
          <w:tcPr>
            <w:tcW w:w="0" w:type="dxa"/>
            <w:vAlign w:val="bottom"/>
          </w:tcPr>
          <w:p>
            <w:pPr>
              <w:spacing w:after="0"/>
              <w:rPr>
                <w:sz w:val="1"/>
                <w:szCs w:val="1"/>
                <w:color w:val="auto"/>
              </w:rPr>
            </w:pPr>
          </w:p>
        </w:tc>
      </w:tr>
      <w:tr>
        <w:trPr>
          <w:trHeight w:val="275"/>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Assets held for sale</w:t>
            </w: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2,449</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5,800</w:t>
            </w:r>
          </w:p>
        </w:tc>
        <w:tc>
          <w:tcPr>
            <w:tcW w:w="0" w:type="dxa"/>
            <w:vAlign w:val="bottom"/>
          </w:tcPr>
          <w:p>
            <w:pPr>
              <w:spacing w:after="0"/>
              <w:rPr>
                <w:sz w:val="1"/>
                <w:szCs w:val="1"/>
                <w:color w:val="auto"/>
              </w:rPr>
            </w:pPr>
          </w:p>
        </w:tc>
      </w:tr>
      <w:tr>
        <w:trPr>
          <w:trHeight w:val="244"/>
        </w:trPr>
        <w:tc>
          <w:tcPr>
            <w:tcW w:w="80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Total current assets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718,760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688,626</w:t>
            </w:r>
          </w:p>
        </w:tc>
        <w:tc>
          <w:tcPr>
            <w:tcW w:w="0" w:type="dxa"/>
            <w:vAlign w:val="bottom"/>
          </w:tcPr>
          <w:p>
            <w:pPr>
              <w:spacing w:after="0"/>
              <w:rPr>
                <w:sz w:val="1"/>
                <w:szCs w:val="1"/>
                <w:color w:val="auto"/>
              </w:rPr>
            </w:pPr>
          </w:p>
        </w:tc>
      </w:tr>
      <w:tr>
        <w:trPr>
          <w:trHeight w:val="263"/>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Capital assets</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543,008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568,433</w:t>
            </w:r>
          </w:p>
        </w:tc>
        <w:tc>
          <w:tcPr>
            <w:tcW w:w="0" w:type="dxa"/>
            <w:vAlign w:val="bottom"/>
          </w:tcPr>
          <w:p>
            <w:pPr>
              <w:spacing w:after="0"/>
              <w:rPr>
                <w:sz w:val="1"/>
                <w:szCs w:val="1"/>
                <w:color w:val="auto"/>
              </w:rPr>
            </w:pPr>
          </w:p>
        </w:tc>
      </w:tr>
      <w:tr>
        <w:trPr>
          <w:trHeight w:val="263"/>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Operating lease, right-of-use assets</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17,939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22,279</w:t>
            </w:r>
          </w:p>
        </w:tc>
        <w:tc>
          <w:tcPr>
            <w:tcW w:w="0" w:type="dxa"/>
            <w:vAlign w:val="bottom"/>
          </w:tcPr>
          <w:p>
            <w:pPr>
              <w:spacing w:after="0"/>
              <w:rPr>
                <w:sz w:val="1"/>
                <w:szCs w:val="1"/>
                <w:color w:val="auto"/>
              </w:rPr>
            </w:pPr>
          </w:p>
        </w:tc>
      </w:tr>
      <w:tr>
        <w:trPr>
          <w:trHeight w:val="263"/>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Digital assets</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63"/>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Intangible assets</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23,343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21,423</w:t>
            </w:r>
          </w:p>
        </w:tc>
        <w:tc>
          <w:tcPr>
            <w:tcW w:w="0" w:type="dxa"/>
            <w:vAlign w:val="bottom"/>
          </w:tcPr>
          <w:p>
            <w:pPr>
              <w:spacing w:after="0"/>
              <w:rPr>
                <w:sz w:val="1"/>
                <w:szCs w:val="1"/>
                <w:color w:val="auto"/>
              </w:rPr>
            </w:pPr>
          </w:p>
        </w:tc>
      </w:tr>
      <w:tr>
        <w:trPr>
          <w:trHeight w:val="263"/>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Goodwill</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752,350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752,350</w:t>
            </w:r>
          </w:p>
        </w:tc>
        <w:tc>
          <w:tcPr>
            <w:tcW w:w="0" w:type="dxa"/>
            <w:vAlign w:val="bottom"/>
          </w:tcPr>
          <w:p>
            <w:pPr>
              <w:spacing w:after="0"/>
              <w:rPr>
                <w:sz w:val="1"/>
                <w:szCs w:val="1"/>
                <w:color w:val="auto"/>
              </w:rPr>
            </w:pPr>
          </w:p>
        </w:tc>
      </w:tr>
      <w:tr>
        <w:trPr>
          <w:trHeight w:val="263"/>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Long-term investments</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7,634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10,132</w:t>
            </w:r>
          </w:p>
        </w:tc>
        <w:tc>
          <w:tcPr>
            <w:tcW w:w="0" w:type="dxa"/>
            <w:vAlign w:val="bottom"/>
          </w:tcPr>
          <w:p>
            <w:pPr>
              <w:spacing w:after="0"/>
              <w:rPr>
                <w:sz w:val="1"/>
                <w:szCs w:val="1"/>
                <w:color w:val="auto"/>
              </w:rPr>
            </w:pPr>
          </w:p>
        </w:tc>
      </w:tr>
      <w:tr>
        <w:trPr>
          <w:trHeight w:val="276"/>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Other assets</w:t>
            </w: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11,074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11,084</w:t>
            </w:r>
          </w:p>
        </w:tc>
        <w:tc>
          <w:tcPr>
            <w:tcW w:w="0" w:type="dxa"/>
            <w:vAlign w:val="bottom"/>
          </w:tcPr>
          <w:p>
            <w:pPr>
              <w:spacing w:after="0"/>
              <w:rPr>
                <w:sz w:val="1"/>
                <w:szCs w:val="1"/>
                <w:color w:val="auto"/>
              </w:rPr>
            </w:pPr>
          </w:p>
        </w:tc>
      </w:tr>
    </w:tbl>
    <w:p>
      <w:pPr>
        <w:sectPr>
          <w:pgSz w:w="11900" w:h="16838" w:orient="portrait"/>
          <w:cols w:equalWidth="0" w:num="1">
            <w:col w:w="11220"/>
          </w:cols>
          <w:pgMar w:left="320" w:top="114" w:right="359" w:bottom="0" w:gutter="0" w:footer="0" w:header="0"/>
        </w:sectPr>
      </w:pPr>
    </w:p>
    <w:bookmarkStart w:id="7" w:name="page8"/>
    <w:bookmarkEnd w:id="7"/>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80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Total assets</w:t>
            </w:r>
          </w:p>
        </w:tc>
        <w:tc>
          <w:tcPr>
            <w:tcW w:w="2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21"/>
                <w:szCs w:val="21"/>
                <w:color w:val="auto"/>
                <w:w w:val="9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2,074,722</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21"/>
                <w:szCs w:val="21"/>
                <w:color w:val="auto"/>
                <w:w w:val="9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2,074,327</w:t>
            </w:r>
          </w:p>
        </w:tc>
        <w:tc>
          <w:tcPr>
            <w:tcW w:w="0" w:type="dxa"/>
            <w:vAlign w:val="bottom"/>
          </w:tcPr>
          <w:p>
            <w:pPr>
              <w:spacing w:after="0"/>
              <w:rPr>
                <w:sz w:val="1"/>
                <w:szCs w:val="1"/>
                <w:color w:val="auto"/>
              </w:rPr>
            </w:pPr>
          </w:p>
        </w:tc>
      </w:tr>
      <w:tr>
        <w:trPr>
          <w:trHeight w:val="21"/>
        </w:trPr>
        <w:tc>
          <w:tcPr>
            <w:tcW w:w="8080" w:type="dxa"/>
            <w:vAlign w:val="bottom"/>
            <w:vMerge w:val="restart"/>
          </w:tcPr>
          <w:p>
            <w:pPr>
              <w:spacing w:after="0"/>
              <w:rPr>
                <w:sz w:val="20"/>
                <w:szCs w:val="20"/>
                <w:color w:val="auto"/>
              </w:rPr>
            </w:pPr>
            <w:r>
              <w:rPr>
                <w:rFonts w:ascii="Times New Roman" w:cs="Times New Roman" w:eastAsia="Times New Roman" w:hAnsi="Times New Roman"/>
                <w:sz w:val="21"/>
                <w:szCs w:val="21"/>
                <w:b w:val="1"/>
                <w:bCs w:val="1"/>
                <w:color w:val="auto"/>
              </w:rPr>
              <w:t>Liabilities</w:t>
            </w: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80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80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Current liabilities</w:t>
            </w: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Bank indebtedness</w:t>
            </w:r>
          </w:p>
        </w:tc>
        <w:tc>
          <w:tcPr>
            <w:tcW w:w="280" w:type="dxa"/>
            <w:vAlign w:val="bottom"/>
          </w:tcPr>
          <w:p>
            <w:pPr>
              <w:jc w:val="right"/>
              <w:ind w:right="55"/>
              <w:spacing w:after="0"/>
              <w:rPr>
                <w:sz w:val="20"/>
                <w:szCs w:val="20"/>
                <w:color w:val="auto"/>
              </w:rPr>
            </w:pPr>
            <w:r>
              <w:rPr>
                <w:rFonts w:ascii="Times New Roman" w:cs="Times New Roman" w:eastAsia="Times New Roman" w:hAnsi="Times New Roman"/>
                <w:sz w:val="21"/>
                <w:szCs w:val="21"/>
                <w:color w:val="auto"/>
                <w:w w:val="9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8,834</w:t>
            </w:r>
          </w:p>
        </w:tc>
        <w:tc>
          <w:tcPr>
            <w:tcW w:w="100" w:type="dxa"/>
            <w:vAlign w:val="bottom"/>
          </w:tcPr>
          <w:p>
            <w:pPr>
              <w:spacing w:after="0"/>
              <w:rPr>
                <w:sz w:val="22"/>
                <w:szCs w:val="22"/>
                <w:color w:val="auto"/>
              </w:rPr>
            </w:pPr>
          </w:p>
        </w:tc>
        <w:tc>
          <w:tcPr>
            <w:tcW w:w="300" w:type="dxa"/>
            <w:vAlign w:val="bottom"/>
          </w:tcPr>
          <w:p>
            <w:pPr>
              <w:jc w:val="right"/>
              <w:ind w:right="75"/>
              <w:spacing w:after="0"/>
              <w:rPr>
                <w:sz w:val="20"/>
                <w:szCs w:val="20"/>
                <w:color w:val="auto"/>
              </w:rPr>
            </w:pPr>
            <w:r>
              <w:rPr>
                <w:rFonts w:ascii="Times New Roman" w:cs="Times New Roman" w:eastAsia="Times New Roman" w:hAnsi="Times New Roman"/>
                <w:sz w:val="21"/>
                <w:szCs w:val="21"/>
                <w:color w:val="auto"/>
                <w:w w:val="9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7,181</w:t>
            </w:r>
          </w:p>
        </w:tc>
        <w:tc>
          <w:tcPr>
            <w:tcW w:w="0" w:type="dxa"/>
            <w:vAlign w:val="bottom"/>
          </w:tcPr>
          <w:p>
            <w:pPr>
              <w:spacing w:after="0"/>
              <w:rPr>
                <w:sz w:val="1"/>
                <w:szCs w:val="1"/>
                <w:color w:val="auto"/>
              </w:rPr>
            </w:pPr>
          </w:p>
        </w:tc>
      </w:tr>
      <w:tr>
        <w:trPr>
          <w:trHeight w:val="263"/>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Accounts payable and accrued liabilities</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223,996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235,322</w:t>
            </w:r>
          </w:p>
        </w:tc>
        <w:tc>
          <w:tcPr>
            <w:tcW w:w="0" w:type="dxa"/>
            <w:vAlign w:val="bottom"/>
          </w:tcPr>
          <w:p>
            <w:pPr>
              <w:spacing w:after="0"/>
              <w:rPr>
                <w:sz w:val="1"/>
                <w:szCs w:val="1"/>
                <w:color w:val="auto"/>
              </w:rPr>
            </w:pPr>
          </w:p>
        </w:tc>
      </w:tr>
      <w:tr>
        <w:trPr>
          <w:trHeight w:val="263"/>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Contingent consideration</w:t>
            </w:r>
          </w:p>
        </w:tc>
        <w:tc>
          <w:tcPr>
            <w:tcW w:w="28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15,000</w:t>
            </w:r>
          </w:p>
        </w:tc>
        <w:tc>
          <w:tcPr>
            <w:tcW w:w="0" w:type="dxa"/>
            <w:vAlign w:val="bottom"/>
          </w:tcPr>
          <w:p>
            <w:pPr>
              <w:spacing w:after="0"/>
              <w:rPr>
                <w:sz w:val="1"/>
                <w:szCs w:val="1"/>
                <w:color w:val="auto"/>
              </w:rPr>
            </w:pPr>
          </w:p>
        </w:tc>
      </w:tr>
      <w:tr>
        <w:trPr>
          <w:trHeight w:val="263"/>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Warrant liability</w:t>
            </w:r>
          </w:p>
        </w:tc>
        <w:tc>
          <w:tcPr>
            <w:tcW w:w="28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1,092</w:t>
            </w:r>
          </w:p>
        </w:tc>
        <w:tc>
          <w:tcPr>
            <w:tcW w:w="0" w:type="dxa"/>
            <w:vAlign w:val="bottom"/>
          </w:tcPr>
          <w:p>
            <w:pPr>
              <w:spacing w:after="0"/>
              <w:rPr>
                <w:sz w:val="1"/>
                <w:szCs w:val="1"/>
                <w:color w:val="auto"/>
              </w:rPr>
            </w:pPr>
          </w:p>
        </w:tc>
      </w:tr>
      <w:tr>
        <w:trPr>
          <w:trHeight w:val="263"/>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Current portion of lease liabilities</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7,259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6,941</w:t>
            </w:r>
          </w:p>
        </w:tc>
        <w:tc>
          <w:tcPr>
            <w:tcW w:w="0" w:type="dxa"/>
            <w:vAlign w:val="bottom"/>
          </w:tcPr>
          <w:p>
            <w:pPr>
              <w:spacing w:after="0"/>
              <w:rPr>
                <w:sz w:val="1"/>
                <w:szCs w:val="1"/>
                <w:color w:val="auto"/>
              </w:rPr>
            </w:pPr>
          </w:p>
        </w:tc>
      </w:tr>
      <w:tr>
        <w:trPr>
          <w:trHeight w:val="275"/>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Current portion of long-term debt</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17,453</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14,767</w:t>
            </w:r>
          </w:p>
        </w:tc>
        <w:tc>
          <w:tcPr>
            <w:tcW w:w="0" w:type="dxa"/>
            <w:vAlign w:val="bottom"/>
          </w:tcPr>
          <w:p>
            <w:pPr>
              <w:spacing w:after="0"/>
              <w:rPr>
                <w:sz w:val="1"/>
                <w:szCs w:val="1"/>
                <w:color w:val="auto"/>
              </w:rPr>
            </w:pPr>
          </w:p>
        </w:tc>
      </w:tr>
      <w:tr>
        <w:trPr>
          <w:trHeight w:val="240"/>
        </w:trPr>
        <w:tc>
          <w:tcPr>
            <w:tcW w:w="8080" w:type="dxa"/>
            <w:vAlign w:val="bottom"/>
          </w:tcPr>
          <w:p>
            <w:pPr>
              <w:spacing w:after="0" w:line="240" w:lineRule="exact"/>
              <w:rPr>
                <w:sz w:val="20"/>
                <w:szCs w:val="20"/>
                <w:color w:val="auto"/>
              </w:rPr>
            </w:pPr>
            <w:r>
              <w:rPr>
                <w:rFonts w:ascii="Times New Roman" w:cs="Times New Roman" w:eastAsia="Times New Roman" w:hAnsi="Times New Roman"/>
                <w:sz w:val="21"/>
                <w:szCs w:val="21"/>
                <w:b w:val="1"/>
                <w:bCs w:val="1"/>
                <w:color w:val="auto"/>
              </w:rPr>
              <w:t>Total current liabilities</w:t>
            </w:r>
          </w:p>
        </w:tc>
        <w:tc>
          <w:tcPr>
            <w:tcW w:w="280" w:type="dxa"/>
            <w:vAlign w:val="bottom"/>
          </w:tcPr>
          <w:p>
            <w:pPr>
              <w:spacing w:after="0"/>
              <w:rPr>
                <w:sz w:val="20"/>
                <w:szCs w:val="20"/>
                <w:color w:val="auto"/>
              </w:rPr>
            </w:pPr>
          </w:p>
        </w:tc>
        <w:tc>
          <w:tcPr>
            <w:tcW w:w="1180" w:type="dxa"/>
            <w:vAlign w:val="bottom"/>
          </w:tcPr>
          <w:p>
            <w:pPr>
              <w:jc w:val="right"/>
              <w:spacing w:after="0" w:line="240" w:lineRule="exact"/>
              <w:rPr>
                <w:sz w:val="20"/>
                <w:szCs w:val="20"/>
                <w:color w:val="auto"/>
              </w:rPr>
            </w:pPr>
            <w:r>
              <w:rPr>
                <w:rFonts w:ascii="Times New Roman" w:cs="Times New Roman" w:eastAsia="Times New Roman" w:hAnsi="Times New Roman"/>
                <w:sz w:val="21"/>
                <w:szCs w:val="21"/>
                <w:color w:val="auto"/>
              </w:rPr>
              <w:t>257,542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line="240" w:lineRule="exact"/>
              <w:rPr>
                <w:sz w:val="20"/>
                <w:szCs w:val="20"/>
                <w:color w:val="auto"/>
              </w:rPr>
            </w:pPr>
            <w:r>
              <w:rPr>
                <w:rFonts w:ascii="Times New Roman" w:cs="Times New Roman" w:eastAsia="Times New Roman" w:hAnsi="Times New Roman"/>
                <w:sz w:val="21"/>
                <w:szCs w:val="21"/>
                <w:color w:val="auto"/>
              </w:rPr>
              <w:t>280,303</w:t>
            </w:r>
          </w:p>
        </w:tc>
        <w:tc>
          <w:tcPr>
            <w:tcW w:w="0" w:type="dxa"/>
            <w:vAlign w:val="bottom"/>
          </w:tcPr>
          <w:p>
            <w:pPr>
              <w:spacing w:after="0"/>
              <w:rPr>
                <w:sz w:val="1"/>
                <w:szCs w:val="1"/>
                <w:color w:val="auto"/>
              </w:rPr>
            </w:pPr>
          </w:p>
        </w:tc>
      </w:tr>
      <w:tr>
        <w:trPr>
          <w:trHeight w:val="267"/>
        </w:trPr>
        <w:tc>
          <w:tcPr>
            <w:tcW w:w="80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Long - term liabilities</w:t>
            </w: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Lease liabilities</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60,282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64,925</w:t>
            </w:r>
          </w:p>
        </w:tc>
        <w:tc>
          <w:tcPr>
            <w:tcW w:w="0" w:type="dxa"/>
            <w:vAlign w:val="bottom"/>
          </w:tcPr>
          <w:p>
            <w:pPr>
              <w:spacing w:after="0"/>
              <w:rPr>
                <w:sz w:val="1"/>
                <w:szCs w:val="1"/>
                <w:color w:val="auto"/>
              </w:rPr>
            </w:pPr>
          </w:p>
        </w:tc>
      </w:tr>
      <w:tr>
        <w:trPr>
          <w:trHeight w:val="263"/>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Long-term debt</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134,982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148,493</w:t>
            </w:r>
          </w:p>
        </w:tc>
        <w:tc>
          <w:tcPr>
            <w:tcW w:w="0" w:type="dxa"/>
            <w:vAlign w:val="bottom"/>
          </w:tcPr>
          <w:p>
            <w:pPr>
              <w:spacing w:after="0"/>
              <w:rPr>
                <w:sz w:val="1"/>
                <w:szCs w:val="1"/>
                <w:color w:val="auto"/>
              </w:rPr>
            </w:pPr>
          </w:p>
        </w:tc>
      </w:tr>
      <w:tr>
        <w:trPr>
          <w:trHeight w:val="263"/>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Convertible debentures payable</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88,268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86,428</w:t>
            </w:r>
          </w:p>
        </w:tc>
        <w:tc>
          <w:tcPr>
            <w:tcW w:w="0" w:type="dxa"/>
            <w:vAlign w:val="bottom"/>
          </w:tcPr>
          <w:p>
            <w:pPr>
              <w:spacing w:after="0"/>
              <w:rPr>
                <w:sz w:val="1"/>
                <w:szCs w:val="1"/>
                <w:color w:val="auto"/>
              </w:rPr>
            </w:pPr>
          </w:p>
        </w:tc>
      </w:tr>
      <w:tr>
        <w:trPr>
          <w:trHeight w:val="263"/>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Deferred tax liabilities, net</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7,877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3,748</w:t>
            </w:r>
          </w:p>
        </w:tc>
        <w:tc>
          <w:tcPr>
            <w:tcW w:w="0" w:type="dxa"/>
            <w:vAlign w:val="bottom"/>
          </w:tcPr>
          <w:p>
            <w:pPr>
              <w:spacing w:after="0"/>
              <w:rPr>
                <w:sz w:val="1"/>
                <w:szCs w:val="1"/>
                <w:color w:val="auto"/>
              </w:rPr>
            </w:pPr>
          </w:p>
        </w:tc>
      </w:tr>
      <w:tr>
        <w:trPr>
          <w:trHeight w:val="275"/>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Other liabilities</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164</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855</w:t>
            </w:r>
          </w:p>
        </w:tc>
        <w:tc>
          <w:tcPr>
            <w:tcW w:w="0" w:type="dxa"/>
            <w:vAlign w:val="bottom"/>
          </w:tcPr>
          <w:p>
            <w:pPr>
              <w:spacing w:after="0"/>
              <w:rPr>
                <w:sz w:val="1"/>
                <w:szCs w:val="1"/>
                <w:color w:val="auto"/>
              </w:rPr>
            </w:pPr>
          </w:p>
        </w:tc>
      </w:tr>
      <w:tr>
        <w:trPr>
          <w:trHeight w:val="240"/>
        </w:trPr>
        <w:tc>
          <w:tcPr>
            <w:tcW w:w="8080" w:type="dxa"/>
            <w:vAlign w:val="bottom"/>
          </w:tcPr>
          <w:p>
            <w:pPr>
              <w:spacing w:after="0" w:line="240" w:lineRule="exact"/>
              <w:rPr>
                <w:sz w:val="20"/>
                <w:szCs w:val="20"/>
                <w:color w:val="auto"/>
              </w:rPr>
            </w:pPr>
            <w:r>
              <w:rPr>
                <w:rFonts w:ascii="Times New Roman" w:cs="Times New Roman" w:eastAsia="Times New Roman" w:hAnsi="Times New Roman"/>
                <w:sz w:val="21"/>
                <w:szCs w:val="21"/>
                <w:b w:val="1"/>
                <w:bCs w:val="1"/>
                <w:color w:val="auto"/>
              </w:rPr>
              <w:t>Total liabilities</w:t>
            </w:r>
          </w:p>
        </w:tc>
        <w:tc>
          <w:tcPr>
            <w:tcW w:w="280" w:type="dxa"/>
            <w:vAlign w:val="bottom"/>
          </w:tcPr>
          <w:p>
            <w:pPr>
              <w:spacing w:after="0"/>
              <w:rPr>
                <w:sz w:val="20"/>
                <w:szCs w:val="20"/>
                <w:color w:val="auto"/>
              </w:rPr>
            </w:pPr>
          </w:p>
        </w:tc>
        <w:tc>
          <w:tcPr>
            <w:tcW w:w="1180" w:type="dxa"/>
            <w:vAlign w:val="bottom"/>
          </w:tcPr>
          <w:p>
            <w:pPr>
              <w:jc w:val="right"/>
              <w:spacing w:after="0" w:line="240" w:lineRule="exact"/>
              <w:rPr>
                <w:sz w:val="20"/>
                <w:szCs w:val="20"/>
                <w:color w:val="auto"/>
              </w:rPr>
            </w:pPr>
            <w:r>
              <w:rPr>
                <w:rFonts w:ascii="Times New Roman" w:cs="Times New Roman" w:eastAsia="Times New Roman" w:hAnsi="Times New Roman"/>
                <w:sz w:val="21"/>
                <w:szCs w:val="21"/>
                <w:color w:val="auto"/>
              </w:rPr>
              <w:t>549,115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line="240" w:lineRule="exact"/>
              <w:rPr>
                <w:sz w:val="20"/>
                <w:szCs w:val="20"/>
                <w:color w:val="auto"/>
              </w:rPr>
            </w:pPr>
            <w:r>
              <w:rPr>
                <w:rFonts w:ascii="Times New Roman" w:cs="Times New Roman" w:eastAsia="Times New Roman" w:hAnsi="Times New Roman"/>
                <w:sz w:val="21"/>
                <w:szCs w:val="21"/>
                <w:color w:val="auto"/>
              </w:rPr>
              <w:t>584,752</w:t>
            </w:r>
          </w:p>
        </w:tc>
        <w:tc>
          <w:tcPr>
            <w:tcW w:w="0" w:type="dxa"/>
            <w:vAlign w:val="bottom"/>
          </w:tcPr>
          <w:p>
            <w:pPr>
              <w:spacing w:after="0"/>
              <w:rPr>
                <w:sz w:val="1"/>
                <w:szCs w:val="1"/>
                <w:color w:val="auto"/>
              </w:rPr>
            </w:pPr>
          </w:p>
        </w:tc>
      </w:tr>
      <w:tr>
        <w:trPr>
          <w:trHeight w:val="267"/>
        </w:trPr>
        <w:tc>
          <w:tcPr>
            <w:tcW w:w="80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Stockholders' equity</w:t>
            </w: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Common stock ($0.0001 par value; 1,416,000,000 common shares authorized; 116,546,939</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8080" w:type="dxa"/>
            <w:vAlign w:val="bottom"/>
          </w:tcPr>
          <w:p>
            <w:pPr>
              <w:ind w:left="240"/>
              <w:spacing w:after="0" w:line="306" w:lineRule="exact"/>
              <w:rPr>
                <w:sz w:val="20"/>
                <w:szCs w:val="20"/>
                <w:color w:val="auto"/>
              </w:rPr>
            </w:pPr>
            <w:r>
              <w:rPr>
                <w:rFonts w:ascii="Times New Roman" w:cs="Times New Roman" w:eastAsia="Times New Roman" w:hAnsi="Times New Roman"/>
                <w:sz w:val="21"/>
                <w:szCs w:val="21"/>
                <w:color w:val="auto"/>
              </w:rPr>
              <w:t>and 106,067,875 common shares issued and outstanding, respectively)</w:t>
            </w:r>
            <w:r>
              <w:rPr>
                <w:rFonts w:ascii="Times New Roman" w:cs="Times New Roman" w:eastAsia="Times New Roman" w:hAnsi="Times New Roman"/>
                <w:sz w:val="35"/>
                <w:szCs w:val="35"/>
                <w:color w:val="auto"/>
                <w:vertAlign w:val="superscript"/>
              </w:rPr>
              <w:t>1</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106</w:t>
            </w:r>
          </w:p>
        </w:tc>
        <w:tc>
          <w:tcPr>
            <w:tcW w:w="0" w:type="dxa"/>
            <w:vAlign w:val="bottom"/>
          </w:tcPr>
          <w:p>
            <w:pPr>
              <w:spacing w:after="0"/>
              <w:rPr>
                <w:sz w:val="1"/>
                <w:szCs w:val="1"/>
                <w:color w:val="auto"/>
              </w:rPr>
            </w:pPr>
          </w:p>
        </w:tc>
      </w:tr>
      <w:tr>
        <w:trPr>
          <w:trHeight w:val="246"/>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Treasury Stock (321,391 and 200,422 treasury shares issued and outstanding,</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8080" w:type="dxa"/>
            <w:vAlign w:val="bottom"/>
          </w:tcPr>
          <w:p>
            <w:pPr>
              <w:ind w:left="240"/>
              <w:spacing w:after="0" w:line="306" w:lineRule="exact"/>
              <w:rPr>
                <w:sz w:val="20"/>
                <w:szCs w:val="20"/>
                <w:color w:val="auto"/>
              </w:rPr>
            </w:pPr>
            <w:r>
              <w:rPr>
                <w:rFonts w:ascii="Times New Roman" w:cs="Times New Roman" w:eastAsia="Times New Roman" w:hAnsi="Times New Roman"/>
                <w:sz w:val="21"/>
                <w:szCs w:val="21"/>
                <w:color w:val="auto"/>
              </w:rPr>
              <w:t>respectively)</w:t>
            </w:r>
            <w:r>
              <w:rPr>
                <w:rFonts w:ascii="Times New Roman" w:cs="Times New Roman" w:eastAsia="Times New Roman" w:hAnsi="Times New Roman"/>
                <w:sz w:val="35"/>
                <w:szCs w:val="35"/>
                <w:color w:val="auto"/>
                <w:vertAlign w:val="superscript"/>
              </w:rPr>
              <w:t>1</w:t>
            </w:r>
          </w:p>
        </w:tc>
        <w:tc>
          <w:tcPr>
            <w:tcW w:w="28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37"/>
        </w:trPr>
        <w:tc>
          <w:tcPr>
            <w:tcW w:w="808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Preferred shares ($0.0001 par value; 10,000,000 preferred shares authorized; nil and nil</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preferred shares issued and outstanding, respectively)</w:t>
            </w:r>
          </w:p>
        </w:tc>
        <w:tc>
          <w:tcPr>
            <w:tcW w:w="28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63"/>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Additional paid-in capital</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6,520,501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6,401,657</w:t>
            </w:r>
          </w:p>
        </w:tc>
        <w:tc>
          <w:tcPr>
            <w:tcW w:w="0" w:type="dxa"/>
            <w:vAlign w:val="bottom"/>
          </w:tcPr>
          <w:p>
            <w:pPr>
              <w:spacing w:after="0"/>
              <w:rPr>
                <w:sz w:val="1"/>
                <w:szCs w:val="1"/>
                <w:color w:val="auto"/>
              </w:rPr>
            </w:pPr>
          </w:p>
        </w:tc>
      </w:tr>
      <w:tr>
        <w:trPr>
          <w:trHeight w:val="263"/>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Accumulated other comprehensive loss</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(44,198)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(43,063)</w:t>
            </w:r>
          </w:p>
        </w:tc>
        <w:tc>
          <w:tcPr>
            <w:tcW w:w="0" w:type="dxa"/>
            <w:vAlign w:val="bottom"/>
          </w:tcPr>
          <w:p>
            <w:pPr>
              <w:spacing w:after="0"/>
              <w:rPr>
                <w:sz w:val="1"/>
                <w:szCs w:val="1"/>
                <w:color w:val="auto"/>
              </w:rPr>
            </w:pPr>
          </w:p>
        </w:tc>
      </w:tr>
      <w:tr>
        <w:trPr>
          <w:trHeight w:val="275"/>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Accumulated deficit</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(4,919,051)</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(4,847,226)</w:t>
            </w:r>
          </w:p>
        </w:tc>
        <w:tc>
          <w:tcPr>
            <w:tcW w:w="0" w:type="dxa"/>
            <w:vAlign w:val="bottom"/>
          </w:tcPr>
          <w:p>
            <w:pPr>
              <w:spacing w:after="0"/>
              <w:rPr>
                <w:sz w:val="1"/>
                <w:szCs w:val="1"/>
                <w:color w:val="auto"/>
              </w:rPr>
            </w:pPr>
          </w:p>
        </w:tc>
      </w:tr>
      <w:tr>
        <w:trPr>
          <w:trHeight w:val="244"/>
        </w:trPr>
        <w:tc>
          <w:tcPr>
            <w:tcW w:w="80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Total Tilray Brands, Inc. stockholders' equity</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1,557,368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1,511,474</w:t>
            </w:r>
          </w:p>
        </w:tc>
        <w:tc>
          <w:tcPr>
            <w:tcW w:w="0" w:type="dxa"/>
            <w:vAlign w:val="bottom"/>
          </w:tcPr>
          <w:p>
            <w:pPr>
              <w:spacing w:after="0"/>
              <w:rPr>
                <w:sz w:val="1"/>
                <w:szCs w:val="1"/>
                <w:color w:val="auto"/>
              </w:rPr>
            </w:pPr>
          </w:p>
        </w:tc>
      </w:tr>
      <w:tr>
        <w:trPr>
          <w:trHeight w:val="275"/>
        </w:trPr>
        <w:tc>
          <w:tcPr>
            <w:tcW w:w="808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Non-controlling interests</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(31,761)</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(21,899)</w:t>
            </w:r>
          </w:p>
        </w:tc>
        <w:tc>
          <w:tcPr>
            <w:tcW w:w="0" w:type="dxa"/>
            <w:vAlign w:val="bottom"/>
          </w:tcPr>
          <w:p>
            <w:pPr>
              <w:spacing w:after="0"/>
              <w:rPr>
                <w:sz w:val="1"/>
                <w:szCs w:val="1"/>
                <w:color w:val="auto"/>
              </w:rPr>
            </w:pPr>
          </w:p>
        </w:tc>
      </w:tr>
      <w:tr>
        <w:trPr>
          <w:trHeight w:val="258"/>
        </w:trPr>
        <w:tc>
          <w:tcPr>
            <w:tcW w:w="80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Total stockholders' equity</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1,525,607</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1,489,575</w:t>
            </w:r>
          </w:p>
        </w:tc>
        <w:tc>
          <w:tcPr>
            <w:tcW w:w="0" w:type="dxa"/>
            <w:vAlign w:val="bottom"/>
          </w:tcPr>
          <w:p>
            <w:pPr>
              <w:spacing w:after="0"/>
              <w:rPr>
                <w:sz w:val="1"/>
                <w:szCs w:val="1"/>
                <w:color w:val="auto"/>
              </w:rPr>
            </w:pPr>
          </w:p>
        </w:tc>
      </w:tr>
      <w:tr>
        <w:trPr>
          <w:trHeight w:val="256"/>
        </w:trPr>
        <w:tc>
          <w:tcPr>
            <w:tcW w:w="80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Total liabilities and stockholders' equity</w:t>
            </w:r>
          </w:p>
        </w:tc>
        <w:tc>
          <w:tcPr>
            <w:tcW w:w="2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21"/>
                <w:szCs w:val="21"/>
                <w:color w:val="auto"/>
                <w:w w:val="9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2,074,722</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21"/>
                <w:szCs w:val="21"/>
                <w:color w:val="auto"/>
                <w:w w:val="9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2,074,327</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ind w:right="300"/>
        <w:spacing w:after="0" w:line="207" w:lineRule="auto"/>
        <w:rPr>
          <w:sz w:val="20"/>
          <w:szCs w:val="20"/>
          <w:color w:val="auto"/>
        </w:rPr>
      </w:pP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1"/>
          <w:szCs w:val="21"/>
          <w:color w:val="auto"/>
        </w:rPr>
        <w:t>Current and prior year share amounts have been retrospectively adjusted to reflect the Reverse Stock Split (as defined below), which became effective on December 2, 2025. See Note 1 (Basis of presentation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9020" w:type="dxa"/>
            <w:vAlign w:val="bottom"/>
            <w:gridSpan w:val="18"/>
          </w:tcPr>
          <w:p>
            <w:pPr>
              <w:spacing w:after="0"/>
              <w:rPr>
                <w:sz w:val="20"/>
                <w:szCs w:val="20"/>
                <w:color w:val="auto"/>
              </w:rPr>
            </w:pPr>
            <w:r>
              <w:rPr>
                <w:rFonts w:ascii="Times New Roman" w:cs="Times New Roman" w:eastAsia="Times New Roman" w:hAnsi="Times New Roman"/>
                <w:sz w:val="21"/>
                <w:szCs w:val="21"/>
                <w:b w:val="1"/>
                <w:bCs w:val="1"/>
                <w:color w:val="auto"/>
              </w:rPr>
              <w:t>Condensed Consolidated Statements of Net Income (Loss) and Comprehensive Income (Loss)</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5"/>
          </w:tcPr>
          <w:p>
            <w:pPr>
              <w:jc w:val="center"/>
              <w:ind w:right="280"/>
              <w:spacing w:after="0" w:line="237" w:lineRule="exact"/>
              <w:rPr>
                <w:sz w:val="20"/>
                <w:szCs w:val="20"/>
                <w:color w:val="auto"/>
              </w:rPr>
            </w:pPr>
            <w:r>
              <w:rPr>
                <w:rFonts w:ascii="Times New Roman" w:cs="Times New Roman" w:eastAsia="Times New Roman" w:hAnsi="Times New Roman"/>
                <w:sz w:val="21"/>
                <w:szCs w:val="21"/>
                <w:b w:val="1"/>
                <w:bCs w:val="1"/>
                <w:color w:val="auto"/>
                <w:w w:val="99"/>
              </w:rPr>
              <w:t>For the three months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540" w:type="dxa"/>
            <w:vAlign w:val="bottom"/>
            <w:vMerge w:val="restart"/>
          </w:tcPr>
          <w:p>
            <w:pPr>
              <w:spacing w:after="0"/>
              <w:rPr>
                <w:sz w:val="20"/>
                <w:szCs w:val="20"/>
                <w:color w:val="auto"/>
              </w:rPr>
            </w:pPr>
            <w:r>
              <w:rPr>
                <w:rFonts w:ascii="Times New Roman" w:cs="Times New Roman" w:eastAsia="Times New Roman" w:hAnsi="Times New Roman"/>
                <w:sz w:val="21"/>
                <w:szCs w:val="21"/>
                <w:b w:val="1"/>
                <w:bCs w:val="1"/>
                <w:color w:val="auto"/>
              </w:rPr>
              <w:t>(in thousands of</w:t>
            </w:r>
          </w:p>
        </w:tc>
        <w:tc>
          <w:tcPr>
            <w:tcW w:w="220" w:type="dxa"/>
            <w:vAlign w:val="bottom"/>
          </w:tcPr>
          <w:p>
            <w:pPr>
              <w:spacing w:after="0"/>
              <w:rPr>
                <w:sz w:val="24"/>
                <w:szCs w:val="24"/>
                <w:color w:val="auto"/>
              </w:rPr>
            </w:pPr>
          </w:p>
        </w:tc>
        <w:tc>
          <w:tcPr>
            <w:tcW w:w="2360" w:type="dxa"/>
            <w:vAlign w:val="bottom"/>
            <w:gridSpan w:val="5"/>
          </w:tcPr>
          <w:p>
            <w:pPr>
              <w:jc w:val="center"/>
              <w:ind w:right="300"/>
              <w:spacing w:after="0"/>
              <w:rPr>
                <w:sz w:val="20"/>
                <w:szCs w:val="20"/>
                <w:color w:val="auto"/>
              </w:rPr>
            </w:pPr>
            <w:r>
              <w:rPr>
                <w:rFonts w:ascii="Times New Roman" w:cs="Times New Roman" w:eastAsia="Times New Roman" w:hAnsi="Times New Roman"/>
                <w:sz w:val="21"/>
                <w:szCs w:val="21"/>
                <w:b w:val="1"/>
                <w:bCs w:val="1"/>
                <w:color w:val="auto"/>
              </w:rPr>
              <w:t>ended</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gridSpan w:val="6"/>
          </w:tcPr>
          <w:p>
            <w:pPr>
              <w:ind w:left="40"/>
              <w:spacing w:after="0"/>
              <w:rPr>
                <w:sz w:val="20"/>
                <w:szCs w:val="20"/>
                <w:color w:val="auto"/>
              </w:rPr>
            </w:pPr>
            <w:r>
              <w:rPr>
                <w:rFonts w:ascii="Times New Roman" w:cs="Times New Roman" w:eastAsia="Times New Roman" w:hAnsi="Times New Roman"/>
                <w:sz w:val="21"/>
                <w:szCs w:val="21"/>
                <w:b w:val="1"/>
                <w:bCs w:val="1"/>
                <w:color w:val="auto"/>
              </w:rPr>
              <w:t>For the nine months ended</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5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21"/>
                <w:szCs w:val="21"/>
                <w:b w:val="1"/>
                <w:bCs w:val="1"/>
                <w:color w:val="auto"/>
              </w:rPr>
              <w:t>February</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21"/>
                <w:szCs w:val="21"/>
                <w:b w:val="1"/>
                <w:bCs w:val="1"/>
                <w:color w:val="auto"/>
                <w:w w:val="98"/>
              </w:rPr>
              <w:t>February</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1540" w:type="dxa"/>
            <w:vAlign w:val="bottom"/>
            <w:vMerge w:val="restart"/>
          </w:tcPr>
          <w:p>
            <w:pPr>
              <w:spacing w:after="0" w:line="237" w:lineRule="exact"/>
              <w:rPr>
                <w:sz w:val="20"/>
                <w:szCs w:val="20"/>
                <w:color w:val="auto"/>
              </w:rPr>
            </w:pPr>
            <w:r>
              <w:rPr>
                <w:rFonts w:ascii="Times New Roman" w:cs="Times New Roman" w:eastAsia="Times New Roman" w:hAnsi="Times New Roman"/>
                <w:sz w:val="21"/>
                <w:szCs w:val="21"/>
                <w:b w:val="1"/>
                <w:bCs w:val="1"/>
                <w:color w:val="auto"/>
              </w:rPr>
              <w:t>U.S. dollars,</w:t>
            </w: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21"/>
                <w:szCs w:val="21"/>
                <w:b w:val="1"/>
                <w:bCs w:val="1"/>
                <w:color w:val="auto"/>
              </w:rPr>
              <w:t>February 28,</w:t>
            </w:r>
          </w:p>
        </w:tc>
        <w:tc>
          <w:tcPr>
            <w:tcW w:w="140" w:type="dxa"/>
            <w:vAlign w:val="bottom"/>
          </w:tcPr>
          <w:p>
            <w:pPr>
              <w:spacing w:after="0"/>
              <w:rPr>
                <w:sz w:val="9"/>
                <w:szCs w:val="9"/>
                <w:color w:val="auto"/>
              </w:rPr>
            </w:pPr>
          </w:p>
        </w:tc>
        <w:tc>
          <w:tcPr>
            <w:tcW w:w="1020" w:type="dxa"/>
            <w:vAlign w:val="bottom"/>
            <w:vMerge w:val="restart"/>
          </w:tcPr>
          <w:p>
            <w:pPr>
              <w:jc w:val="center"/>
              <w:ind w:right="15"/>
              <w:spacing w:after="0"/>
              <w:rPr>
                <w:sz w:val="20"/>
                <w:szCs w:val="20"/>
                <w:color w:val="auto"/>
              </w:rPr>
            </w:pPr>
            <w:r>
              <w:rPr>
                <w:rFonts w:ascii="Times New Roman" w:cs="Times New Roman" w:eastAsia="Times New Roman" w:hAnsi="Times New Roman"/>
                <w:sz w:val="21"/>
                <w:szCs w:val="21"/>
                <w:b w:val="1"/>
                <w:bCs w:val="1"/>
                <w:color w:val="auto"/>
                <w:w w:val="98"/>
              </w:rPr>
              <w:t>28,</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21"/>
                <w:szCs w:val="21"/>
                <w:b w:val="1"/>
                <w:bCs w:val="1"/>
                <w:color w:val="auto"/>
              </w:rPr>
              <w:t>Change</w:t>
            </w: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21"/>
                <w:szCs w:val="21"/>
                <w:b w:val="1"/>
                <w:bCs w:val="1"/>
                <w:color w:val="auto"/>
              </w:rPr>
              <w:t>% Change</w:t>
            </w:r>
          </w:p>
        </w:tc>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21"/>
                <w:szCs w:val="21"/>
                <w:b w:val="1"/>
                <w:bCs w:val="1"/>
                <w:color w:val="auto"/>
              </w:rPr>
              <w:t>February 28,</w:t>
            </w:r>
          </w:p>
        </w:tc>
        <w:tc>
          <w:tcPr>
            <w:tcW w:w="140" w:type="dxa"/>
            <w:vAlign w:val="bottom"/>
          </w:tcPr>
          <w:p>
            <w:pPr>
              <w:spacing w:after="0"/>
              <w:rPr>
                <w:sz w:val="9"/>
                <w:szCs w:val="9"/>
                <w:color w:val="auto"/>
              </w:rPr>
            </w:pPr>
          </w:p>
        </w:tc>
        <w:tc>
          <w:tcPr>
            <w:tcW w:w="1020" w:type="dxa"/>
            <w:vAlign w:val="bottom"/>
            <w:vMerge w:val="restart"/>
          </w:tcPr>
          <w:p>
            <w:pPr>
              <w:jc w:val="center"/>
              <w:ind w:right="55"/>
              <w:spacing w:after="0"/>
              <w:rPr>
                <w:sz w:val="20"/>
                <w:szCs w:val="20"/>
                <w:color w:val="auto"/>
              </w:rPr>
            </w:pPr>
            <w:r>
              <w:rPr>
                <w:rFonts w:ascii="Times New Roman" w:cs="Times New Roman" w:eastAsia="Times New Roman" w:hAnsi="Times New Roman"/>
                <w:sz w:val="21"/>
                <w:szCs w:val="21"/>
                <w:b w:val="1"/>
                <w:bCs w:val="1"/>
                <w:color w:val="auto"/>
                <w:w w:val="98"/>
              </w:rPr>
              <w:t>28,</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21"/>
                <w:szCs w:val="21"/>
                <w:b w:val="1"/>
                <w:bCs w:val="1"/>
                <w:color w:val="auto"/>
              </w:rPr>
              <w:t>Change</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auto"/>
                <w:w w:val="98"/>
              </w:rPr>
              <w:t>% Change</w:t>
            </w:r>
          </w:p>
        </w:tc>
        <w:tc>
          <w:tcPr>
            <w:tcW w:w="0" w:type="dxa"/>
            <w:vAlign w:val="bottom"/>
          </w:tcPr>
          <w:p>
            <w:pPr>
              <w:spacing w:after="0"/>
              <w:rPr>
                <w:sz w:val="1"/>
                <w:szCs w:val="1"/>
                <w:color w:val="auto"/>
              </w:rPr>
            </w:pPr>
          </w:p>
        </w:tc>
      </w:tr>
      <w:tr>
        <w:trPr>
          <w:trHeight w:val="174"/>
        </w:trPr>
        <w:tc>
          <w:tcPr>
            <w:tcW w:w="1540" w:type="dxa"/>
            <w:vAlign w:val="bottom"/>
            <w:vMerge w:val="restart"/>
          </w:tcPr>
          <w:p>
            <w:pPr>
              <w:spacing w:after="0" w:line="237" w:lineRule="exact"/>
              <w:rPr>
                <w:sz w:val="20"/>
                <w:szCs w:val="20"/>
                <w:color w:val="auto"/>
              </w:rPr>
            </w:pPr>
            <w:r>
              <w:rPr>
                <w:rFonts w:ascii="Times New Roman" w:cs="Times New Roman" w:eastAsia="Times New Roman" w:hAnsi="Times New Roman"/>
                <w:sz w:val="21"/>
                <w:szCs w:val="21"/>
                <w:b w:val="1"/>
                <w:bCs w:val="1"/>
                <w:color w:val="auto"/>
              </w:rPr>
              <w:t>except for per</w:t>
            </w:r>
          </w:p>
        </w:tc>
        <w:tc>
          <w:tcPr>
            <w:tcW w:w="13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1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54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share data)</w:t>
            </w:r>
          </w:p>
        </w:tc>
        <w:tc>
          <w:tcPr>
            <w:tcW w:w="220" w:type="dxa"/>
            <w:vAlign w:val="bottom"/>
          </w:tcPr>
          <w:p>
            <w:pPr>
              <w:spacing w:after="0"/>
              <w:rPr>
                <w:sz w:val="24"/>
                <w:szCs w:val="24"/>
                <w:color w:val="auto"/>
              </w:rPr>
            </w:pPr>
          </w:p>
        </w:tc>
        <w:tc>
          <w:tcPr>
            <w:tcW w:w="1060" w:type="dxa"/>
            <w:vAlign w:val="bottom"/>
          </w:tcPr>
          <w:p>
            <w:pPr>
              <w:jc w:val="right"/>
              <w:ind w:right="315"/>
              <w:spacing w:after="0"/>
              <w:rPr>
                <w:sz w:val="20"/>
                <w:szCs w:val="20"/>
                <w:color w:val="auto"/>
              </w:rPr>
            </w:pPr>
            <w:r>
              <w:rPr>
                <w:rFonts w:ascii="Times New Roman" w:cs="Times New Roman" w:eastAsia="Times New Roman" w:hAnsi="Times New Roman"/>
                <w:sz w:val="21"/>
                <w:szCs w:val="21"/>
                <w:b w:val="1"/>
                <w:bCs w:val="1"/>
                <w:color w:val="auto"/>
              </w:rPr>
              <w:t>2026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2025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4"/>
          </w:tcPr>
          <w:p>
            <w:pPr>
              <w:ind w:left="340"/>
              <w:spacing w:after="0"/>
              <w:rPr>
                <w:sz w:val="20"/>
                <w:szCs w:val="20"/>
                <w:color w:val="auto"/>
              </w:rPr>
            </w:pPr>
            <w:r>
              <w:rPr>
                <w:rFonts w:ascii="Times New Roman" w:cs="Times New Roman" w:eastAsia="Times New Roman" w:hAnsi="Times New Roman"/>
                <w:sz w:val="21"/>
                <w:szCs w:val="21"/>
                <w:b w:val="1"/>
                <w:bCs w:val="1"/>
                <w:color w:val="auto"/>
              </w:rPr>
              <w:t>2026 vs. 2025</w:t>
            </w:r>
          </w:p>
        </w:tc>
        <w:tc>
          <w:tcPr>
            <w:tcW w:w="280" w:type="dxa"/>
            <w:vAlign w:val="bottom"/>
          </w:tcPr>
          <w:p>
            <w:pPr>
              <w:spacing w:after="0"/>
              <w:rPr>
                <w:sz w:val="24"/>
                <w:szCs w:val="24"/>
                <w:color w:val="auto"/>
              </w:rPr>
            </w:pPr>
          </w:p>
        </w:tc>
        <w:tc>
          <w:tcPr>
            <w:tcW w:w="980" w:type="dxa"/>
            <w:vAlign w:val="bottom"/>
          </w:tcPr>
          <w:p>
            <w:pPr>
              <w:jc w:val="right"/>
              <w:ind w:right="295"/>
              <w:spacing w:after="0"/>
              <w:rPr>
                <w:sz w:val="20"/>
                <w:szCs w:val="20"/>
                <w:color w:val="auto"/>
              </w:rPr>
            </w:pPr>
            <w:r>
              <w:rPr>
                <w:rFonts w:ascii="Times New Roman" w:cs="Times New Roman" w:eastAsia="Times New Roman" w:hAnsi="Times New Roman"/>
                <w:sz w:val="21"/>
                <w:szCs w:val="21"/>
                <w:b w:val="1"/>
                <w:bCs w:val="1"/>
                <w:color w:val="auto"/>
              </w:rPr>
              <w:t>2026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center"/>
              <w:ind w:right="15"/>
              <w:spacing w:after="0"/>
              <w:rPr>
                <w:sz w:val="20"/>
                <w:szCs w:val="20"/>
                <w:color w:val="auto"/>
              </w:rPr>
            </w:pPr>
            <w:r>
              <w:rPr>
                <w:rFonts w:ascii="Times New Roman" w:cs="Times New Roman" w:eastAsia="Times New Roman" w:hAnsi="Times New Roman"/>
                <w:sz w:val="21"/>
                <w:szCs w:val="21"/>
                <w:b w:val="1"/>
                <w:bCs w:val="1"/>
                <w:color w:val="auto"/>
                <w:w w:val="99"/>
              </w:rPr>
              <w:t>2025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3"/>
          </w:tcPr>
          <w:p>
            <w:pPr>
              <w:jc w:val="right"/>
              <w:ind w:right="415"/>
              <w:spacing w:after="0"/>
              <w:rPr>
                <w:sz w:val="20"/>
                <w:szCs w:val="20"/>
                <w:color w:val="auto"/>
              </w:rPr>
            </w:pPr>
            <w:r>
              <w:rPr>
                <w:rFonts w:ascii="Times New Roman" w:cs="Times New Roman" w:eastAsia="Times New Roman" w:hAnsi="Times New Roman"/>
                <w:sz w:val="21"/>
                <w:szCs w:val="21"/>
                <w:b w:val="1"/>
                <w:bCs w:val="1"/>
                <w:color w:val="auto"/>
              </w:rPr>
              <w:t>2026 vs. 2025</w:t>
            </w:r>
          </w:p>
        </w:tc>
        <w:tc>
          <w:tcPr>
            <w:tcW w:w="0" w:type="dxa"/>
            <w:vAlign w:val="bottom"/>
          </w:tcPr>
          <w:p>
            <w:pPr>
              <w:spacing w:after="0"/>
              <w:rPr>
                <w:sz w:val="1"/>
                <w:szCs w:val="1"/>
                <w:color w:val="auto"/>
              </w:rPr>
            </w:pPr>
          </w:p>
        </w:tc>
      </w:tr>
      <w:tr>
        <w:trPr>
          <w:trHeight w:val="244"/>
        </w:trPr>
        <w:tc>
          <w:tcPr>
            <w:tcW w:w="1540" w:type="dxa"/>
            <w:vAlign w:val="bottom"/>
          </w:tcPr>
          <w:p>
            <w:pPr>
              <w:spacing w:after="0"/>
              <w:rPr>
                <w:sz w:val="20"/>
                <w:szCs w:val="20"/>
                <w:color w:val="auto"/>
              </w:rPr>
            </w:pPr>
            <w:r>
              <w:rPr>
                <w:rFonts w:ascii="Times New Roman" w:cs="Times New Roman" w:eastAsia="Times New Roman" w:hAnsi="Times New Roman"/>
                <w:sz w:val="21"/>
                <w:szCs w:val="21"/>
                <w:color w:val="auto"/>
              </w:rPr>
              <w:t>Net revenue</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206,732</w:t>
            </w:r>
          </w:p>
        </w:tc>
        <w:tc>
          <w:tcPr>
            <w:tcW w:w="6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185,780</w:t>
            </w:r>
          </w:p>
        </w:tc>
        <w:tc>
          <w:tcPr>
            <w:tcW w:w="8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20,952</w:t>
            </w:r>
          </w:p>
        </w:tc>
        <w:tc>
          <w:tcPr>
            <w:tcW w:w="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11%</w:t>
            </w:r>
          </w:p>
        </w:tc>
        <w:tc>
          <w:tcPr>
            <w:tcW w:w="80" w:type="dxa"/>
            <w:vAlign w:val="bottom"/>
          </w:tcPr>
          <w:p>
            <w:pPr>
              <w:spacing w:after="0"/>
              <w:rPr>
                <w:sz w:val="21"/>
                <w:szCs w:val="21"/>
                <w:color w:val="auto"/>
              </w:rPr>
            </w:pPr>
          </w:p>
        </w:tc>
        <w:tc>
          <w:tcPr>
            <w:tcW w:w="2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21"/>
                <w:szCs w:val="21"/>
                <w:color w:val="auto"/>
                <w:w w:val="94"/>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633,740</w:t>
            </w:r>
          </w:p>
        </w:tc>
        <w:tc>
          <w:tcPr>
            <w:tcW w:w="8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596,774</w:t>
            </w:r>
          </w:p>
        </w:tc>
        <w:tc>
          <w:tcPr>
            <w:tcW w:w="8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36,966</w:t>
            </w:r>
          </w:p>
        </w:tc>
        <w:tc>
          <w:tcPr>
            <w:tcW w:w="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w:t>
            </w:r>
          </w:p>
        </w:tc>
        <w:tc>
          <w:tcPr>
            <w:tcW w:w="0" w:type="dxa"/>
            <w:vAlign w:val="bottom"/>
          </w:tcPr>
          <w:p>
            <w:pPr>
              <w:spacing w:after="0"/>
              <w:rPr>
                <w:sz w:val="1"/>
                <w:szCs w:val="1"/>
                <w:color w:val="auto"/>
              </w:rPr>
            </w:pPr>
          </w:p>
        </w:tc>
      </w:tr>
      <w:tr>
        <w:trPr>
          <w:trHeight w:val="237"/>
        </w:trPr>
        <w:tc>
          <w:tcPr>
            <w:tcW w:w="154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Cost of goods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Times New Roman" w:cs="Times New Roman" w:eastAsia="Times New Roman" w:hAnsi="Times New Roman"/>
                <w:sz w:val="21"/>
                <w:szCs w:val="21"/>
                <w:color w:val="auto"/>
              </w:rPr>
              <w:t>sold</w:t>
            </w: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151,778</w:t>
            </w:r>
          </w:p>
        </w:tc>
        <w:tc>
          <w:tcPr>
            <w:tcW w:w="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133,769</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18,009</w:t>
            </w:r>
          </w:p>
        </w:tc>
        <w:tc>
          <w:tcPr>
            <w:tcW w:w="80" w:type="dxa"/>
            <w:vAlign w:val="bottom"/>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13%</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463,820</w:t>
            </w: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423,837</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39,983</w:t>
            </w:r>
          </w:p>
        </w:tc>
        <w:tc>
          <w:tcPr>
            <w:tcW w:w="80" w:type="dxa"/>
            <w:vAlign w:val="bottom"/>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w:t>
            </w:r>
          </w:p>
        </w:tc>
        <w:tc>
          <w:tcPr>
            <w:tcW w:w="0" w:type="dxa"/>
            <w:vAlign w:val="bottom"/>
          </w:tcPr>
          <w:p>
            <w:pPr>
              <w:spacing w:after="0"/>
              <w:rPr>
                <w:sz w:val="1"/>
                <w:szCs w:val="1"/>
                <w:color w:val="auto"/>
              </w:rPr>
            </w:pPr>
          </w:p>
        </w:tc>
      </w:tr>
      <w:tr>
        <w:trPr>
          <w:trHeight w:val="244"/>
        </w:trPr>
        <w:tc>
          <w:tcPr>
            <w:tcW w:w="1540" w:type="dxa"/>
            <w:vAlign w:val="bottom"/>
          </w:tcPr>
          <w:p>
            <w:pPr>
              <w:spacing w:after="0"/>
              <w:rPr>
                <w:sz w:val="20"/>
                <w:szCs w:val="20"/>
                <w:color w:val="auto"/>
              </w:rPr>
            </w:pPr>
            <w:r>
              <w:rPr>
                <w:rFonts w:ascii="Times New Roman" w:cs="Times New Roman" w:eastAsia="Times New Roman" w:hAnsi="Times New Roman"/>
                <w:sz w:val="21"/>
                <w:szCs w:val="21"/>
                <w:color w:val="auto"/>
              </w:rPr>
              <w:t>Gross profit</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54,954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52,011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2,943</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169,920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172,937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(3,017)</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w:t>
            </w:r>
          </w:p>
        </w:tc>
        <w:tc>
          <w:tcPr>
            <w:tcW w:w="0" w:type="dxa"/>
            <w:vAlign w:val="bottom"/>
          </w:tcPr>
          <w:p>
            <w:pPr>
              <w:spacing w:after="0"/>
              <w:rPr>
                <w:sz w:val="1"/>
                <w:szCs w:val="1"/>
                <w:color w:val="auto"/>
              </w:rPr>
            </w:pPr>
          </w:p>
        </w:tc>
      </w:tr>
      <w:tr>
        <w:trPr>
          <w:trHeight w:val="237"/>
        </w:trPr>
        <w:tc>
          <w:tcPr>
            <w:tcW w:w="154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Operating</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540" w:type="dxa"/>
            <w:vAlign w:val="bottom"/>
          </w:tcPr>
          <w:p>
            <w:pPr>
              <w:spacing w:after="0"/>
              <w:rPr>
                <w:sz w:val="20"/>
                <w:szCs w:val="20"/>
                <w:color w:val="auto"/>
              </w:rPr>
            </w:pPr>
            <w:r>
              <w:rPr>
                <w:rFonts w:ascii="Times New Roman" w:cs="Times New Roman" w:eastAsia="Times New Roman" w:hAnsi="Times New Roman"/>
                <w:sz w:val="21"/>
                <w:szCs w:val="21"/>
                <w:color w:val="auto"/>
              </w:rPr>
              <w:t>expenses:</w:t>
            </w: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General and</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5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administrative</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50,228</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39,246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10,982</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142,456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129,356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13,100</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c>
          <w:tcPr>
            <w:tcW w:w="0" w:type="dxa"/>
            <w:vAlign w:val="bottom"/>
          </w:tcPr>
          <w:p>
            <w:pPr>
              <w:spacing w:after="0"/>
              <w:rPr>
                <w:sz w:val="1"/>
                <w:szCs w:val="1"/>
                <w:color w:val="auto"/>
              </w:rPr>
            </w:pPr>
          </w:p>
        </w:tc>
      </w:tr>
      <w:tr>
        <w:trPr>
          <w:trHeight w:val="263"/>
        </w:trPr>
        <w:tc>
          <w:tcPr>
            <w:tcW w:w="15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Selling</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10,617</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13,905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(3,288)</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35,321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41,757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(6,436)</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c>
          <w:tcPr>
            <w:tcW w:w="0" w:type="dxa"/>
            <w:vAlign w:val="bottom"/>
          </w:tcPr>
          <w:p>
            <w:pPr>
              <w:spacing w:after="0"/>
              <w:rPr>
                <w:sz w:val="1"/>
                <w:szCs w:val="1"/>
                <w:color w:val="auto"/>
              </w:rPr>
            </w:pPr>
          </w:p>
        </w:tc>
      </w:tr>
      <w:tr>
        <w:trPr>
          <w:trHeight w:val="263"/>
        </w:trPr>
        <w:tc>
          <w:tcPr>
            <w:tcW w:w="15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Amortization</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5,106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23,182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(18,076)</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(78)%</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13,393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67,913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(54,520)</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(80)%</w:t>
            </w: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Marketing</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and</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5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promotion</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8,692</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6,793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1,899</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28,828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28,079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749</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Research and</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5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development</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62</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(69)</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Change in fair</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value of</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contingent</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5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consideration</w:t>
            </w:r>
          </w:p>
        </w:tc>
        <w:tc>
          <w:tcPr>
            <w:tcW w:w="22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21"/>
                <w:szCs w:val="21"/>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21"/>
                <w:szCs w:val="21"/>
                <w:color w:val="auto"/>
              </w:rPr>
              <w:t>—</w:t>
            </w:r>
          </w:p>
        </w:tc>
        <w:tc>
          <w:tcPr>
            <w:tcW w:w="18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21"/>
                <w:szCs w:val="21"/>
                <w:color w:val="auto"/>
              </w:rPr>
              <w:t>—</w:t>
            </w:r>
          </w:p>
        </w:tc>
        <w:tc>
          <w:tcPr>
            <w:tcW w:w="1080" w:type="dxa"/>
            <w:vAlign w:val="bottom"/>
            <w:gridSpan w:val="2"/>
          </w:tcPr>
          <w:p>
            <w:pPr>
              <w:ind w:left="540"/>
              <w:spacing w:after="0"/>
              <w:rPr>
                <w:sz w:val="20"/>
                <w:szCs w:val="20"/>
                <w:color w:val="auto"/>
              </w:rPr>
            </w:pPr>
            <w:r>
              <w:rPr>
                <w:rFonts w:ascii="Times New Roman" w:cs="Times New Roman" w:eastAsia="Times New Roman" w:hAnsi="Times New Roman"/>
                <w:sz w:val="21"/>
                <w:szCs w:val="21"/>
                <w:color w:val="auto"/>
              </w:rPr>
              <w:t>NM</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(15,000)</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21"/>
                <w:szCs w:val="21"/>
                <w:color w:val="auto"/>
              </w:rPr>
              <w:t>—</w:t>
            </w: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(15,000)</w:t>
            </w:r>
          </w:p>
        </w:tc>
        <w:tc>
          <w:tcPr>
            <w:tcW w:w="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NM</w:t>
            </w:r>
          </w:p>
        </w:tc>
        <w:tc>
          <w:tcPr>
            <w:tcW w:w="0" w:type="dxa"/>
            <w:vAlign w:val="bottom"/>
          </w:tcPr>
          <w:p>
            <w:pPr>
              <w:spacing w:after="0"/>
              <w:rPr>
                <w:sz w:val="1"/>
                <w:szCs w:val="1"/>
                <w:color w:val="auto"/>
              </w:rPr>
            </w:pPr>
          </w:p>
        </w:tc>
      </w:tr>
    </w:tbl>
    <w:p>
      <w:pPr>
        <w:sectPr>
          <w:pgSz w:w="11900" w:h="16899" w:orient="portrait"/>
          <w:cols w:equalWidth="0" w:num="1">
            <w:col w:w="11240"/>
          </w:cols>
          <w:pgMar w:left="340" w:top="110" w:right="319" w:bottom="0" w:gutter="0" w:footer="0" w:header="0"/>
        </w:sectPr>
      </w:pPr>
    </w:p>
    <w:bookmarkStart w:id="8" w:name="page9"/>
    <w:bookmarkEnd w:id="8"/>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Impairment of</w:t>
            </w: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21"/>
                <w:szCs w:val="21"/>
                <w:color w:val="auto"/>
              </w:rPr>
              <w:t>—</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699,235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(699,235)</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1"/>
                <w:szCs w:val="21"/>
                <w:color w:val="auto"/>
              </w:rPr>
              <w:t>—</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699,235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(699,235)</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intangible</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assets and</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5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goodwill</w:t>
            </w: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Other than</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temporary</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change in fair</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value of</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convertible</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notes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5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receivable</w:t>
            </w:r>
          </w:p>
        </w:tc>
        <w:tc>
          <w:tcPr>
            <w:tcW w:w="14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21"/>
                <w:szCs w:val="21"/>
                <w:color w:val="auto"/>
              </w:rPr>
              <w:t>—</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20,000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(20,000)</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1"/>
                <w:szCs w:val="21"/>
                <w:color w:val="auto"/>
              </w:rPr>
              <w:t>—</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20,000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(20,000)</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Litigation</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costs, net of</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5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recoveries</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621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2,758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(2,137)</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2,497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5,254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(2,757)</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w:t>
            </w: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Restructuring</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5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costs</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4,087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6,133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(2,046)</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5,921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17,249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(11,328)</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(66)%</w:t>
            </w: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Transaction</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costs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5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(income), net</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1,927</w:t>
            </w:r>
          </w:p>
        </w:tc>
        <w:tc>
          <w:tcPr>
            <w:tcW w:w="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605</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1,322</w:t>
            </w:r>
          </w:p>
        </w:tc>
        <w:tc>
          <w:tcPr>
            <w:tcW w:w="80" w:type="dxa"/>
            <w:vAlign w:val="bottom"/>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219%</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2,896</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2,563</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333</w:t>
            </w:r>
          </w:p>
        </w:tc>
        <w:tc>
          <w:tcPr>
            <w:tcW w:w="80" w:type="dxa"/>
            <w:vAlign w:val="bottom"/>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13%</w:t>
            </w:r>
          </w:p>
        </w:tc>
        <w:tc>
          <w:tcPr>
            <w:tcW w:w="0" w:type="dxa"/>
            <w:vAlign w:val="bottom"/>
          </w:tcPr>
          <w:p>
            <w:pPr>
              <w:spacing w:after="0"/>
              <w:rPr>
                <w:sz w:val="1"/>
                <w:szCs w:val="1"/>
                <w:color w:val="auto"/>
              </w:rPr>
            </w:pPr>
          </w:p>
        </w:tc>
      </w:tr>
      <w:tr>
        <w:trPr>
          <w:trHeight w:val="204"/>
        </w:trPr>
        <w:tc>
          <w:tcPr>
            <w:tcW w:w="1540" w:type="dxa"/>
            <w:vAlign w:val="bottom"/>
          </w:tcPr>
          <w:p>
            <w:pPr>
              <w:spacing w:after="0" w:line="204" w:lineRule="exact"/>
              <w:rPr>
                <w:sz w:val="20"/>
                <w:szCs w:val="20"/>
                <w:color w:val="auto"/>
              </w:rPr>
            </w:pPr>
            <w:r>
              <w:rPr>
                <w:rFonts w:ascii="Times New Roman" w:cs="Times New Roman" w:eastAsia="Times New Roman" w:hAnsi="Times New Roman"/>
                <w:sz w:val="21"/>
                <w:szCs w:val="21"/>
                <w:color w:val="auto"/>
              </w:rPr>
              <w:t>Total operating</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Times New Roman" w:cs="Times New Roman" w:eastAsia="Times New Roman" w:hAnsi="Times New Roman"/>
                <w:sz w:val="21"/>
                <w:szCs w:val="21"/>
                <w:color w:val="auto"/>
              </w:rPr>
              <w:t>expenses</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81,340</w:t>
            </w:r>
          </w:p>
        </w:tc>
        <w:tc>
          <w:tcPr>
            <w:tcW w:w="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811,942</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(730,602)</w:t>
            </w:r>
          </w:p>
        </w:tc>
        <w:tc>
          <w:tcPr>
            <w:tcW w:w="80" w:type="dxa"/>
            <w:vAlign w:val="bottom"/>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(90)%</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216,493</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1,011,656</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(795,163)</w:t>
            </w:r>
          </w:p>
        </w:tc>
        <w:tc>
          <w:tcPr>
            <w:tcW w:w="80" w:type="dxa"/>
            <w:vAlign w:val="bottom"/>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(79)%</w:t>
            </w:r>
          </w:p>
        </w:tc>
        <w:tc>
          <w:tcPr>
            <w:tcW w:w="0" w:type="dxa"/>
            <w:vAlign w:val="bottom"/>
          </w:tcPr>
          <w:p>
            <w:pPr>
              <w:spacing w:after="0"/>
              <w:rPr>
                <w:sz w:val="1"/>
                <w:szCs w:val="1"/>
                <w:color w:val="auto"/>
              </w:rPr>
            </w:pPr>
          </w:p>
        </w:tc>
      </w:tr>
      <w:tr>
        <w:trPr>
          <w:trHeight w:val="244"/>
        </w:trPr>
        <w:tc>
          <w:tcPr>
            <w:tcW w:w="1540" w:type="dxa"/>
            <w:vAlign w:val="bottom"/>
          </w:tcPr>
          <w:p>
            <w:pPr>
              <w:spacing w:after="0"/>
              <w:rPr>
                <w:sz w:val="20"/>
                <w:szCs w:val="20"/>
                <w:color w:val="auto"/>
              </w:rPr>
            </w:pPr>
            <w:r>
              <w:rPr>
                <w:rFonts w:ascii="Times New Roman" w:cs="Times New Roman" w:eastAsia="Times New Roman" w:hAnsi="Times New Roman"/>
                <w:sz w:val="21"/>
                <w:szCs w:val="21"/>
                <w:color w:val="auto"/>
              </w:rPr>
              <w:t>Operating loss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(26,386)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(759,931)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733,545</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(46,573)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(838,719)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792,146</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(94)%</w:t>
            </w: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Interest</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5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expense, net</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(4,965)</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(8,378)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3,413</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(17,035)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(25,986)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8,951</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w:t>
            </w: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Non-</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operating</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income</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5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(expense), net</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8,092</w:t>
            </w:r>
          </w:p>
        </w:tc>
        <w:tc>
          <w:tcPr>
            <w:tcW w:w="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(24,022)</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32,114</w:t>
            </w:r>
          </w:p>
        </w:tc>
        <w:tc>
          <w:tcPr>
            <w:tcW w:w="80" w:type="dxa"/>
            <w:vAlign w:val="bottom"/>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(134)%</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(386)</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(44,631)</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44,245</w:t>
            </w:r>
          </w:p>
        </w:tc>
        <w:tc>
          <w:tcPr>
            <w:tcW w:w="80" w:type="dxa"/>
            <w:vAlign w:val="bottom"/>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(99)%</w:t>
            </w:r>
          </w:p>
        </w:tc>
        <w:tc>
          <w:tcPr>
            <w:tcW w:w="0" w:type="dxa"/>
            <w:vAlign w:val="bottom"/>
          </w:tcPr>
          <w:p>
            <w:pPr>
              <w:spacing w:after="0"/>
              <w:rPr>
                <w:sz w:val="1"/>
                <w:szCs w:val="1"/>
                <w:color w:val="auto"/>
              </w:rPr>
            </w:pPr>
          </w:p>
        </w:tc>
      </w:tr>
      <w:tr>
        <w:trPr>
          <w:trHeight w:val="204"/>
        </w:trPr>
        <w:tc>
          <w:tcPr>
            <w:tcW w:w="1540" w:type="dxa"/>
            <w:vAlign w:val="bottom"/>
          </w:tcPr>
          <w:p>
            <w:pPr>
              <w:spacing w:after="0" w:line="204" w:lineRule="exact"/>
              <w:rPr>
                <w:sz w:val="20"/>
                <w:szCs w:val="20"/>
                <w:color w:val="auto"/>
              </w:rPr>
            </w:pPr>
            <w:r>
              <w:rPr>
                <w:rFonts w:ascii="Times New Roman" w:cs="Times New Roman" w:eastAsia="Times New Roman" w:hAnsi="Times New Roman"/>
                <w:sz w:val="21"/>
                <w:szCs w:val="21"/>
                <w:color w:val="auto"/>
              </w:rPr>
              <w:t>Loss before</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540" w:type="dxa"/>
            <w:vAlign w:val="bottom"/>
          </w:tcPr>
          <w:p>
            <w:pPr>
              <w:spacing w:after="0"/>
              <w:rPr>
                <w:sz w:val="20"/>
                <w:szCs w:val="20"/>
                <w:color w:val="auto"/>
              </w:rPr>
            </w:pPr>
            <w:r>
              <w:rPr>
                <w:rFonts w:ascii="Times New Roman" w:cs="Times New Roman" w:eastAsia="Times New Roman" w:hAnsi="Times New Roman"/>
                <w:sz w:val="21"/>
                <w:szCs w:val="21"/>
                <w:color w:val="auto"/>
              </w:rPr>
              <w:t>income taxes</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(23,259)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(792,331)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769,072</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(63,994)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(909,336)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845,342</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(93)%</w:t>
            </w: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Income tax</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expense</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(recovery),</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5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net</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1,974</w:t>
            </w: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1,203</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771</w:t>
            </w:r>
          </w:p>
        </w:tc>
        <w:tc>
          <w:tcPr>
            <w:tcW w:w="8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64%</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3,235</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4,125</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(890)</w:t>
            </w:r>
          </w:p>
        </w:tc>
        <w:tc>
          <w:tcPr>
            <w:tcW w:w="8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(22)%</w:t>
            </w:r>
          </w:p>
        </w:tc>
        <w:tc>
          <w:tcPr>
            <w:tcW w:w="0" w:type="dxa"/>
            <w:vAlign w:val="bottom"/>
          </w:tcPr>
          <w:p>
            <w:pPr>
              <w:spacing w:after="0"/>
              <w:rPr>
                <w:sz w:val="1"/>
                <w:szCs w:val="1"/>
                <w:color w:val="auto"/>
              </w:rPr>
            </w:pPr>
          </w:p>
        </w:tc>
      </w:tr>
      <w:tr>
        <w:trPr>
          <w:trHeight w:val="257"/>
        </w:trPr>
        <w:tc>
          <w:tcPr>
            <w:tcW w:w="1540" w:type="dxa"/>
            <w:vAlign w:val="bottom"/>
          </w:tcPr>
          <w:p>
            <w:pPr>
              <w:spacing w:after="0"/>
              <w:rPr>
                <w:sz w:val="20"/>
                <w:szCs w:val="20"/>
                <w:color w:val="auto"/>
              </w:rPr>
            </w:pPr>
            <w:r>
              <w:rPr>
                <w:rFonts w:ascii="Times New Roman" w:cs="Times New Roman" w:eastAsia="Times New Roman" w:hAnsi="Times New Roman"/>
                <w:sz w:val="21"/>
                <w:szCs w:val="21"/>
                <w:color w:val="auto"/>
              </w:rPr>
              <w:t>Net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(25,233)</w:t>
            </w:r>
          </w:p>
        </w:tc>
        <w:tc>
          <w:tcPr>
            <w:tcW w:w="6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(793,534)</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768,301</w:t>
            </w:r>
          </w:p>
        </w:tc>
        <w:tc>
          <w:tcPr>
            <w:tcW w:w="8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(97)%</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(67,229)</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(913,461)</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846,232</w:t>
            </w:r>
          </w:p>
        </w:tc>
        <w:tc>
          <w:tcPr>
            <w:tcW w:w="8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(93)%</w:t>
            </w:r>
          </w:p>
        </w:tc>
        <w:tc>
          <w:tcPr>
            <w:tcW w:w="0" w:type="dxa"/>
            <w:vAlign w:val="bottom"/>
          </w:tcPr>
          <w:p>
            <w:pPr>
              <w:spacing w:after="0"/>
              <w:rPr>
                <w:sz w:val="1"/>
                <w:szCs w:val="1"/>
                <w:color w:val="auto"/>
              </w:rPr>
            </w:pPr>
          </w:p>
        </w:tc>
      </w:tr>
      <w:tr>
        <w:trPr>
          <w:trHeight w:val="20"/>
        </w:trPr>
        <w:tc>
          <w:tcPr>
            <w:tcW w:w="1540" w:type="dxa"/>
            <w:vAlign w:val="bottom"/>
            <w:vMerge w:val="restart"/>
          </w:tcPr>
          <w:p>
            <w:pPr>
              <w:spacing w:after="0" w:line="229" w:lineRule="exact"/>
              <w:rPr>
                <w:sz w:val="20"/>
                <w:szCs w:val="20"/>
                <w:color w:val="auto"/>
              </w:rPr>
            </w:pPr>
            <w:r>
              <w:rPr>
                <w:rFonts w:ascii="Times New Roman" w:cs="Times New Roman" w:eastAsia="Times New Roman" w:hAnsi="Times New Roman"/>
                <w:sz w:val="21"/>
                <w:szCs w:val="21"/>
                <w:color w:val="auto"/>
              </w:rPr>
              <w:t>Total net income</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(loss)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540" w:type="dxa"/>
            <w:vAlign w:val="bottom"/>
          </w:tcPr>
          <w:p>
            <w:pPr>
              <w:spacing w:after="0"/>
              <w:rPr>
                <w:sz w:val="20"/>
                <w:szCs w:val="20"/>
                <w:color w:val="auto"/>
              </w:rPr>
            </w:pPr>
            <w:r>
              <w:rPr>
                <w:rFonts w:ascii="Times New Roman" w:cs="Times New Roman" w:eastAsia="Times New Roman" w:hAnsi="Times New Roman"/>
                <w:sz w:val="21"/>
                <w:szCs w:val="21"/>
                <w:color w:val="auto"/>
              </w:rPr>
              <w:t>attributable to:</w:t>
            </w: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Stockholders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of Tilray</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5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Brands, Inc.</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(26,572)</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(789,436)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762,864</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(71,825)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(913,943)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842,118</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(92)%</w:t>
            </w: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Non-</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controlling</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5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interests</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1,339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(4,098)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5,437</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4,596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482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4,114</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854%</w:t>
            </w:r>
          </w:p>
        </w:tc>
        <w:tc>
          <w:tcPr>
            <w:tcW w:w="0" w:type="dxa"/>
            <w:vAlign w:val="bottom"/>
          </w:tcPr>
          <w:p>
            <w:pPr>
              <w:spacing w:after="0"/>
              <w:rPr>
                <w:sz w:val="1"/>
                <w:szCs w:val="1"/>
                <w:color w:val="auto"/>
              </w:rPr>
            </w:pPr>
          </w:p>
        </w:tc>
      </w:tr>
      <w:tr>
        <w:trPr>
          <w:trHeight w:val="237"/>
        </w:trPr>
        <w:tc>
          <w:tcPr>
            <w:tcW w:w="154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Other</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comprehensive</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gain (loss), net</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540" w:type="dxa"/>
            <w:vAlign w:val="bottom"/>
          </w:tcPr>
          <w:p>
            <w:pPr>
              <w:spacing w:after="0"/>
              <w:rPr>
                <w:sz w:val="20"/>
                <w:szCs w:val="20"/>
                <w:color w:val="auto"/>
              </w:rPr>
            </w:pPr>
            <w:r>
              <w:rPr>
                <w:rFonts w:ascii="Times New Roman" w:cs="Times New Roman" w:eastAsia="Times New Roman" w:hAnsi="Times New Roman"/>
                <w:sz w:val="21"/>
                <w:szCs w:val="21"/>
                <w:color w:val="auto"/>
              </w:rPr>
              <w:t>of tax</w:t>
            </w: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Foreign</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currency</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4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translation</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5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gain (loss)</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(4,687)</w:t>
            </w:r>
          </w:p>
        </w:tc>
        <w:tc>
          <w:tcPr>
            <w:tcW w:w="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(5,389)</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702</w:t>
            </w:r>
          </w:p>
        </w:tc>
        <w:tc>
          <w:tcPr>
            <w:tcW w:w="80" w:type="dxa"/>
            <w:vAlign w:val="bottom"/>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(13)%</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(411)</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(10,195)</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9,784</w:t>
            </w:r>
          </w:p>
        </w:tc>
        <w:tc>
          <w:tcPr>
            <w:tcW w:w="80" w:type="dxa"/>
            <w:vAlign w:val="bottom"/>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(96)%</w:t>
            </w:r>
          </w:p>
        </w:tc>
        <w:tc>
          <w:tcPr>
            <w:tcW w:w="0" w:type="dxa"/>
            <w:vAlign w:val="bottom"/>
          </w:tcPr>
          <w:p>
            <w:pPr>
              <w:spacing w:after="0"/>
              <w:rPr>
                <w:sz w:val="1"/>
                <w:szCs w:val="1"/>
                <w:color w:val="auto"/>
              </w:rPr>
            </w:pPr>
          </w:p>
        </w:tc>
      </w:tr>
      <w:tr>
        <w:trPr>
          <w:trHeight w:val="204"/>
        </w:trPr>
        <w:tc>
          <w:tcPr>
            <w:tcW w:w="1540" w:type="dxa"/>
            <w:vAlign w:val="bottom"/>
          </w:tcPr>
          <w:p>
            <w:pPr>
              <w:spacing w:after="0" w:line="204" w:lineRule="exact"/>
              <w:rPr>
                <w:sz w:val="20"/>
                <w:szCs w:val="20"/>
                <w:color w:val="auto"/>
              </w:rPr>
            </w:pPr>
            <w:r>
              <w:rPr>
                <w:rFonts w:ascii="Times New Roman" w:cs="Times New Roman" w:eastAsia="Times New Roman" w:hAnsi="Times New Roman"/>
                <w:sz w:val="21"/>
                <w:szCs w:val="21"/>
                <w:color w:val="auto"/>
              </w:rPr>
              <w:t>Comprehensive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(29,920)</w:t>
            </w:r>
          </w:p>
        </w:tc>
        <w:tc>
          <w:tcPr>
            <w:tcW w:w="6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(798,923)</w:t>
            </w:r>
          </w:p>
        </w:tc>
        <w:tc>
          <w:tcPr>
            <w:tcW w:w="8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769,003</w:t>
            </w:r>
          </w:p>
        </w:tc>
        <w:tc>
          <w:tcPr>
            <w:tcW w:w="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(96)%</w:t>
            </w:r>
          </w:p>
        </w:tc>
        <w:tc>
          <w:tcPr>
            <w:tcW w:w="8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(67,640)</w:t>
            </w:r>
          </w:p>
        </w:tc>
        <w:tc>
          <w:tcPr>
            <w:tcW w:w="8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(923,656)</w:t>
            </w:r>
          </w:p>
        </w:tc>
        <w:tc>
          <w:tcPr>
            <w:tcW w:w="8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856,016</w:t>
            </w:r>
          </w:p>
        </w:tc>
        <w:tc>
          <w:tcPr>
            <w:tcW w:w="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(93)%</w:t>
            </w:r>
          </w:p>
        </w:tc>
        <w:tc>
          <w:tcPr>
            <w:tcW w:w="0" w:type="dxa"/>
            <w:vAlign w:val="bottom"/>
          </w:tcPr>
          <w:p>
            <w:pPr>
              <w:spacing w:after="0"/>
              <w:rPr>
                <w:sz w:val="1"/>
                <w:szCs w:val="1"/>
                <w:color w:val="auto"/>
              </w:rPr>
            </w:pPr>
          </w:p>
        </w:tc>
      </w:tr>
      <w:tr>
        <w:trPr>
          <w:trHeight w:val="256"/>
        </w:trPr>
        <w:tc>
          <w:tcPr>
            <w:tcW w:w="1540" w:type="dxa"/>
            <w:vAlign w:val="bottom"/>
          </w:tcPr>
          <w:p>
            <w:pPr>
              <w:spacing w:after="0"/>
              <w:rPr>
                <w:sz w:val="20"/>
                <w:szCs w:val="20"/>
                <w:color w:val="auto"/>
              </w:rPr>
            </w:pPr>
            <w:r>
              <w:rPr>
                <w:rFonts w:ascii="Times New Roman" w:cs="Times New Roman" w:eastAsia="Times New Roman" w:hAnsi="Times New Roman"/>
                <w:sz w:val="21"/>
                <w:szCs w:val="21"/>
                <w:color w:val="auto"/>
              </w:rPr>
              <w:t>loss</w:t>
            </w:r>
          </w:p>
        </w:tc>
        <w:tc>
          <w:tcPr>
            <w:tcW w:w="14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40" w:type="dxa"/>
            <w:vAlign w:val="bottom"/>
            <w:vMerge w:val="restart"/>
          </w:tcPr>
          <w:p>
            <w:pPr>
              <w:spacing w:after="0" w:line="229" w:lineRule="exact"/>
              <w:rPr>
                <w:sz w:val="20"/>
                <w:szCs w:val="20"/>
                <w:color w:val="auto"/>
              </w:rPr>
            </w:pPr>
            <w:r>
              <w:rPr>
                <w:rFonts w:ascii="Times New Roman" w:cs="Times New Roman" w:eastAsia="Times New Roman" w:hAnsi="Times New Roman"/>
                <w:sz w:val="21"/>
                <w:szCs w:val="21"/>
                <w:color w:val="auto"/>
              </w:rPr>
              <w:t>Total</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comprehensive</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income (loss)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540" w:type="dxa"/>
            <w:vAlign w:val="bottom"/>
          </w:tcPr>
          <w:p>
            <w:pPr>
              <w:spacing w:after="0"/>
              <w:rPr>
                <w:sz w:val="20"/>
                <w:szCs w:val="20"/>
                <w:color w:val="auto"/>
              </w:rPr>
            </w:pPr>
            <w:r>
              <w:rPr>
                <w:rFonts w:ascii="Times New Roman" w:cs="Times New Roman" w:eastAsia="Times New Roman" w:hAnsi="Times New Roman"/>
                <w:sz w:val="21"/>
                <w:szCs w:val="21"/>
                <w:color w:val="auto"/>
              </w:rPr>
              <w:t>attributable to:</w:t>
            </w: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Stockholders of</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Tilray Brands,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540" w:type="dxa"/>
            <w:vAlign w:val="bottom"/>
          </w:tcPr>
          <w:p>
            <w:pPr>
              <w:spacing w:after="0"/>
              <w:rPr>
                <w:sz w:val="20"/>
                <w:szCs w:val="20"/>
                <w:color w:val="auto"/>
              </w:rPr>
            </w:pPr>
            <w:r>
              <w:rPr>
                <w:rFonts w:ascii="Times New Roman" w:cs="Times New Roman" w:eastAsia="Times New Roman" w:hAnsi="Times New Roman"/>
                <w:sz w:val="21"/>
                <w:szCs w:val="21"/>
                <w:color w:val="auto"/>
              </w:rPr>
              <w:t>Inc.</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(31,477)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(794,414)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762,937</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(72,960)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(923,379)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850,419</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(92)%</w:t>
            </w:r>
          </w:p>
        </w:tc>
        <w:tc>
          <w:tcPr>
            <w:tcW w:w="0" w:type="dxa"/>
            <w:vAlign w:val="bottom"/>
          </w:tcPr>
          <w:p>
            <w:pPr>
              <w:spacing w:after="0"/>
              <w:rPr>
                <w:sz w:val="1"/>
                <w:szCs w:val="1"/>
                <w:color w:val="auto"/>
              </w:rPr>
            </w:pPr>
          </w:p>
        </w:tc>
      </w:tr>
      <w:tr>
        <w:trPr>
          <w:trHeight w:val="237"/>
        </w:trPr>
        <w:tc>
          <w:tcPr>
            <w:tcW w:w="154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Non-controlling</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Times New Roman" w:cs="Times New Roman" w:eastAsia="Times New Roman" w:hAnsi="Times New Roman"/>
                <w:sz w:val="21"/>
                <w:szCs w:val="21"/>
                <w:color w:val="auto"/>
              </w:rPr>
              <w:t>interests</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1,557</w:t>
            </w:r>
          </w:p>
        </w:tc>
        <w:tc>
          <w:tcPr>
            <w:tcW w:w="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(4,509)</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6,066</w:t>
            </w:r>
          </w:p>
        </w:tc>
        <w:tc>
          <w:tcPr>
            <w:tcW w:w="80" w:type="dxa"/>
            <w:vAlign w:val="bottom"/>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(135)%</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5,320</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(277)</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5,597</w:t>
            </w:r>
          </w:p>
        </w:tc>
        <w:tc>
          <w:tcPr>
            <w:tcW w:w="80" w:type="dxa"/>
            <w:vAlign w:val="bottom"/>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(2021)%</w:t>
            </w:r>
          </w:p>
        </w:tc>
        <w:tc>
          <w:tcPr>
            <w:tcW w:w="0" w:type="dxa"/>
            <w:vAlign w:val="bottom"/>
          </w:tcPr>
          <w:p>
            <w:pPr>
              <w:spacing w:after="0"/>
              <w:rPr>
                <w:sz w:val="1"/>
                <w:szCs w:val="1"/>
                <w:color w:val="auto"/>
              </w:rPr>
            </w:pPr>
          </w:p>
        </w:tc>
      </w:tr>
      <w:tr>
        <w:trPr>
          <w:trHeight w:val="204"/>
        </w:trPr>
        <w:tc>
          <w:tcPr>
            <w:tcW w:w="1540" w:type="dxa"/>
            <w:vAlign w:val="bottom"/>
          </w:tcPr>
          <w:p>
            <w:pPr>
              <w:spacing w:after="0" w:line="204" w:lineRule="exact"/>
              <w:rPr>
                <w:sz w:val="20"/>
                <w:szCs w:val="20"/>
                <w:color w:val="auto"/>
              </w:rPr>
            </w:pPr>
            <w:r>
              <w:rPr>
                <w:rFonts w:ascii="Times New Roman" w:cs="Times New Roman" w:eastAsia="Times New Roman" w:hAnsi="Times New Roman"/>
                <w:sz w:val="21"/>
                <w:szCs w:val="21"/>
                <w:color w:val="auto"/>
              </w:rPr>
              <w:t>Weighted</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average number</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1540" w:type="dxa"/>
            <w:vAlign w:val="bottom"/>
          </w:tcPr>
          <w:p>
            <w:pPr>
              <w:spacing w:after="0"/>
              <w:rPr>
                <w:sz w:val="20"/>
                <w:szCs w:val="20"/>
                <w:color w:val="auto"/>
              </w:rPr>
            </w:pPr>
            <w:r>
              <w:rPr>
                <w:rFonts w:ascii="Times New Roman" w:cs="Times New Roman" w:eastAsia="Times New Roman" w:hAnsi="Times New Roman"/>
                <w:sz w:val="21"/>
                <w:szCs w:val="21"/>
                <w:color w:val="auto"/>
              </w:rPr>
              <w:t>of common</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2"/>
        </w:trPr>
        <w:tc>
          <w:tcPr>
            <w:tcW w:w="1540" w:type="dxa"/>
            <w:vAlign w:val="bottom"/>
          </w:tcPr>
          <w:p>
            <w:pPr>
              <w:spacing w:after="0"/>
              <w:rPr>
                <w:sz w:val="20"/>
                <w:szCs w:val="20"/>
                <w:color w:val="auto"/>
              </w:rPr>
            </w:pPr>
            <w:r>
              <w:rPr>
                <w:rFonts w:ascii="Times New Roman" w:cs="Times New Roman" w:eastAsia="Times New Roman" w:hAnsi="Times New Roman"/>
                <w:sz w:val="21"/>
                <w:szCs w:val="21"/>
                <w:color w:val="auto"/>
              </w:rPr>
              <w:t>shares - basic</w:t>
            </w:r>
            <w:r>
              <w:rPr>
                <w:rFonts w:ascii="Times New Roman" w:cs="Times New Roman" w:eastAsia="Times New Roman" w:hAnsi="Times New Roman"/>
                <w:sz w:val="35"/>
                <w:szCs w:val="35"/>
                <w:color w:val="auto"/>
                <w:vertAlign w:val="superscript"/>
              </w:rPr>
              <w:t>1</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7"/>
              </w:rPr>
              <w:t>112,675,734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9"/>
              </w:rPr>
              <w:t>90,834,279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9"/>
              </w:rPr>
              <w:t>21,841,455</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7"/>
              </w:rPr>
              <w:t>109,657,744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7"/>
              </w:rPr>
              <w:t>86,079,372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7"/>
              </w:rPr>
              <w:t>23,578,372</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c>
          <w:tcPr>
            <w:tcW w:w="0" w:type="dxa"/>
            <w:vAlign w:val="bottom"/>
          </w:tcPr>
          <w:p>
            <w:pPr>
              <w:spacing w:after="0"/>
              <w:rPr>
                <w:sz w:val="1"/>
                <w:szCs w:val="1"/>
                <w:color w:val="auto"/>
              </w:rPr>
            </w:pPr>
          </w:p>
        </w:tc>
      </w:tr>
    </w:tbl>
    <w:p>
      <w:pPr>
        <w:sectPr>
          <w:pgSz w:w="11900" w:h="17003" w:orient="portrait"/>
          <w:cols w:equalWidth="0" w:num="1">
            <w:col w:w="11240"/>
          </w:cols>
          <w:pgMar w:left="340" w:top="107" w:right="319" w:bottom="0" w:gutter="0" w:footer="0" w:header="0"/>
        </w:sectPr>
      </w:pPr>
    </w:p>
    <w:bookmarkStart w:id="9" w:name="page10"/>
    <w:bookmarkEnd w:id="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40" w:type="dxa"/>
            <w:vAlign w:val="bottom"/>
          </w:tcPr>
          <w:p>
            <w:pPr>
              <w:spacing w:after="0"/>
              <w:rPr>
                <w:sz w:val="20"/>
                <w:szCs w:val="20"/>
                <w:color w:val="auto"/>
              </w:rPr>
            </w:pPr>
            <w:r>
              <w:rPr>
                <w:rFonts w:ascii="Times New Roman" w:cs="Times New Roman" w:eastAsia="Times New Roman" w:hAnsi="Times New Roman"/>
                <w:sz w:val="21"/>
                <w:szCs w:val="21"/>
                <w:color w:val="auto"/>
              </w:rPr>
              <w:t>Weighted</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7"/>
              </w:rPr>
              <w:t>112,675,734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9"/>
              </w:rPr>
              <w:t>90,834,279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9"/>
              </w:rPr>
              <w:t>21,841,455</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7"/>
              </w:rPr>
              <w:t>109,657,744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7"/>
              </w:rPr>
              <w:t>86,079,372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7"/>
              </w:rPr>
              <w:t>23,578,372</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c>
          <w:tcPr>
            <w:tcW w:w="0" w:type="dxa"/>
            <w:vAlign w:val="bottom"/>
          </w:tcPr>
          <w:p>
            <w:pPr>
              <w:spacing w:after="0"/>
              <w:rPr>
                <w:sz w:val="1"/>
                <w:szCs w:val="1"/>
                <w:color w:val="auto"/>
              </w:rPr>
            </w:pPr>
          </w:p>
        </w:tc>
      </w:tr>
      <w:tr>
        <w:trPr>
          <w:trHeight w:val="237"/>
        </w:trPr>
        <w:tc>
          <w:tcPr>
            <w:tcW w:w="154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average number</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1540" w:type="dxa"/>
            <w:vAlign w:val="bottom"/>
          </w:tcPr>
          <w:p>
            <w:pPr>
              <w:spacing w:after="0"/>
              <w:rPr>
                <w:sz w:val="20"/>
                <w:szCs w:val="20"/>
                <w:color w:val="auto"/>
              </w:rPr>
            </w:pPr>
            <w:r>
              <w:rPr>
                <w:rFonts w:ascii="Times New Roman" w:cs="Times New Roman" w:eastAsia="Times New Roman" w:hAnsi="Times New Roman"/>
                <w:sz w:val="21"/>
                <w:szCs w:val="21"/>
                <w:color w:val="auto"/>
              </w:rPr>
              <w:t>of common</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1540" w:type="dxa"/>
            <w:vAlign w:val="bottom"/>
          </w:tcPr>
          <w:p>
            <w:pPr>
              <w:spacing w:after="0" w:line="306" w:lineRule="exact"/>
              <w:rPr>
                <w:sz w:val="20"/>
                <w:szCs w:val="20"/>
                <w:color w:val="auto"/>
              </w:rPr>
            </w:pPr>
            <w:r>
              <w:rPr>
                <w:rFonts w:ascii="Times New Roman" w:cs="Times New Roman" w:eastAsia="Times New Roman" w:hAnsi="Times New Roman"/>
                <w:sz w:val="21"/>
                <w:szCs w:val="21"/>
                <w:color w:val="auto"/>
              </w:rPr>
              <w:t>shares - diluted</w:t>
            </w:r>
            <w:r>
              <w:rPr>
                <w:rFonts w:ascii="Times New Roman" w:cs="Times New Roman" w:eastAsia="Times New Roman" w:hAnsi="Times New Roman"/>
                <w:sz w:val="35"/>
                <w:szCs w:val="35"/>
                <w:color w:val="auto"/>
                <w:vertAlign w:val="superscript"/>
              </w:rPr>
              <w:t>1</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4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Net loss per</w:t>
            </w: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1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1540" w:type="dxa"/>
            <w:vAlign w:val="bottom"/>
          </w:tcPr>
          <w:p>
            <w:pPr>
              <w:spacing w:after="0" w:line="306" w:lineRule="exact"/>
              <w:rPr>
                <w:sz w:val="20"/>
                <w:szCs w:val="20"/>
                <w:color w:val="auto"/>
              </w:rPr>
            </w:pPr>
            <w:r>
              <w:rPr>
                <w:rFonts w:ascii="Times New Roman" w:cs="Times New Roman" w:eastAsia="Times New Roman" w:hAnsi="Times New Roman"/>
                <w:sz w:val="21"/>
                <w:szCs w:val="21"/>
                <w:color w:val="auto"/>
              </w:rPr>
              <w:t>share - basic</w:t>
            </w:r>
            <w:r>
              <w:rPr>
                <w:rFonts w:ascii="Times New Roman" w:cs="Times New Roman" w:eastAsia="Times New Roman" w:hAnsi="Times New Roman"/>
                <w:sz w:val="35"/>
                <w:szCs w:val="35"/>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(0.24)</w:t>
            </w:r>
          </w:p>
        </w:tc>
        <w:tc>
          <w:tcPr>
            <w:tcW w:w="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(8.69)</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8.46</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(97)%</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(0.65)</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(10.62)</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9.96</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(94)%</w:t>
            </w:r>
          </w:p>
        </w:tc>
        <w:tc>
          <w:tcPr>
            <w:tcW w:w="0" w:type="dxa"/>
            <w:vAlign w:val="bottom"/>
          </w:tcPr>
          <w:p>
            <w:pPr>
              <w:spacing w:after="0"/>
              <w:rPr>
                <w:sz w:val="1"/>
                <w:szCs w:val="1"/>
                <w:color w:val="auto"/>
              </w:rPr>
            </w:pPr>
          </w:p>
        </w:tc>
      </w:tr>
      <w:tr>
        <w:trPr>
          <w:trHeight w:val="246"/>
        </w:trPr>
        <w:tc>
          <w:tcPr>
            <w:tcW w:w="1540" w:type="dxa"/>
            <w:vAlign w:val="bottom"/>
          </w:tcPr>
          <w:p>
            <w:pPr>
              <w:spacing w:after="0"/>
              <w:rPr>
                <w:sz w:val="20"/>
                <w:szCs w:val="20"/>
                <w:color w:val="auto"/>
              </w:rPr>
            </w:pPr>
            <w:r>
              <w:rPr>
                <w:rFonts w:ascii="Times New Roman" w:cs="Times New Roman" w:eastAsia="Times New Roman" w:hAnsi="Times New Roman"/>
                <w:sz w:val="21"/>
                <w:szCs w:val="21"/>
                <w:color w:val="auto"/>
              </w:rPr>
              <w:t>Net loss per</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540" w:type="dxa"/>
            <w:vAlign w:val="bottom"/>
          </w:tcPr>
          <w:p>
            <w:pPr>
              <w:spacing w:after="0" w:line="294" w:lineRule="exact"/>
              <w:rPr>
                <w:sz w:val="20"/>
                <w:szCs w:val="20"/>
                <w:color w:val="auto"/>
              </w:rPr>
            </w:pPr>
            <w:r>
              <w:rPr>
                <w:rFonts w:ascii="Times New Roman" w:cs="Times New Roman" w:eastAsia="Times New Roman" w:hAnsi="Times New Roman"/>
                <w:sz w:val="21"/>
                <w:szCs w:val="21"/>
                <w:color w:val="auto"/>
              </w:rPr>
              <w:t>share - diluted</w:t>
            </w:r>
            <w:r>
              <w:rPr>
                <w:rFonts w:ascii="Times New Roman" w:cs="Times New Roman" w:eastAsia="Times New Roman" w:hAnsi="Times New Roman"/>
                <w:sz w:val="34"/>
                <w:szCs w:val="34"/>
                <w:color w:val="auto"/>
                <w:vertAlign w:val="superscript"/>
              </w:rPr>
              <w:t>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(0.24)</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(8.69)</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8.46</w:t>
            </w:r>
          </w:p>
        </w:tc>
        <w:tc>
          <w:tcPr>
            <w:tcW w:w="8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(97)%</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(0.65)</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(10.62)</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9.96</w:t>
            </w:r>
          </w:p>
        </w:tc>
        <w:tc>
          <w:tcPr>
            <w:tcW w:w="8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(94)%</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1"/>
          <w:szCs w:val="21"/>
          <w:color w:val="auto"/>
        </w:rPr>
        <w:t>Current and prior year share amounts have been retrospectively adjusted to reflect the Reverse Stock Split (as defined below), which became effective on December 2, 2025. See Note 1 (Basis of presentation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516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Condensed Consolidated Statements of Cash Flows</w:t>
            </w:r>
          </w:p>
        </w:tc>
        <w:tc>
          <w:tcPr>
            <w:tcW w:w="140" w:type="dxa"/>
            <w:vAlign w:val="bottom"/>
          </w:tcPr>
          <w:p>
            <w:pPr>
              <w:spacing w:after="0"/>
              <w:rPr>
                <w:sz w:val="24"/>
                <w:szCs w:val="24"/>
                <w:color w:val="auto"/>
              </w:rPr>
            </w:pPr>
          </w:p>
        </w:tc>
        <w:tc>
          <w:tcPr>
            <w:tcW w:w="3000" w:type="dxa"/>
            <w:vAlign w:val="bottom"/>
            <w:gridSpan w:val="5"/>
            <w:vMerge w:val="restart"/>
          </w:tcPr>
          <w:p>
            <w:pPr>
              <w:ind w:left="180"/>
              <w:spacing w:after="0"/>
              <w:rPr>
                <w:sz w:val="20"/>
                <w:szCs w:val="20"/>
                <w:color w:val="auto"/>
              </w:rPr>
            </w:pPr>
            <w:r>
              <w:rPr>
                <w:rFonts w:ascii="Times New Roman" w:cs="Times New Roman" w:eastAsia="Times New Roman" w:hAnsi="Times New Roman"/>
                <w:sz w:val="21"/>
                <w:szCs w:val="21"/>
                <w:b w:val="1"/>
                <w:bCs w:val="1"/>
                <w:color w:val="auto"/>
              </w:rPr>
              <w:t>For the nine months ended</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0" w:type="dxa"/>
            <w:vAlign w:val="bottom"/>
            <w:gridSpan w:val="5"/>
            <w:vMerge w:val="continue"/>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February 28,</w:t>
            </w:r>
          </w:p>
        </w:tc>
        <w:tc>
          <w:tcPr>
            <w:tcW w:w="140" w:type="dxa"/>
            <w:vAlign w:val="bottom"/>
          </w:tcPr>
          <w:p>
            <w:pPr>
              <w:spacing w:after="0"/>
              <w:rPr>
                <w:sz w:val="22"/>
                <w:szCs w:val="22"/>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21"/>
                <w:szCs w:val="21"/>
                <w:b w:val="1"/>
                <w:bCs w:val="1"/>
                <w:color w:val="auto"/>
              </w:rPr>
              <w:t>February 28,</w:t>
            </w:r>
          </w:p>
        </w:tc>
        <w:tc>
          <w:tcPr>
            <w:tcW w:w="240" w:type="dxa"/>
            <w:vAlign w:val="bottom"/>
          </w:tcPr>
          <w:p>
            <w:pPr>
              <w:spacing w:after="0"/>
              <w:rPr>
                <w:sz w:val="22"/>
                <w:szCs w:val="22"/>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21"/>
                <w:szCs w:val="21"/>
                <w:b w:val="1"/>
                <w:bCs w:val="1"/>
                <w:color w:val="auto"/>
              </w:rPr>
              <w:t>Change</w:t>
            </w:r>
          </w:p>
        </w:tc>
        <w:tc>
          <w:tcPr>
            <w:tcW w:w="1260" w:type="dxa"/>
            <w:vAlign w:val="bottom"/>
          </w:tcPr>
          <w:p>
            <w:pPr>
              <w:jc w:val="right"/>
              <w:ind w:right="55"/>
              <w:spacing w:after="0"/>
              <w:rPr>
                <w:sz w:val="20"/>
                <w:szCs w:val="20"/>
                <w:color w:val="auto"/>
              </w:rPr>
            </w:pPr>
            <w:r>
              <w:rPr>
                <w:rFonts w:ascii="Times New Roman" w:cs="Times New Roman" w:eastAsia="Times New Roman" w:hAnsi="Times New Roman"/>
                <w:sz w:val="21"/>
                <w:szCs w:val="21"/>
                <w:b w:val="1"/>
                <w:bCs w:val="1"/>
                <w:color w:val="auto"/>
              </w:rPr>
              <w:t>% Change</w:t>
            </w:r>
          </w:p>
        </w:tc>
        <w:tc>
          <w:tcPr>
            <w:tcW w:w="0" w:type="dxa"/>
            <w:vAlign w:val="bottom"/>
          </w:tcPr>
          <w:p>
            <w:pPr>
              <w:spacing w:after="0"/>
              <w:rPr>
                <w:sz w:val="1"/>
                <w:szCs w:val="1"/>
                <w:color w:val="auto"/>
              </w:rPr>
            </w:pPr>
          </w:p>
        </w:tc>
      </w:tr>
      <w:tr>
        <w:trPr>
          <w:trHeight w:val="279"/>
        </w:trPr>
        <w:tc>
          <w:tcPr>
            <w:tcW w:w="516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(in thousands of US dollars)</w:t>
            </w: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21"/>
                <w:szCs w:val="21"/>
                <w:b w:val="1"/>
                <w:bCs w:val="1"/>
                <w:color w:val="auto"/>
              </w:rPr>
              <w:t>2026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21"/>
                <w:szCs w:val="21"/>
                <w:b w:val="1"/>
                <w:bCs w:val="1"/>
                <w:color w:val="auto"/>
              </w:rPr>
              <w:t>2025</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right"/>
              <w:ind w:right="715"/>
              <w:spacing w:after="0"/>
              <w:rPr>
                <w:sz w:val="20"/>
                <w:szCs w:val="20"/>
                <w:color w:val="auto"/>
              </w:rPr>
            </w:pPr>
            <w:r>
              <w:rPr>
                <w:rFonts w:ascii="Times New Roman" w:cs="Times New Roman" w:eastAsia="Times New Roman" w:hAnsi="Times New Roman"/>
                <w:sz w:val="21"/>
                <w:szCs w:val="21"/>
                <w:b w:val="1"/>
                <w:bCs w:val="1"/>
                <w:color w:val="auto"/>
              </w:rPr>
              <w:t>2026 vs. 2025</w:t>
            </w:r>
          </w:p>
        </w:tc>
        <w:tc>
          <w:tcPr>
            <w:tcW w:w="0" w:type="dxa"/>
            <w:vAlign w:val="bottom"/>
          </w:tcPr>
          <w:p>
            <w:pPr>
              <w:spacing w:after="0"/>
              <w:rPr>
                <w:sz w:val="1"/>
                <w:szCs w:val="1"/>
                <w:color w:val="auto"/>
              </w:rPr>
            </w:pPr>
          </w:p>
        </w:tc>
      </w:tr>
      <w:tr>
        <w:trPr>
          <w:trHeight w:val="244"/>
        </w:trPr>
        <w:tc>
          <w:tcPr>
            <w:tcW w:w="516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Cash provided by (used in) operating activities: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160" w:type="dxa"/>
            <w:vAlign w:val="bottom"/>
          </w:tcPr>
          <w:p>
            <w:pPr>
              <w:spacing w:after="0"/>
              <w:rPr>
                <w:sz w:val="20"/>
                <w:szCs w:val="20"/>
                <w:color w:val="auto"/>
              </w:rPr>
            </w:pPr>
            <w:r>
              <w:rPr>
                <w:rFonts w:ascii="Times New Roman" w:cs="Times New Roman" w:eastAsia="Times New Roman" w:hAnsi="Times New Roman"/>
                <w:sz w:val="21"/>
                <w:szCs w:val="21"/>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(67,229)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(913,461)</w:t>
            </w:r>
          </w:p>
        </w:tc>
        <w:tc>
          <w:tcPr>
            <w:tcW w:w="120" w:type="dxa"/>
            <w:vAlign w:val="bottom"/>
          </w:tcPr>
          <w:p>
            <w:pPr>
              <w:spacing w:after="0"/>
              <w:rPr>
                <w:sz w:val="22"/>
                <w:szCs w:val="22"/>
                <w:color w:val="auto"/>
              </w:rPr>
            </w:pPr>
          </w:p>
        </w:tc>
        <w:tc>
          <w:tcPr>
            <w:tcW w:w="24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w w:val="94"/>
              </w:rPr>
              <w:t>$</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846,232</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(93)%</w:t>
            </w:r>
          </w:p>
        </w:tc>
        <w:tc>
          <w:tcPr>
            <w:tcW w:w="0" w:type="dxa"/>
            <w:vAlign w:val="bottom"/>
          </w:tcPr>
          <w:p>
            <w:pPr>
              <w:spacing w:after="0"/>
              <w:rPr>
                <w:sz w:val="1"/>
                <w:szCs w:val="1"/>
                <w:color w:val="auto"/>
              </w:rPr>
            </w:pPr>
          </w:p>
        </w:tc>
      </w:tr>
      <w:tr>
        <w:trPr>
          <w:trHeight w:val="263"/>
        </w:trPr>
        <w:tc>
          <w:tcPr>
            <w:tcW w:w="5160" w:type="dxa"/>
            <w:vAlign w:val="bottom"/>
          </w:tcPr>
          <w:p>
            <w:pPr>
              <w:spacing w:after="0"/>
              <w:rPr>
                <w:sz w:val="20"/>
                <w:szCs w:val="20"/>
                <w:color w:val="auto"/>
              </w:rPr>
            </w:pPr>
            <w:r>
              <w:rPr>
                <w:rFonts w:ascii="Times New Roman" w:cs="Times New Roman" w:eastAsia="Times New Roman" w:hAnsi="Times New Roman"/>
                <w:sz w:val="21"/>
                <w:szCs w:val="21"/>
                <w:color w:val="auto"/>
              </w:rPr>
              <w:t>Adjustments for:</w:t>
            </w: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Deferred income tax (recovery) expense, net</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2,686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549</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w:t>
            </w: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Unrealized foreign exchange (gain) loss</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(5,886)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30,725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(36,611)</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(119)%</w:t>
            </w: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Amortization</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48,260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99,410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(51,150)</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Accretion of convertible debt discount</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5,977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8,751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(2,774)</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Impairments</w:t>
            </w:r>
          </w:p>
        </w:tc>
        <w:tc>
          <w:tcPr>
            <w:tcW w:w="14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699,235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(699,235)</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0" w:type="dxa"/>
            <w:vAlign w:val="bottom"/>
          </w:tcPr>
          <w:p>
            <w:pPr>
              <w:spacing w:after="0"/>
              <w:rPr>
                <w:sz w:val="1"/>
                <w:szCs w:val="1"/>
                <w:color w:val="auto"/>
              </w:rPr>
            </w:pPr>
          </w:p>
        </w:tc>
      </w:tr>
      <w:tr>
        <w:trPr>
          <w:trHeight w:val="237"/>
        </w:trPr>
        <w:tc>
          <w:tcPr>
            <w:tcW w:w="5160" w:type="dxa"/>
            <w:vAlign w:val="bottom"/>
          </w:tcPr>
          <w:p>
            <w:pPr>
              <w:ind w:left="240"/>
              <w:spacing w:after="0" w:line="237" w:lineRule="exact"/>
              <w:rPr>
                <w:sz w:val="20"/>
                <w:szCs w:val="20"/>
                <w:color w:val="auto"/>
              </w:rPr>
            </w:pPr>
            <w:r>
              <w:rPr>
                <w:rFonts w:ascii="Times New Roman" w:cs="Times New Roman" w:eastAsia="Times New Roman" w:hAnsi="Times New Roman"/>
                <w:sz w:val="21"/>
                <w:szCs w:val="21"/>
                <w:color w:val="auto"/>
              </w:rPr>
              <w:t>Other than temporary change in fair value of convertible</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notes receivable</w:t>
            </w:r>
          </w:p>
        </w:tc>
        <w:tc>
          <w:tcPr>
            <w:tcW w:w="14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20,000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(20,000)</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Unrealized loss on digital assets</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24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386</w:t>
            </w:r>
          </w:p>
        </w:tc>
        <w:tc>
          <w:tcPr>
            <w:tcW w:w="100" w:type="dxa"/>
            <w:vAlign w:val="bottom"/>
          </w:tcPr>
          <w:p>
            <w:pPr>
              <w:spacing w:after="0"/>
              <w:rPr>
                <w:sz w:val="22"/>
                <w:szCs w:val="22"/>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NM</w:t>
            </w: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Other non-cash items</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2,402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1,503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899</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60%</w:t>
            </w: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Stock-based compensation</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31,060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18,189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12,871</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71%</w:t>
            </w: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Loss on long-term investments</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4,449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5,540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(1,091)</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w:t>
            </w: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Loss (gain) on derivative instruments</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3,495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(2,896)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6,391</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(221)%</w:t>
            </w: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Change in fair value of contingent consideration</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(15,000)</w:t>
            </w:r>
          </w:p>
        </w:tc>
        <w:tc>
          <w:tcPr>
            <w:tcW w:w="100" w:type="dxa"/>
            <w:vAlign w:val="bottom"/>
          </w:tcPr>
          <w:p>
            <w:pPr>
              <w:spacing w:after="0"/>
              <w:rPr>
                <w:sz w:val="22"/>
                <w:szCs w:val="22"/>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NM</w:t>
            </w:r>
          </w:p>
        </w:tc>
        <w:tc>
          <w:tcPr>
            <w:tcW w:w="0" w:type="dxa"/>
            <w:vAlign w:val="bottom"/>
          </w:tcPr>
          <w:p>
            <w:pPr>
              <w:spacing w:after="0"/>
              <w:rPr>
                <w:sz w:val="1"/>
                <w:szCs w:val="1"/>
                <w:color w:val="auto"/>
              </w:rPr>
            </w:pPr>
          </w:p>
        </w:tc>
      </w:tr>
      <w:tr>
        <w:trPr>
          <w:trHeight w:val="263"/>
        </w:trPr>
        <w:tc>
          <w:tcPr>
            <w:tcW w:w="5160" w:type="dxa"/>
            <w:vAlign w:val="bottom"/>
          </w:tcPr>
          <w:p>
            <w:pPr>
              <w:spacing w:after="0"/>
              <w:rPr>
                <w:sz w:val="20"/>
                <w:szCs w:val="20"/>
                <w:color w:val="auto"/>
              </w:rPr>
            </w:pPr>
            <w:r>
              <w:rPr>
                <w:rFonts w:ascii="Times New Roman" w:cs="Times New Roman" w:eastAsia="Times New Roman" w:hAnsi="Times New Roman"/>
                <w:sz w:val="21"/>
                <w:szCs w:val="21"/>
                <w:color w:val="auto"/>
              </w:rPr>
              <w:t>Change in non-cash working capital:</w:t>
            </w: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Accounts receivable</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2,796</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871%</w:t>
            </w: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Prepaids and other current assets</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(8,258)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4,541</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(55)%</w:t>
            </w: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Inventory</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(21,421)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(5,577)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(15,844)</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284%</w:t>
            </w:r>
          </w:p>
        </w:tc>
        <w:tc>
          <w:tcPr>
            <w:tcW w:w="0" w:type="dxa"/>
            <w:vAlign w:val="bottom"/>
          </w:tcPr>
          <w:p>
            <w:pPr>
              <w:spacing w:after="0"/>
              <w:rPr>
                <w:sz w:val="1"/>
                <w:szCs w:val="1"/>
                <w:color w:val="auto"/>
              </w:rPr>
            </w:pPr>
          </w:p>
        </w:tc>
      </w:tr>
      <w:tr>
        <w:trPr>
          <w:trHeight w:val="275"/>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Accounts payable and accrued liabilities</w:t>
            </w: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(20,948)</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(37,960)</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rPr>
              <w:t>17,012</w:t>
            </w:r>
          </w:p>
        </w:tc>
        <w:tc>
          <w:tcPr>
            <w:tcW w:w="100" w:type="dxa"/>
            <w:vAlign w:val="bottom"/>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(45)%</w:t>
            </w:r>
          </w:p>
        </w:tc>
        <w:tc>
          <w:tcPr>
            <w:tcW w:w="0" w:type="dxa"/>
            <w:vAlign w:val="bottom"/>
          </w:tcPr>
          <w:p>
            <w:pPr>
              <w:spacing w:after="0"/>
              <w:rPr>
                <w:sz w:val="1"/>
                <w:szCs w:val="1"/>
                <w:color w:val="auto"/>
              </w:rPr>
            </w:pPr>
          </w:p>
        </w:tc>
      </w:tr>
      <w:tr>
        <w:trPr>
          <w:trHeight w:val="258"/>
        </w:trPr>
        <w:tc>
          <w:tcPr>
            <w:tcW w:w="5160" w:type="dxa"/>
            <w:vAlign w:val="bottom"/>
          </w:tcPr>
          <w:p>
            <w:pPr>
              <w:spacing w:after="0"/>
              <w:rPr>
                <w:sz w:val="20"/>
                <w:szCs w:val="20"/>
                <w:color w:val="auto"/>
              </w:rPr>
            </w:pPr>
            <w:r>
              <w:rPr>
                <w:rFonts w:ascii="Times New Roman" w:cs="Times New Roman" w:eastAsia="Times New Roman" w:hAnsi="Times New Roman"/>
                <w:sz w:val="21"/>
                <w:szCs w:val="21"/>
                <w:color w:val="auto"/>
              </w:rPr>
              <w:t>Net cash used in operating activities</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(31,820)</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(81,792)</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rPr>
              <w:t>49,972</w:t>
            </w:r>
          </w:p>
        </w:tc>
        <w:tc>
          <w:tcPr>
            <w:tcW w:w="10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(61)%</w:t>
            </w:r>
          </w:p>
        </w:tc>
        <w:tc>
          <w:tcPr>
            <w:tcW w:w="0" w:type="dxa"/>
            <w:vAlign w:val="bottom"/>
          </w:tcPr>
          <w:p>
            <w:pPr>
              <w:spacing w:after="0"/>
              <w:rPr>
                <w:sz w:val="1"/>
                <w:szCs w:val="1"/>
                <w:color w:val="auto"/>
              </w:rPr>
            </w:pPr>
          </w:p>
        </w:tc>
      </w:tr>
      <w:tr>
        <w:trPr>
          <w:trHeight w:val="242"/>
        </w:trPr>
        <w:tc>
          <w:tcPr>
            <w:tcW w:w="516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Cash provided by (used in) investing activities: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Investment in capital and intangible assets</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(22,838)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(26,586)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3,748</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Proceeds from disposal of capital and intangible assets</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833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965</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116%</w:t>
            </w: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Investment in digital assets</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(1,000)</w:t>
            </w:r>
          </w:p>
        </w:tc>
        <w:tc>
          <w:tcPr>
            <w:tcW w:w="100" w:type="dxa"/>
            <w:vAlign w:val="bottom"/>
          </w:tcPr>
          <w:p>
            <w:pPr>
              <w:spacing w:after="0"/>
              <w:rPr>
                <w:sz w:val="22"/>
                <w:szCs w:val="22"/>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NM</w:t>
            </w: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Sale (purchase) of marketable securities, net</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19,385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(16,276)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35,661</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(219)%</w:t>
            </w: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Investment in long-term investments</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(3,595)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(3,595)</w:t>
            </w:r>
          </w:p>
        </w:tc>
        <w:tc>
          <w:tcPr>
            <w:tcW w:w="100" w:type="dxa"/>
            <w:vAlign w:val="bottom"/>
          </w:tcPr>
          <w:p>
            <w:pPr>
              <w:spacing w:after="0"/>
              <w:rPr>
                <w:sz w:val="22"/>
                <w:szCs w:val="22"/>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NM</w:t>
            </w: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Proceeds from long-term investments</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24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1,629</w:t>
            </w:r>
          </w:p>
        </w:tc>
        <w:tc>
          <w:tcPr>
            <w:tcW w:w="100" w:type="dxa"/>
            <w:vAlign w:val="bottom"/>
          </w:tcPr>
          <w:p>
            <w:pPr>
              <w:spacing w:after="0"/>
              <w:rPr>
                <w:sz w:val="22"/>
                <w:szCs w:val="22"/>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NM</w:t>
            </w:r>
          </w:p>
        </w:tc>
        <w:tc>
          <w:tcPr>
            <w:tcW w:w="0" w:type="dxa"/>
            <w:vAlign w:val="bottom"/>
          </w:tcPr>
          <w:p>
            <w:pPr>
              <w:spacing w:after="0"/>
              <w:rPr>
                <w:sz w:val="1"/>
                <w:szCs w:val="1"/>
                <w:color w:val="auto"/>
              </w:rPr>
            </w:pPr>
          </w:p>
        </w:tc>
      </w:tr>
      <w:tr>
        <w:trPr>
          <w:trHeight w:val="275"/>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Business acquisitions, net of cash acquired</w:t>
            </w:r>
          </w:p>
        </w:tc>
        <w:tc>
          <w:tcPr>
            <w:tcW w:w="14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(18,210)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18,210</w:t>
            </w: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0" w:type="dxa"/>
            <w:vAlign w:val="bottom"/>
          </w:tcPr>
          <w:p>
            <w:pPr>
              <w:spacing w:after="0"/>
              <w:rPr>
                <w:sz w:val="1"/>
                <w:szCs w:val="1"/>
                <w:color w:val="auto"/>
              </w:rPr>
            </w:pPr>
          </w:p>
        </w:tc>
      </w:tr>
      <w:tr>
        <w:trPr>
          <w:trHeight w:val="258"/>
        </w:trPr>
        <w:tc>
          <w:tcPr>
            <w:tcW w:w="5160" w:type="dxa"/>
            <w:vAlign w:val="bottom"/>
          </w:tcPr>
          <w:p>
            <w:pPr>
              <w:spacing w:after="0"/>
              <w:rPr>
                <w:sz w:val="20"/>
                <w:szCs w:val="20"/>
                <w:color w:val="auto"/>
              </w:rPr>
            </w:pPr>
            <w:r>
              <w:rPr>
                <w:rFonts w:ascii="Times New Roman" w:cs="Times New Roman" w:eastAsia="Times New Roman" w:hAnsi="Times New Roman"/>
                <w:sz w:val="21"/>
                <w:szCs w:val="21"/>
                <w:color w:val="auto"/>
              </w:rPr>
              <w:t>Net cash used in investing activities</w:t>
            </w:r>
          </w:p>
        </w:tc>
        <w:tc>
          <w:tcPr>
            <w:tcW w:w="1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(4,621)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(60,239)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rPr>
              <w:t>55,618</w:t>
            </w:r>
          </w:p>
        </w:tc>
        <w:tc>
          <w:tcPr>
            <w:tcW w:w="10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(92)%</w:t>
            </w:r>
          </w:p>
        </w:tc>
        <w:tc>
          <w:tcPr>
            <w:tcW w:w="0" w:type="dxa"/>
            <w:vAlign w:val="bottom"/>
          </w:tcPr>
          <w:p>
            <w:pPr>
              <w:spacing w:after="0"/>
              <w:rPr>
                <w:sz w:val="1"/>
                <w:szCs w:val="1"/>
                <w:color w:val="auto"/>
              </w:rPr>
            </w:pPr>
          </w:p>
        </w:tc>
      </w:tr>
      <w:tr>
        <w:trPr>
          <w:trHeight w:val="242"/>
        </w:trPr>
        <w:tc>
          <w:tcPr>
            <w:tcW w:w="516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Cash provided by (used in) financing activities: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Share capital issued, net of cash issuance costs</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73,058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139,738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(66,680)</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(48)%</w:t>
            </w: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Cash paid in lieu fractional shares</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(159)</w:t>
            </w:r>
          </w:p>
        </w:tc>
        <w:tc>
          <w:tcPr>
            <w:tcW w:w="100" w:type="dxa"/>
            <w:vAlign w:val="bottom"/>
          </w:tcPr>
          <w:p>
            <w:pPr>
              <w:spacing w:after="0"/>
              <w:rPr>
                <w:sz w:val="22"/>
                <w:szCs w:val="22"/>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NM</w:t>
            </w: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Proceeds from warrants exercised</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2,367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24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2,367</w:t>
            </w:r>
          </w:p>
        </w:tc>
        <w:tc>
          <w:tcPr>
            <w:tcW w:w="100" w:type="dxa"/>
            <w:vAlign w:val="bottom"/>
          </w:tcPr>
          <w:p>
            <w:pPr>
              <w:spacing w:after="0"/>
              <w:rPr>
                <w:sz w:val="22"/>
                <w:szCs w:val="22"/>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NM</w:t>
            </w: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Proceeds from long-term debt</w:t>
            </w:r>
          </w:p>
        </w:tc>
        <w:tc>
          <w:tcPr>
            <w:tcW w:w="14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3,450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(3,450)</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Repayment of long-term debt</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(11,108)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(16,115)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5,007</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Repayment of convertible debt</w:t>
            </w:r>
          </w:p>
        </w:tc>
        <w:tc>
          <w:tcPr>
            <w:tcW w:w="14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330</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Repayment of lease liabilities</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(2,991)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(2,586)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(405)</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w:t>
            </w:r>
          </w:p>
        </w:tc>
        <w:tc>
          <w:tcPr>
            <w:tcW w:w="0" w:type="dxa"/>
            <w:vAlign w:val="bottom"/>
          </w:tcPr>
          <w:p>
            <w:pPr>
              <w:spacing w:after="0"/>
              <w:rPr>
                <w:sz w:val="1"/>
                <w:szCs w:val="1"/>
                <w:color w:val="auto"/>
              </w:rPr>
            </w:pPr>
          </w:p>
        </w:tc>
      </w:tr>
      <w:tr>
        <w:trPr>
          <w:trHeight w:val="275"/>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Net decrease in bank indebtedness</w:t>
            </w: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1,653</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(7,293)</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rPr>
              <w:t>8,946</w:t>
            </w:r>
          </w:p>
        </w:tc>
        <w:tc>
          <w:tcPr>
            <w:tcW w:w="100" w:type="dxa"/>
            <w:vAlign w:val="bottom"/>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(123)%</w:t>
            </w:r>
          </w:p>
        </w:tc>
        <w:tc>
          <w:tcPr>
            <w:tcW w:w="0" w:type="dxa"/>
            <w:vAlign w:val="bottom"/>
          </w:tcPr>
          <w:p>
            <w:pPr>
              <w:spacing w:after="0"/>
              <w:rPr>
                <w:sz w:val="1"/>
                <w:szCs w:val="1"/>
                <w:color w:val="auto"/>
              </w:rPr>
            </w:pPr>
          </w:p>
        </w:tc>
      </w:tr>
      <w:tr>
        <w:trPr>
          <w:trHeight w:val="258"/>
        </w:trPr>
        <w:tc>
          <w:tcPr>
            <w:tcW w:w="5160" w:type="dxa"/>
            <w:vAlign w:val="bottom"/>
          </w:tcPr>
          <w:p>
            <w:pPr>
              <w:spacing w:after="0"/>
              <w:rPr>
                <w:sz w:val="20"/>
                <w:szCs w:val="20"/>
                <w:color w:val="auto"/>
              </w:rPr>
            </w:pPr>
            <w:r>
              <w:rPr>
                <w:rFonts w:ascii="Times New Roman" w:cs="Times New Roman" w:eastAsia="Times New Roman" w:hAnsi="Times New Roman"/>
                <w:sz w:val="21"/>
                <w:szCs w:val="21"/>
                <w:color w:val="auto"/>
              </w:rPr>
              <w:t>Net cash provided by financing activities</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62,820</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116,864</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(54,044)</w:t>
            </w:r>
          </w:p>
        </w:tc>
        <w:tc>
          <w:tcPr>
            <w:tcW w:w="10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(46)%</w:t>
            </w:r>
          </w:p>
        </w:tc>
        <w:tc>
          <w:tcPr>
            <w:tcW w:w="0" w:type="dxa"/>
            <w:vAlign w:val="bottom"/>
          </w:tcPr>
          <w:p>
            <w:pPr>
              <w:spacing w:after="0"/>
              <w:rPr>
                <w:sz w:val="1"/>
                <w:szCs w:val="1"/>
                <w:color w:val="auto"/>
              </w:rPr>
            </w:pPr>
          </w:p>
        </w:tc>
      </w:tr>
      <w:tr>
        <w:trPr>
          <w:trHeight w:val="256"/>
        </w:trPr>
        <w:tc>
          <w:tcPr>
            <w:tcW w:w="5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Effect of foreign exchange on cash and cash equivalents</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1,460</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(3,217)</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rPr>
              <w:t>4,677</w:t>
            </w:r>
          </w:p>
        </w:tc>
        <w:tc>
          <w:tcPr>
            <w:tcW w:w="10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(145)%</w:t>
            </w:r>
          </w:p>
        </w:tc>
        <w:tc>
          <w:tcPr>
            <w:tcW w:w="0" w:type="dxa"/>
            <w:vAlign w:val="bottom"/>
          </w:tcPr>
          <w:p>
            <w:pPr>
              <w:spacing w:after="0"/>
              <w:rPr>
                <w:sz w:val="1"/>
                <w:szCs w:val="1"/>
                <w:color w:val="auto"/>
              </w:rPr>
            </w:pPr>
          </w:p>
        </w:tc>
      </w:tr>
      <w:tr>
        <w:trPr>
          <w:trHeight w:val="242"/>
        </w:trPr>
        <w:tc>
          <w:tcPr>
            <w:tcW w:w="5160" w:type="dxa"/>
            <w:vAlign w:val="bottom"/>
          </w:tcPr>
          <w:p>
            <w:pPr>
              <w:spacing w:after="0"/>
              <w:rPr>
                <w:sz w:val="20"/>
                <w:szCs w:val="20"/>
                <w:color w:val="auto"/>
              </w:rPr>
            </w:pPr>
            <w:r>
              <w:rPr>
                <w:rFonts w:ascii="Times New Roman" w:cs="Times New Roman" w:eastAsia="Times New Roman" w:hAnsi="Times New Roman"/>
                <w:sz w:val="21"/>
                <w:szCs w:val="21"/>
                <w:color w:val="auto"/>
              </w:rPr>
              <w:t>Net increase (decrease) in cash and cash equivalents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27,839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(28,384)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56,223</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(198)%</w:t>
            </w:r>
          </w:p>
        </w:tc>
        <w:tc>
          <w:tcPr>
            <w:tcW w:w="0" w:type="dxa"/>
            <w:vAlign w:val="bottom"/>
          </w:tcPr>
          <w:p>
            <w:pPr>
              <w:spacing w:after="0"/>
              <w:rPr>
                <w:sz w:val="1"/>
                <w:szCs w:val="1"/>
                <w:color w:val="auto"/>
              </w:rPr>
            </w:pPr>
          </w:p>
        </w:tc>
      </w:tr>
      <w:tr>
        <w:trPr>
          <w:trHeight w:val="276"/>
        </w:trPr>
        <w:tc>
          <w:tcPr>
            <w:tcW w:w="5160" w:type="dxa"/>
            <w:vAlign w:val="bottom"/>
          </w:tcPr>
          <w:p>
            <w:pPr>
              <w:spacing w:after="0"/>
              <w:rPr>
                <w:sz w:val="20"/>
                <w:szCs w:val="20"/>
                <w:color w:val="auto"/>
              </w:rPr>
            </w:pPr>
            <w:r>
              <w:rPr>
                <w:rFonts w:ascii="Times New Roman" w:cs="Times New Roman" w:eastAsia="Times New Roman" w:hAnsi="Times New Roman"/>
                <w:sz w:val="21"/>
                <w:szCs w:val="21"/>
                <w:color w:val="auto"/>
              </w:rPr>
              <w:t>Cash and cash equivalents, beginning of period</w:t>
            </w: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221,666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228,340</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(6,674)</w:t>
            </w:r>
          </w:p>
        </w:tc>
        <w:tc>
          <w:tcPr>
            <w:tcW w:w="10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w:t>
            </w:r>
          </w:p>
        </w:tc>
        <w:tc>
          <w:tcPr>
            <w:tcW w:w="0" w:type="dxa"/>
            <w:vAlign w:val="bottom"/>
          </w:tcPr>
          <w:p>
            <w:pPr>
              <w:spacing w:after="0"/>
              <w:rPr>
                <w:sz w:val="1"/>
                <w:szCs w:val="1"/>
                <w:color w:val="auto"/>
              </w:rPr>
            </w:pPr>
          </w:p>
        </w:tc>
      </w:tr>
    </w:tbl>
    <w:p>
      <w:pPr>
        <w:sectPr>
          <w:pgSz w:w="11900" w:h="16900" w:orient="portrait"/>
          <w:cols w:equalWidth="0" w:num="1">
            <w:col w:w="11240"/>
          </w:cols>
          <w:pgMar w:left="340" w:top="107" w:right="319" w:bottom="0" w:gutter="0" w:footer="0" w:header="0"/>
        </w:sectPr>
      </w:pPr>
    </w:p>
    <w:bookmarkStart w:id="10" w:name="page11"/>
    <w:bookmarkEnd w:id="10"/>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r>
              <w:rPr>
                <w:rFonts w:ascii="Times New Roman" w:cs="Times New Roman" w:eastAsia="Times New Roman" w:hAnsi="Times New Roman"/>
                <w:sz w:val="21"/>
                <w:szCs w:val="21"/>
                <w:color w:val="auto"/>
              </w:rPr>
              <w:t>Cash and cash equivalents and restricted cash, end of</w:t>
            </w:r>
          </w:p>
        </w:tc>
        <w:tc>
          <w:tcPr>
            <w:tcW w:w="400" w:type="dxa"/>
            <w:vAlign w:val="bottom"/>
          </w:tcPr>
          <w:p>
            <w:pPr>
              <w:jc w:val="right"/>
              <w:ind w:right="175"/>
              <w:spacing w:after="0"/>
              <w:rPr>
                <w:sz w:val="20"/>
                <w:szCs w:val="20"/>
                <w:color w:val="auto"/>
              </w:rPr>
            </w:pPr>
            <w:r>
              <w:rPr>
                <w:rFonts w:ascii="Times New Roman" w:cs="Times New Roman" w:eastAsia="Times New Roman" w:hAnsi="Times New Roman"/>
                <w:sz w:val="21"/>
                <w:szCs w:val="21"/>
                <w:color w:val="auto"/>
                <w:w w:val="9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249,505</w:t>
            </w:r>
          </w:p>
        </w:tc>
        <w:tc>
          <w:tcPr>
            <w:tcW w:w="100" w:type="dxa"/>
            <w:vAlign w:val="bottom"/>
          </w:tcPr>
          <w:p>
            <w:pPr>
              <w:spacing w:after="0"/>
              <w:rPr>
                <w:sz w:val="21"/>
                <w:szCs w:val="21"/>
                <w:color w:val="auto"/>
              </w:rPr>
            </w:pPr>
          </w:p>
        </w:tc>
        <w:tc>
          <w:tcPr>
            <w:tcW w:w="400" w:type="dxa"/>
            <w:vAlign w:val="bottom"/>
          </w:tcPr>
          <w:p>
            <w:pPr>
              <w:jc w:val="right"/>
              <w:ind w:right="175"/>
              <w:spacing w:after="0"/>
              <w:rPr>
                <w:sz w:val="20"/>
                <w:szCs w:val="20"/>
                <w:color w:val="auto"/>
              </w:rPr>
            </w:pPr>
            <w:r>
              <w:rPr>
                <w:rFonts w:ascii="Times New Roman" w:cs="Times New Roman" w:eastAsia="Times New Roman" w:hAnsi="Times New Roman"/>
                <w:sz w:val="21"/>
                <w:szCs w:val="21"/>
                <w:color w:val="auto"/>
                <w:w w:val="9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199,956</w:t>
            </w:r>
          </w:p>
        </w:tc>
        <w:tc>
          <w:tcPr>
            <w:tcW w:w="120" w:type="dxa"/>
            <w:vAlign w:val="bottom"/>
          </w:tcPr>
          <w:p>
            <w:pPr>
              <w:spacing w:after="0"/>
              <w:rPr>
                <w:sz w:val="21"/>
                <w:szCs w:val="21"/>
                <w:color w:val="auto"/>
              </w:rPr>
            </w:pPr>
          </w:p>
        </w:tc>
        <w:tc>
          <w:tcPr>
            <w:tcW w:w="440" w:type="dxa"/>
            <w:vAlign w:val="bottom"/>
          </w:tcPr>
          <w:p>
            <w:pPr>
              <w:jc w:val="right"/>
              <w:ind w:right="215"/>
              <w:spacing w:after="0"/>
              <w:rPr>
                <w:sz w:val="20"/>
                <w:szCs w:val="20"/>
                <w:color w:val="auto"/>
              </w:rPr>
            </w:pPr>
            <w:r>
              <w:rPr>
                <w:rFonts w:ascii="Times New Roman" w:cs="Times New Roman" w:eastAsia="Times New Roman" w:hAnsi="Times New Roman"/>
                <w:sz w:val="21"/>
                <w:szCs w:val="21"/>
                <w:color w:val="auto"/>
                <w:w w:val="94"/>
              </w:rPr>
              <w:t>$</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49,549</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251"/>
        </w:trPr>
        <w:tc>
          <w:tcPr>
            <w:tcW w:w="5160" w:type="dxa"/>
            <w:vAlign w:val="bottom"/>
          </w:tcPr>
          <w:p>
            <w:pPr>
              <w:spacing w:after="0"/>
              <w:rPr>
                <w:sz w:val="20"/>
                <w:szCs w:val="20"/>
                <w:color w:val="auto"/>
              </w:rPr>
            </w:pPr>
            <w:r>
              <w:rPr>
                <w:rFonts w:ascii="Times New Roman" w:cs="Times New Roman" w:eastAsia="Times New Roman" w:hAnsi="Times New Roman"/>
                <w:sz w:val="21"/>
                <w:szCs w:val="21"/>
                <w:color w:val="auto"/>
              </w:rPr>
              <w:t>period</w:t>
            </w: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0"/>
        </w:trPr>
        <w:tc>
          <w:tcPr>
            <w:tcW w:w="5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center"/>
        <w:ind w:left="440" w:right="40"/>
        <w:spacing w:after="0" w:line="268" w:lineRule="auto"/>
        <w:rPr>
          <w:sz w:val="20"/>
          <w:szCs w:val="20"/>
          <w:color w:val="auto"/>
        </w:rPr>
      </w:pPr>
      <w:r>
        <w:rPr>
          <w:rFonts w:ascii="Times New Roman" w:cs="Times New Roman" w:eastAsia="Times New Roman" w:hAnsi="Times New Roman"/>
          <w:sz w:val="21"/>
          <w:szCs w:val="21"/>
          <w:color w:val="auto"/>
        </w:rPr>
        <w:t>Within the consolidated statements of cash flows, cash and cash equivalents includes $44,885 of restricted cash as of February 28, 2026, and $nil as of February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324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Net Revenue by Operating Segment</w:t>
            </w:r>
          </w:p>
        </w:tc>
        <w:tc>
          <w:tcPr>
            <w:tcW w:w="120" w:type="dxa"/>
            <w:vAlign w:val="bottom"/>
          </w:tcPr>
          <w:p>
            <w:pPr>
              <w:spacing w:after="0"/>
              <w:rPr>
                <w:sz w:val="24"/>
                <w:szCs w:val="24"/>
                <w:color w:val="auto"/>
              </w:rPr>
            </w:pPr>
          </w:p>
        </w:tc>
        <w:tc>
          <w:tcPr>
            <w:tcW w:w="186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21"/>
                <w:szCs w:val="21"/>
                <w:b w:val="1"/>
                <w:bCs w:val="1"/>
                <w:color w:val="auto"/>
                <w:w w:val="98"/>
              </w:rPr>
              <w:t>For the three</w:t>
            </w:r>
          </w:p>
        </w:tc>
        <w:tc>
          <w:tcPr>
            <w:tcW w:w="120" w:type="dxa"/>
            <w:vAlign w:val="bottom"/>
          </w:tcPr>
          <w:p>
            <w:pPr>
              <w:spacing w:after="0"/>
              <w:rPr>
                <w:sz w:val="24"/>
                <w:szCs w:val="24"/>
                <w:color w:val="auto"/>
              </w:rPr>
            </w:pPr>
          </w:p>
        </w:tc>
        <w:tc>
          <w:tcPr>
            <w:tcW w:w="188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For the three</w:t>
            </w:r>
          </w:p>
        </w:tc>
        <w:tc>
          <w:tcPr>
            <w:tcW w:w="120" w:type="dxa"/>
            <w:vAlign w:val="bottom"/>
          </w:tcPr>
          <w:p>
            <w:pPr>
              <w:spacing w:after="0"/>
              <w:rPr>
                <w:sz w:val="24"/>
                <w:szCs w:val="24"/>
                <w:color w:val="auto"/>
              </w:rPr>
            </w:pPr>
          </w:p>
        </w:tc>
        <w:tc>
          <w:tcPr>
            <w:tcW w:w="188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For the nine</w:t>
            </w:r>
          </w:p>
        </w:tc>
        <w:tc>
          <w:tcPr>
            <w:tcW w:w="120" w:type="dxa"/>
            <w:vAlign w:val="bottom"/>
          </w:tcPr>
          <w:p>
            <w:pPr>
              <w:spacing w:after="0"/>
              <w:rPr>
                <w:sz w:val="24"/>
                <w:szCs w:val="24"/>
                <w:color w:val="auto"/>
              </w:rPr>
            </w:pPr>
          </w:p>
        </w:tc>
        <w:tc>
          <w:tcPr>
            <w:tcW w:w="1780" w:type="dxa"/>
            <w:vAlign w:val="bottom"/>
            <w:gridSpan w:val="3"/>
            <w:vMerge w:val="restart"/>
          </w:tcPr>
          <w:p>
            <w:pPr>
              <w:jc w:val="center"/>
              <w:ind w:right="15"/>
              <w:spacing w:after="0"/>
              <w:rPr>
                <w:sz w:val="20"/>
                <w:szCs w:val="20"/>
                <w:color w:val="auto"/>
              </w:rPr>
            </w:pPr>
            <w:r>
              <w:rPr>
                <w:rFonts w:ascii="Times New Roman" w:cs="Times New Roman" w:eastAsia="Times New Roman" w:hAnsi="Times New Roman"/>
                <w:sz w:val="21"/>
                <w:szCs w:val="21"/>
                <w:b w:val="1"/>
                <w:bCs w:val="1"/>
                <w:color w:val="auto"/>
              </w:rPr>
              <w:t>For the nine</w:t>
            </w:r>
          </w:p>
        </w:tc>
        <w:tc>
          <w:tcPr>
            <w:tcW w:w="0" w:type="dxa"/>
            <w:vAlign w:val="bottom"/>
          </w:tcPr>
          <w:p>
            <w:pPr>
              <w:spacing w:after="0"/>
              <w:rPr>
                <w:sz w:val="1"/>
                <w:szCs w:val="1"/>
                <w:color w:val="auto"/>
              </w:rPr>
            </w:pPr>
          </w:p>
        </w:tc>
      </w:tr>
      <w:tr>
        <w:trPr>
          <w:trHeight w:val="220"/>
        </w:trPr>
        <w:tc>
          <w:tcPr>
            <w:tcW w:w="3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60" w:type="dxa"/>
            <w:vAlign w:val="bottom"/>
            <w:gridSpan w:val="4"/>
          </w:tcPr>
          <w:p>
            <w:pPr>
              <w:jc w:val="center"/>
              <w:ind w:right="240"/>
              <w:spacing w:after="0"/>
              <w:rPr>
                <w:sz w:val="20"/>
                <w:szCs w:val="20"/>
                <w:color w:val="auto"/>
              </w:rPr>
            </w:pPr>
            <w:r>
              <w:rPr>
                <w:rFonts w:ascii="Times New Roman" w:cs="Times New Roman" w:eastAsia="Times New Roman" w:hAnsi="Times New Roman"/>
                <w:sz w:val="21"/>
                <w:szCs w:val="21"/>
                <w:b w:val="1"/>
                <w:bCs w:val="1"/>
                <w:color w:val="auto"/>
              </w:rPr>
              <w:t>months ended</w:t>
            </w:r>
          </w:p>
        </w:tc>
        <w:tc>
          <w:tcPr>
            <w:tcW w:w="120" w:type="dxa"/>
            <w:vAlign w:val="bottom"/>
          </w:tcPr>
          <w:p>
            <w:pPr>
              <w:spacing w:after="0"/>
              <w:rPr>
                <w:sz w:val="22"/>
                <w:szCs w:val="22"/>
                <w:color w:val="auto"/>
              </w:rPr>
            </w:pPr>
          </w:p>
        </w:tc>
        <w:tc>
          <w:tcPr>
            <w:tcW w:w="1880" w:type="dxa"/>
            <w:vAlign w:val="bottom"/>
            <w:gridSpan w:val="4"/>
          </w:tcPr>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months ended</w:t>
            </w:r>
          </w:p>
        </w:tc>
        <w:tc>
          <w:tcPr>
            <w:tcW w:w="120" w:type="dxa"/>
            <w:vAlign w:val="bottom"/>
          </w:tcPr>
          <w:p>
            <w:pPr>
              <w:spacing w:after="0"/>
              <w:rPr>
                <w:sz w:val="22"/>
                <w:szCs w:val="22"/>
                <w:color w:val="auto"/>
              </w:rPr>
            </w:pPr>
          </w:p>
        </w:tc>
        <w:tc>
          <w:tcPr>
            <w:tcW w:w="1880" w:type="dxa"/>
            <w:vAlign w:val="bottom"/>
            <w:gridSpan w:val="4"/>
          </w:tcPr>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months ended</w:t>
            </w:r>
          </w:p>
        </w:tc>
        <w:tc>
          <w:tcPr>
            <w:tcW w:w="120" w:type="dxa"/>
            <w:vAlign w:val="bottom"/>
          </w:tcPr>
          <w:p>
            <w:pPr>
              <w:spacing w:after="0"/>
              <w:rPr>
                <w:sz w:val="22"/>
                <w:szCs w:val="22"/>
                <w:color w:val="auto"/>
              </w:rPr>
            </w:pPr>
          </w:p>
        </w:tc>
        <w:tc>
          <w:tcPr>
            <w:tcW w:w="1780" w:type="dxa"/>
            <w:vAlign w:val="bottom"/>
            <w:gridSpan w:val="3"/>
          </w:tcPr>
          <w:p>
            <w:pPr>
              <w:jc w:val="center"/>
              <w:ind w:right="15"/>
              <w:spacing w:after="0"/>
              <w:rPr>
                <w:sz w:val="20"/>
                <w:szCs w:val="20"/>
                <w:color w:val="auto"/>
              </w:rPr>
            </w:pPr>
            <w:r>
              <w:rPr>
                <w:rFonts w:ascii="Times New Roman" w:cs="Times New Roman" w:eastAsia="Times New Roman" w:hAnsi="Times New Roman"/>
                <w:sz w:val="21"/>
                <w:szCs w:val="21"/>
                <w:b w:val="1"/>
                <w:bCs w:val="1"/>
                <w:color w:val="auto"/>
              </w:rPr>
              <w:t>months ended</w:t>
            </w: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w w:val="95"/>
              </w:rPr>
              <w:t>% of</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120"/>
              <w:spacing w:after="0" w:line="237" w:lineRule="exact"/>
              <w:rPr>
                <w:sz w:val="20"/>
                <w:szCs w:val="20"/>
                <w:color w:val="auto"/>
              </w:rPr>
            </w:pPr>
            <w:r>
              <w:rPr>
                <w:rFonts w:ascii="Times New Roman" w:cs="Times New Roman" w:eastAsia="Times New Roman" w:hAnsi="Times New Roman"/>
                <w:sz w:val="21"/>
                <w:szCs w:val="21"/>
                <w:b w:val="1"/>
                <w:bCs w:val="1"/>
                <w:color w:val="auto"/>
              </w:rPr>
              <w:t>% of</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120"/>
              <w:spacing w:after="0" w:line="237" w:lineRule="exact"/>
              <w:rPr>
                <w:sz w:val="20"/>
                <w:szCs w:val="20"/>
                <w:color w:val="auto"/>
              </w:rPr>
            </w:pPr>
            <w:r>
              <w:rPr>
                <w:rFonts w:ascii="Times New Roman" w:cs="Times New Roman" w:eastAsia="Times New Roman" w:hAnsi="Times New Roman"/>
                <w:sz w:val="21"/>
                <w:szCs w:val="21"/>
                <w:b w:val="1"/>
                <w:bCs w:val="1"/>
                <w:color w:val="auto"/>
              </w:rPr>
              <w:t>% of</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spacing w:after="0" w:line="237" w:lineRule="exact"/>
              <w:rPr>
                <w:sz w:val="20"/>
                <w:szCs w:val="20"/>
                <w:color w:val="auto"/>
              </w:rPr>
            </w:pPr>
            <w:r>
              <w:rPr>
                <w:rFonts w:ascii="Times New Roman" w:cs="Times New Roman" w:eastAsia="Times New Roman" w:hAnsi="Times New Roman"/>
                <w:sz w:val="21"/>
                <w:szCs w:val="21"/>
                <w:b w:val="1"/>
                <w:bCs w:val="1"/>
                <w:color w:val="auto"/>
              </w:rPr>
              <w:t>% of</w:t>
            </w: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1100" w:type="dxa"/>
            <w:vAlign w:val="bottom"/>
            <w:gridSpan w:val="3"/>
          </w:tcPr>
          <w:p>
            <w:pPr>
              <w:jc w:val="center"/>
              <w:ind w:right="120"/>
              <w:spacing w:after="0" w:line="237" w:lineRule="exact"/>
              <w:rPr>
                <w:sz w:val="20"/>
                <w:szCs w:val="20"/>
                <w:color w:val="auto"/>
              </w:rPr>
            </w:pPr>
            <w:r>
              <w:rPr>
                <w:rFonts w:ascii="Times New Roman" w:cs="Times New Roman" w:eastAsia="Times New Roman" w:hAnsi="Times New Roman"/>
                <w:sz w:val="21"/>
                <w:szCs w:val="21"/>
                <w:b w:val="1"/>
                <w:bCs w:val="1"/>
                <w:color w:val="auto"/>
              </w:rPr>
              <w:t>February</w:t>
            </w:r>
          </w:p>
        </w:tc>
        <w:tc>
          <w:tcPr>
            <w:tcW w:w="880" w:type="dxa"/>
            <w:vAlign w:val="bottom"/>
            <w:gridSpan w:val="2"/>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w w:val="96"/>
              </w:rPr>
              <w:t>Total</w:t>
            </w:r>
          </w:p>
        </w:tc>
        <w:tc>
          <w:tcPr>
            <w:tcW w:w="1120" w:type="dxa"/>
            <w:vAlign w:val="bottom"/>
            <w:gridSpan w:val="3"/>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rPr>
              <w:t>February</w:t>
            </w:r>
          </w:p>
        </w:tc>
        <w:tc>
          <w:tcPr>
            <w:tcW w:w="880" w:type="dxa"/>
            <w:vAlign w:val="bottom"/>
            <w:gridSpan w:val="2"/>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w w:val="96"/>
              </w:rPr>
              <w:t>Total</w:t>
            </w:r>
          </w:p>
        </w:tc>
        <w:tc>
          <w:tcPr>
            <w:tcW w:w="1120" w:type="dxa"/>
            <w:vAlign w:val="bottom"/>
            <w:gridSpan w:val="3"/>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rPr>
              <w:t>February</w:t>
            </w:r>
          </w:p>
        </w:tc>
        <w:tc>
          <w:tcPr>
            <w:tcW w:w="880" w:type="dxa"/>
            <w:vAlign w:val="bottom"/>
            <w:gridSpan w:val="2"/>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w w:val="96"/>
              </w:rPr>
              <w:t>Total</w:t>
            </w:r>
          </w:p>
        </w:tc>
        <w:tc>
          <w:tcPr>
            <w:tcW w:w="1100" w:type="dxa"/>
            <w:vAlign w:val="bottom"/>
            <w:gridSpan w:val="3"/>
          </w:tcPr>
          <w:p>
            <w:pPr>
              <w:jc w:val="center"/>
              <w:ind w:right="80"/>
              <w:spacing w:after="0" w:line="237" w:lineRule="exact"/>
              <w:rPr>
                <w:sz w:val="20"/>
                <w:szCs w:val="20"/>
                <w:color w:val="auto"/>
              </w:rPr>
            </w:pPr>
            <w:r>
              <w:rPr>
                <w:rFonts w:ascii="Times New Roman" w:cs="Times New Roman" w:eastAsia="Times New Roman" w:hAnsi="Times New Roman"/>
                <w:sz w:val="21"/>
                <w:szCs w:val="21"/>
                <w:b w:val="1"/>
                <w:bCs w:val="1"/>
                <w:color w:val="auto"/>
              </w:rPr>
              <w:t>February</w:t>
            </w:r>
          </w:p>
        </w:tc>
        <w:tc>
          <w:tcPr>
            <w:tcW w:w="800" w:type="dxa"/>
            <w:vAlign w:val="bottom"/>
          </w:tcPr>
          <w:p>
            <w:pPr>
              <w:jc w:val="center"/>
              <w:spacing w:after="0" w:line="237" w:lineRule="exact"/>
              <w:rPr>
                <w:sz w:val="20"/>
                <w:szCs w:val="20"/>
                <w:color w:val="auto"/>
              </w:rPr>
            </w:pPr>
            <w:r>
              <w:rPr>
                <w:rFonts w:ascii="Times New Roman" w:cs="Times New Roman" w:eastAsia="Times New Roman" w:hAnsi="Times New Roman"/>
                <w:sz w:val="21"/>
                <w:szCs w:val="21"/>
                <w:b w:val="1"/>
                <w:bCs w:val="1"/>
                <w:color w:val="auto"/>
                <w:w w:val="96"/>
              </w:rPr>
              <w:t>Total</w:t>
            </w:r>
          </w:p>
        </w:tc>
        <w:tc>
          <w:tcPr>
            <w:tcW w:w="0" w:type="dxa"/>
            <w:vAlign w:val="bottom"/>
          </w:tcPr>
          <w:p>
            <w:pPr>
              <w:spacing w:after="0"/>
              <w:rPr>
                <w:sz w:val="1"/>
                <w:szCs w:val="1"/>
                <w:color w:val="auto"/>
              </w:rPr>
            </w:pPr>
          </w:p>
        </w:tc>
      </w:tr>
      <w:tr>
        <w:trPr>
          <w:trHeight w:val="279"/>
        </w:trPr>
        <w:tc>
          <w:tcPr>
            <w:tcW w:w="324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(In thousands of U.S. dollars)</w:t>
            </w:r>
          </w:p>
        </w:tc>
        <w:tc>
          <w:tcPr>
            <w:tcW w:w="120" w:type="dxa"/>
            <w:vAlign w:val="bottom"/>
          </w:tcPr>
          <w:p>
            <w:pPr>
              <w:spacing w:after="0"/>
              <w:rPr>
                <w:sz w:val="24"/>
                <w:szCs w:val="24"/>
                <w:color w:val="auto"/>
              </w:rPr>
            </w:pPr>
          </w:p>
        </w:tc>
        <w:tc>
          <w:tcPr>
            <w:tcW w:w="880" w:type="dxa"/>
            <w:vAlign w:val="bottom"/>
          </w:tcPr>
          <w:p>
            <w:pPr>
              <w:jc w:val="center"/>
              <w:ind w:right="35"/>
              <w:spacing w:after="0"/>
              <w:rPr>
                <w:sz w:val="20"/>
                <w:szCs w:val="20"/>
                <w:color w:val="auto"/>
              </w:rPr>
            </w:pPr>
            <w:r>
              <w:rPr>
                <w:rFonts w:ascii="Times New Roman" w:cs="Times New Roman" w:eastAsia="Times New Roman" w:hAnsi="Times New Roman"/>
                <w:sz w:val="21"/>
                <w:szCs w:val="21"/>
                <w:b w:val="1"/>
                <w:bCs w:val="1"/>
                <w:color w:val="auto"/>
              </w:rPr>
              <w:t>28, 2026</w:t>
            </w:r>
          </w:p>
        </w:tc>
        <w:tc>
          <w:tcPr>
            <w:tcW w:w="10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Revenue</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rPr>
              <w:t>28, 2025</w:t>
            </w:r>
          </w:p>
        </w:tc>
        <w:tc>
          <w:tcPr>
            <w:tcW w:w="12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Revenue</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rPr>
              <w:t>28, 2026</w:t>
            </w:r>
          </w:p>
        </w:tc>
        <w:tc>
          <w:tcPr>
            <w:tcW w:w="12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Revenue</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rPr>
              <w:t>28, 2025</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rPr>
              <w:t>Revenue</w:t>
            </w:r>
          </w:p>
        </w:tc>
        <w:tc>
          <w:tcPr>
            <w:tcW w:w="0" w:type="dxa"/>
            <w:vAlign w:val="bottom"/>
          </w:tcPr>
          <w:p>
            <w:pPr>
              <w:spacing w:after="0"/>
              <w:rPr>
                <w:sz w:val="1"/>
                <w:szCs w:val="1"/>
                <w:color w:val="auto"/>
              </w:rPr>
            </w:pPr>
          </w:p>
        </w:tc>
      </w:tr>
      <w:tr>
        <w:trPr>
          <w:trHeight w:val="244"/>
        </w:trPr>
        <w:tc>
          <w:tcPr>
            <w:tcW w:w="3240" w:type="dxa"/>
            <w:vAlign w:val="bottom"/>
          </w:tcPr>
          <w:p>
            <w:pPr>
              <w:spacing w:after="0"/>
              <w:rPr>
                <w:sz w:val="20"/>
                <w:szCs w:val="20"/>
                <w:color w:val="auto"/>
              </w:rPr>
            </w:pPr>
            <w:r>
              <w:rPr>
                <w:rFonts w:ascii="Times New Roman" w:cs="Times New Roman" w:eastAsia="Times New Roman" w:hAnsi="Times New Roman"/>
                <w:sz w:val="21"/>
                <w:szCs w:val="21"/>
                <w:color w:val="auto"/>
              </w:rPr>
              <w:t>Beverage business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8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rPr>
              <w:t>42,558</w:t>
            </w:r>
          </w:p>
        </w:tc>
        <w:tc>
          <w:tcPr>
            <w:tcW w:w="100" w:type="dxa"/>
            <w:vAlign w:val="bottom"/>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21%</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55,921</w:t>
            </w:r>
          </w:p>
        </w:tc>
        <w:tc>
          <w:tcPr>
            <w:tcW w:w="120" w:type="dxa"/>
            <w:vAlign w:val="bottom"/>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30%</w:t>
            </w:r>
          </w:p>
        </w:tc>
        <w:tc>
          <w:tcPr>
            <w:tcW w:w="100" w:type="dxa"/>
            <w:vAlign w:val="bottom"/>
          </w:tcPr>
          <w:p>
            <w:pPr>
              <w:spacing w:after="0"/>
              <w:rPr>
                <w:sz w:val="21"/>
                <w:szCs w:val="21"/>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1"/>
                <w:szCs w:val="21"/>
                <w:color w:val="auto"/>
              </w:rPr>
              <w:t>$ 148,380</w:t>
            </w:r>
          </w:p>
        </w:tc>
        <w:tc>
          <w:tcPr>
            <w:tcW w:w="120" w:type="dxa"/>
            <w:vAlign w:val="bottom"/>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24%</w:t>
            </w:r>
          </w:p>
        </w:tc>
        <w:tc>
          <w:tcPr>
            <w:tcW w:w="100" w:type="dxa"/>
            <w:vAlign w:val="bottom"/>
          </w:tcPr>
          <w:p>
            <w:pPr>
              <w:spacing w:after="0"/>
              <w:rPr>
                <w:sz w:val="21"/>
                <w:szCs w:val="21"/>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1"/>
                <w:szCs w:val="21"/>
                <w:color w:val="auto"/>
              </w:rPr>
              <w:t>$ 174,974</w:t>
            </w:r>
          </w:p>
        </w:tc>
        <w:tc>
          <w:tcPr>
            <w:tcW w:w="100" w:type="dxa"/>
            <w:vAlign w:val="bottom"/>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29%</w:t>
            </w:r>
          </w:p>
        </w:tc>
        <w:tc>
          <w:tcPr>
            <w:tcW w:w="0" w:type="dxa"/>
            <w:vAlign w:val="bottom"/>
          </w:tcPr>
          <w:p>
            <w:pPr>
              <w:spacing w:after="0"/>
              <w:rPr>
                <w:sz w:val="1"/>
                <w:szCs w:val="1"/>
                <w:color w:val="auto"/>
              </w:rPr>
            </w:pPr>
          </w:p>
        </w:tc>
      </w:tr>
      <w:tr>
        <w:trPr>
          <w:trHeight w:val="263"/>
        </w:trPr>
        <w:tc>
          <w:tcPr>
            <w:tcW w:w="3240" w:type="dxa"/>
            <w:vAlign w:val="bottom"/>
          </w:tcPr>
          <w:p>
            <w:pPr>
              <w:spacing w:after="0"/>
              <w:rPr>
                <w:sz w:val="20"/>
                <w:szCs w:val="20"/>
                <w:color w:val="auto"/>
              </w:rPr>
            </w:pPr>
            <w:r>
              <w:rPr>
                <w:rFonts w:ascii="Times New Roman" w:cs="Times New Roman" w:eastAsia="Times New Roman" w:hAnsi="Times New Roman"/>
                <w:sz w:val="21"/>
                <w:szCs w:val="21"/>
                <w:color w:val="auto"/>
              </w:rPr>
              <w:t>Cannabis business</w:t>
            </w:r>
          </w:p>
        </w:tc>
        <w:tc>
          <w:tcPr>
            <w:tcW w:w="120" w:type="dxa"/>
            <w:vAlign w:val="bottom"/>
          </w:tcPr>
          <w:p>
            <w:pPr>
              <w:spacing w:after="0"/>
              <w:rPr>
                <w:sz w:val="22"/>
                <w:szCs w:val="22"/>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64,828</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54,274</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196,871</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181,175</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c>
          <w:tcPr>
            <w:tcW w:w="0" w:type="dxa"/>
            <w:vAlign w:val="bottom"/>
          </w:tcPr>
          <w:p>
            <w:pPr>
              <w:spacing w:after="0"/>
              <w:rPr>
                <w:sz w:val="1"/>
                <w:szCs w:val="1"/>
                <w:color w:val="auto"/>
              </w:rPr>
            </w:pPr>
          </w:p>
        </w:tc>
      </w:tr>
      <w:tr>
        <w:trPr>
          <w:trHeight w:val="263"/>
        </w:trPr>
        <w:tc>
          <w:tcPr>
            <w:tcW w:w="3240" w:type="dxa"/>
            <w:vAlign w:val="bottom"/>
          </w:tcPr>
          <w:p>
            <w:pPr>
              <w:spacing w:after="0"/>
              <w:rPr>
                <w:sz w:val="20"/>
                <w:szCs w:val="20"/>
                <w:color w:val="auto"/>
              </w:rPr>
            </w:pPr>
            <w:r>
              <w:rPr>
                <w:rFonts w:ascii="Times New Roman" w:cs="Times New Roman" w:eastAsia="Times New Roman" w:hAnsi="Times New Roman"/>
                <w:sz w:val="21"/>
                <w:szCs w:val="21"/>
                <w:color w:val="auto"/>
              </w:rPr>
              <w:t>Distribution business</w:t>
            </w:r>
          </w:p>
        </w:tc>
        <w:tc>
          <w:tcPr>
            <w:tcW w:w="120" w:type="dxa"/>
            <w:vAlign w:val="bottom"/>
          </w:tcPr>
          <w:p>
            <w:pPr>
              <w:spacing w:after="0"/>
              <w:rPr>
                <w:sz w:val="22"/>
                <w:szCs w:val="22"/>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82,963</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61,493</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242,286</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197,175</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c>
          <w:tcPr>
            <w:tcW w:w="0" w:type="dxa"/>
            <w:vAlign w:val="bottom"/>
          </w:tcPr>
          <w:p>
            <w:pPr>
              <w:spacing w:after="0"/>
              <w:rPr>
                <w:sz w:val="1"/>
                <w:szCs w:val="1"/>
                <w:color w:val="auto"/>
              </w:rPr>
            </w:pPr>
          </w:p>
        </w:tc>
      </w:tr>
      <w:tr>
        <w:trPr>
          <w:trHeight w:val="276"/>
        </w:trPr>
        <w:tc>
          <w:tcPr>
            <w:tcW w:w="3240" w:type="dxa"/>
            <w:vAlign w:val="bottom"/>
          </w:tcPr>
          <w:p>
            <w:pPr>
              <w:spacing w:after="0"/>
              <w:rPr>
                <w:sz w:val="20"/>
                <w:szCs w:val="20"/>
                <w:color w:val="auto"/>
              </w:rPr>
            </w:pPr>
            <w:r>
              <w:rPr>
                <w:rFonts w:ascii="Times New Roman" w:cs="Times New Roman" w:eastAsia="Times New Roman" w:hAnsi="Times New Roman"/>
                <w:sz w:val="21"/>
                <w:szCs w:val="21"/>
                <w:color w:val="auto"/>
              </w:rPr>
              <w:t>Wellness business</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rPr>
              <w:t>16,383</w:t>
            </w:r>
          </w:p>
        </w:tc>
        <w:tc>
          <w:tcPr>
            <w:tcW w:w="10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14,092</w:t>
            </w:r>
          </w:p>
        </w:tc>
        <w:tc>
          <w:tcPr>
            <w:tcW w:w="12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46,203</w:t>
            </w:r>
          </w:p>
        </w:tc>
        <w:tc>
          <w:tcPr>
            <w:tcW w:w="12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43,450</w:t>
            </w: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Times New Roman" w:cs="Times New Roman" w:eastAsia="Times New Roman" w:hAnsi="Times New Roman"/>
                <w:sz w:val="21"/>
                <w:szCs w:val="21"/>
                <w:color w:val="auto"/>
              </w:rPr>
              <w:t>Total net revenue</w:t>
            </w:r>
          </w:p>
        </w:tc>
        <w:tc>
          <w:tcPr>
            <w:tcW w:w="100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21"/>
                <w:szCs w:val="21"/>
                <w:color w:val="auto"/>
              </w:rPr>
              <w:t>$ 206,732</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00" w:type="dxa"/>
            <w:vAlign w:val="bottom"/>
          </w:tcPr>
          <w:p>
            <w:pPr>
              <w:spacing w:after="0"/>
              <w:rPr>
                <w:sz w:val="22"/>
                <w:szCs w:val="22"/>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1"/>
                <w:szCs w:val="21"/>
                <w:color w:val="auto"/>
              </w:rPr>
              <w:t>$ 185,780</w:t>
            </w:r>
          </w:p>
        </w:tc>
        <w:tc>
          <w:tcPr>
            <w:tcW w:w="12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00" w:type="dxa"/>
            <w:vAlign w:val="bottom"/>
          </w:tcPr>
          <w:p>
            <w:pPr>
              <w:spacing w:after="0"/>
              <w:rPr>
                <w:sz w:val="22"/>
                <w:szCs w:val="22"/>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1"/>
                <w:szCs w:val="21"/>
                <w:color w:val="auto"/>
              </w:rPr>
              <w:t>$ 633,740</w:t>
            </w:r>
          </w:p>
        </w:tc>
        <w:tc>
          <w:tcPr>
            <w:tcW w:w="12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00" w:type="dxa"/>
            <w:vAlign w:val="bottom"/>
          </w:tcPr>
          <w:p>
            <w:pPr>
              <w:spacing w:after="0"/>
              <w:rPr>
                <w:sz w:val="22"/>
                <w:szCs w:val="22"/>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1"/>
                <w:szCs w:val="21"/>
                <w:color w:val="auto"/>
              </w:rPr>
              <w:t>$ 596,774</w:t>
            </w:r>
          </w:p>
        </w:tc>
        <w:tc>
          <w:tcPr>
            <w:tcW w:w="10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5220" w:type="dxa"/>
            <w:vAlign w:val="bottom"/>
            <w:gridSpan w:val="6"/>
          </w:tcPr>
          <w:p>
            <w:pPr>
              <w:spacing w:after="0"/>
              <w:rPr>
                <w:sz w:val="20"/>
                <w:szCs w:val="20"/>
                <w:color w:val="auto"/>
              </w:rPr>
            </w:pPr>
            <w:r>
              <w:rPr>
                <w:rFonts w:ascii="Times New Roman" w:cs="Times New Roman" w:eastAsia="Times New Roman" w:hAnsi="Times New Roman"/>
                <w:sz w:val="21"/>
                <w:szCs w:val="21"/>
                <w:b w:val="1"/>
                <w:bCs w:val="1"/>
                <w:color w:val="auto"/>
                <w:w w:val="99"/>
              </w:rPr>
              <w:t>Net Revenue by Operating Segment in Constant Currency</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4"/>
          </w:tcPr>
          <w:p>
            <w:pPr>
              <w:jc w:val="center"/>
              <w:ind w:right="220"/>
              <w:spacing w:after="0" w:line="237" w:lineRule="exact"/>
              <w:rPr>
                <w:sz w:val="20"/>
                <w:szCs w:val="20"/>
                <w:color w:val="auto"/>
              </w:rPr>
            </w:pPr>
            <w:r>
              <w:rPr>
                <w:rFonts w:ascii="Times New Roman" w:cs="Times New Roman" w:eastAsia="Times New Roman" w:hAnsi="Times New Roman"/>
                <w:sz w:val="21"/>
                <w:szCs w:val="21"/>
                <w:b w:val="1"/>
                <w:bCs w:val="1"/>
                <w:color w:val="auto"/>
                <w:w w:val="98"/>
              </w:rPr>
              <w:t>For the three</w:t>
            </w:r>
          </w:p>
        </w:tc>
        <w:tc>
          <w:tcPr>
            <w:tcW w:w="120" w:type="dxa"/>
            <w:vAlign w:val="bottom"/>
          </w:tcPr>
          <w:p>
            <w:pPr>
              <w:spacing w:after="0"/>
              <w:rPr>
                <w:sz w:val="20"/>
                <w:szCs w:val="20"/>
                <w:color w:val="auto"/>
              </w:rPr>
            </w:pPr>
          </w:p>
        </w:tc>
        <w:tc>
          <w:tcPr>
            <w:tcW w:w="1880" w:type="dxa"/>
            <w:vAlign w:val="bottom"/>
            <w:gridSpan w:val="4"/>
          </w:tcPr>
          <w:p>
            <w:pPr>
              <w:jc w:val="center"/>
              <w:ind w:right="220"/>
              <w:spacing w:after="0" w:line="237" w:lineRule="exact"/>
              <w:rPr>
                <w:sz w:val="20"/>
                <w:szCs w:val="20"/>
                <w:color w:val="auto"/>
              </w:rPr>
            </w:pPr>
            <w:r>
              <w:rPr>
                <w:rFonts w:ascii="Times New Roman" w:cs="Times New Roman" w:eastAsia="Times New Roman" w:hAnsi="Times New Roman"/>
                <w:sz w:val="21"/>
                <w:szCs w:val="21"/>
                <w:b w:val="1"/>
                <w:bCs w:val="1"/>
                <w:color w:val="auto"/>
              </w:rPr>
              <w:t>For the three</w:t>
            </w:r>
          </w:p>
        </w:tc>
        <w:tc>
          <w:tcPr>
            <w:tcW w:w="120" w:type="dxa"/>
            <w:vAlign w:val="bottom"/>
          </w:tcPr>
          <w:p>
            <w:pPr>
              <w:spacing w:after="0"/>
              <w:rPr>
                <w:sz w:val="20"/>
                <w:szCs w:val="20"/>
                <w:color w:val="auto"/>
              </w:rPr>
            </w:pPr>
          </w:p>
        </w:tc>
        <w:tc>
          <w:tcPr>
            <w:tcW w:w="1880" w:type="dxa"/>
            <w:vAlign w:val="bottom"/>
            <w:gridSpan w:val="4"/>
          </w:tcPr>
          <w:p>
            <w:pPr>
              <w:jc w:val="center"/>
              <w:ind w:right="220"/>
              <w:spacing w:after="0" w:line="237" w:lineRule="exact"/>
              <w:rPr>
                <w:sz w:val="20"/>
                <w:szCs w:val="20"/>
                <w:color w:val="auto"/>
              </w:rPr>
            </w:pPr>
            <w:r>
              <w:rPr>
                <w:rFonts w:ascii="Times New Roman" w:cs="Times New Roman" w:eastAsia="Times New Roman" w:hAnsi="Times New Roman"/>
                <w:sz w:val="21"/>
                <w:szCs w:val="21"/>
                <w:b w:val="1"/>
                <w:bCs w:val="1"/>
                <w:color w:val="auto"/>
              </w:rPr>
              <w:t>For the nine</w:t>
            </w:r>
          </w:p>
        </w:tc>
        <w:tc>
          <w:tcPr>
            <w:tcW w:w="120" w:type="dxa"/>
            <w:vAlign w:val="bottom"/>
          </w:tcPr>
          <w:p>
            <w:pPr>
              <w:spacing w:after="0"/>
              <w:rPr>
                <w:sz w:val="20"/>
                <w:szCs w:val="20"/>
                <w:color w:val="auto"/>
              </w:rPr>
            </w:pPr>
          </w:p>
        </w:tc>
        <w:tc>
          <w:tcPr>
            <w:tcW w:w="1780" w:type="dxa"/>
            <w:vAlign w:val="bottom"/>
            <w:gridSpan w:val="3"/>
          </w:tcPr>
          <w:p>
            <w:pPr>
              <w:jc w:val="center"/>
              <w:ind w:right="15"/>
              <w:spacing w:after="0" w:line="237" w:lineRule="exact"/>
              <w:rPr>
                <w:sz w:val="20"/>
                <w:szCs w:val="20"/>
                <w:color w:val="auto"/>
              </w:rPr>
            </w:pPr>
            <w:r>
              <w:rPr>
                <w:rFonts w:ascii="Times New Roman" w:cs="Times New Roman" w:eastAsia="Times New Roman" w:hAnsi="Times New Roman"/>
                <w:sz w:val="21"/>
                <w:szCs w:val="21"/>
                <w:b w:val="1"/>
                <w:bCs w:val="1"/>
                <w:color w:val="auto"/>
              </w:rPr>
              <w:t>For the nine</w:t>
            </w:r>
          </w:p>
        </w:tc>
        <w:tc>
          <w:tcPr>
            <w:tcW w:w="0" w:type="dxa"/>
            <w:vAlign w:val="bottom"/>
          </w:tcPr>
          <w:p>
            <w:pPr>
              <w:spacing w:after="0"/>
              <w:rPr>
                <w:sz w:val="1"/>
                <w:szCs w:val="1"/>
                <w:color w:val="auto"/>
              </w:rPr>
            </w:pPr>
          </w:p>
        </w:tc>
      </w:tr>
      <w:tr>
        <w:trPr>
          <w:trHeight w:val="263"/>
        </w:trPr>
        <w:tc>
          <w:tcPr>
            <w:tcW w:w="3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60" w:type="dxa"/>
            <w:vAlign w:val="bottom"/>
            <w:gridSpan w:val="4"/>
          </w:tcPr>
          <w:p>
            <w:pPr>
              <w:jc w:val="center"/>
              <w:ind w:right="240"/>
              <w:spacing w:after="0"/>
              <w:rPr>
                <w:sz w:val="20"/>
                <w:szCs w:val="20"/>
                <w:color w:val="auto"/>
              </w:rPr>
            </w:pPr>
            <w:r>
              <w:rPr>
                <w:rFonts w:ascii="Times New Roman" w:cs="Times New Roman" w:eastAsia="Times New Roman" w:hAnsi="Times New Roman"/>
                <w:sz w:val="21"/>
                <w:szCs w:val="21"/>
                <w:b w:val="1"/>
                <w:bCs w:val="1"/>
                <w:color w:val="auto"/>
              </w:rPr>
              <w:t>months ended</w:t>
            </w:r>
          </w:p>
        </w:tc>
        <w:tc>
          <w:tcPr>
            <w:tcW w:w="120" w:type="dxa"/>
            <w:vAlign w:val="bottom"/>
          </w:tcPr>
          <w:p>
            <w:pPr>
              <w:spacing w:after="0"/>
              <w:rPr>
                <w:sz w:val="22"/>
                <w:szCs w:val="22"/>
                <w:color w:val="auto"/>
              </w:rPr>
            </w:pPr>
          </w:p>
        </w:tc>
        <w:tc>
          <w:tcPr>
            <w:tcW w:w="1880" w:type="dxa"/>
            <w:vAlign w:val="bottom"/>
            <w:gridSpan w:val="4"/>
          </w:tcPr>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months ended</w:t>
            </w:r>
          </w:p>
        </w:tc>
        <w:tc>
          <w:tcPr>
            <w:tcW w:w="120" w:type="dxa"/>
            <w:vAlign w:val="bottom"/>
          </w:tcPr>
          <w:p>
            <w:pPr>
              <w:spacing w:after="0"/>
              <w:rPr>
                <w:sz w:val="22"/>
                <w:szCs w:val="22"/>
                <w:color w:val="auto"/>
              </w:rPr>
            </w:pPr>
          </w:p>
        </w:tc>
        <w:tc>
          <w:tcPr>
            <w:tcW w:w="1880" w:type="dxa"/>
            <w:vAlign w:val="bottom"/>
            <w:gridSpan w:val="4"/>
          </w:tcPr>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months ended</w:t>
            </w:r>
          </w:p>
        </w:tc>
        <w:tc>
          <w:tcPr>
            <w:tcW w:w="120" w:type="dxa"/>
            <w:vAlign w:val="bottom"/>
          </w:tcPr>
          <w:p>
            <w:pPr>
              <w:spacing w:after="0"/>
              <w:rPr>
                <w:sz w:val="22"/>
                <w:szCs w:val="22"/>
                <w:color w:val="auto"/>
              </w:rPr>
            </w:pPr>
          </w:p>
        </w:tc>
        <w:tc>
          <w:tcPr>
            <w:tcW w:w="1780" w:type="dxa"/>
            <w:vAlign w:val="bottom"/>
            <w:gridSpan w:val="3"/>
          </w:tcPr>
          <w:p>
            <w:pPr>
              <w:jc w:val="center"/>
              <w:ind w:right="15"/>
              <w:spacing w:after="0"/>
              <w:rPr>
                <w:sz w:val="20"/>
                <w:szCs w:val="20"/>
                <w:color w:val="auto"/>
              </w:rPr>
            </w:pPr>
            <w:r>
              <w:rPr>
                <w:rFonts w:ascii="Times New Roman" w:cs="Times New Roman" w:eastAsia="Times New Roman" w:hAnsi="Times New Roman"/>
                <w:sz w:val="21"/>
                <w:szCs w:val="21"/>
                <w:b w:val="1"/>
                <w:bCs w:val="1"/>
                <w:color w:val="auto"/>
              </w:rPr>
              <w:t>months ended</w:t>
            </w: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1100" w:type="dxa"/>
            <w:vAlign w:val="bottom"/>
            <w:gridSpan w:val="3"/>
          </w:tcPr>
          <w:p>
            <w:pPr>
              <w:jc w:val="center"/>
              <w:ind w:right="120"/>
              <w:spacing w:after="0" w:line="237" w:lineRule="exact"/>
              <w:rPr>
                <w:sz w:val="20"/>
                <w:szCs w:val="20"/>
                <w:color w:val="auto"/>
              </w:rPr>
            </w:pPr>
            <w:r>
              <w:rPr>
                <w:rFonts w:ascii="Times New Roman" w:cs="Times New Roman" w:eastAsia="Times New Roman" w:hAnsi="Times New Roman"/>
                <w:sz w:val="21"/>
                <w:szCs w:val="21"/>
                <w:b w:val="1"/>
                <w:bCs w:val="1"/>
                <w:color w:val="auto"/>
              </w:rPr>
              <w:t>February</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rPr>
              <w:t>February</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rPr>
              <w:t>February</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center"/>
              <w:ind w:right="80"/>
              <w:spacing w:after="0" w:line="237" w:lineRule="exact"/>
              <w:rPr>
                <w:sz w:val="20"/>
                <w:szCs w:val="20"/>
                <w:color w:val="auto"/>
              </w:rPr>
            </w:pPr>
            <w:r>
              <w:rPr>
                <w:rFonts w:ascii="Times New Roman" w:cs="Times New Roman" w:eastAsia="Times New Roman" w:hAnsi="Times New Roman"/>
                <w:sz w:val="21"/>
                <w:szCs w:val="21"/>
                <w:b w:val="1"/>
                <w:bCs w:val="1"/>
                <w:color w:val="auto"/>
              </w:rPr>
              <w:t>February</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center"/>
              <w:ind w:right="35"/>
              <w:spacing w:after="0"/>
              <w:rPr>
                <w:sz w:val="20"/>
                <w:szCs w:val="20"/>
                <w:color w:val="auto"/>
              </w:rPr>
            </w:pPr>
            <w:r>
              <w:rPr>
                <w:rFonts w:ascii="Times New Roman" w:cs="Times New Roman" w:eastAsia="Times New Roman" w:hAnsi="Times New Roman"/>
                <w:sz w:val="21"/>
                <w:szCs w:val="21"/>
                <w:b w:val="1"/>
                <w:bCs w:val="1"/>
                <w:color w:val="auto"/>
              </w:rPr>
              <w:t>28, 2026</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rPr>
              <w:t>28, 2025</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rPr>
              <w:t>28, 2026</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rPr>
              <w:t>28, 2025</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240"/>
              <w:spacing w:after="0" w:line="237" w:lineRule="exact"/>
              <w:rPr>
                <w:sz w:val="20"/>
                <w:szCs w:val="20"/>
                <w:color w:val="auto"/>
              </w:rPr>
            </w:pPr>
            <w:r>
              <w:rPr>
                <w:rFonts w:ascii="Times New Roman" w:cs="Times New Roman" w:eastAsia="Times New Roman" w:hAnsi="Times New Roman"/>
                <w:sz w:val="21"/>
                <w:szCs w:val="21"/>
                <w:b w:val="1"/>
                <w:bCs w:val="1"/>
                <w:color w:val="auto"/>
                <w:w w:val="96"/>
              </w:rPr>
              <w:t>as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20"/>
              <w:spacing w:after="0" w:line="237" w:lineRule="exact"/>
              <w:rPr>
                <w:sz w:val="20"/>
                <w:szCs w:val="20"/>
                <w:color w:val="auto"/>
              </w:rPr>
            </w:pPr>
            <w:r>
              <w:rPr>
                <w:rFonts w:ascii="Times New Roman" w:cs="Times New Roman" w:eastAsia="Times New Roman" w:hAnsi="Times New Roman"/>
                <w:sz w:val="21"/>
                <w:szCs w:val="21"/>
                <w:b w:val="1"/>
                <w:bCs w:val="1"/>
                <w:color w:val="auto"/>
                <w:w w:val="96"/>
              </w:rPr>
              <w:t>as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20"/>
              <w:spacing w:after="0" w:line="237" w:lineRule="exact"/>
              <w:rPr>
                <w:sz w:val="20"/>
                <w:szCs w:val="20"/>
                <w:color w:val="auto"/>
              </w:rPr>
            </w:pPr>
            <w:r>
              <w:rPr>
                <w:rFonts w:ascii="Times New Roman" w:cs="Times New Roman" w:eastAsia="Times New Roman" w:hAnsi="Times New Roman"/>
                <w:sz w:val="21"/>
                <w:szCs w:val="21"/>
                <w:b w:val="1"/>
                <w:bCs w:val="1"/>
                <w:color w:val="auto"/>
                <w:w w:val="96"/>
              </w:rPr>
              <w:t>as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200"/>
              <w:spacing w:after="0" w:line="237" w:lineRule="exact"/>
              <w:rPr>
                <w:sz w:val="20"/>
                <w:szCs w:val="20"/>
                <w:color w:val="auto"/>
              </w:rPr>
            </w:pPr>
            <w:r>
              <w:rPr>
                <w:rFonts w:ascii="Times New Roman" w:cs="Times New Roman" w:eastAsia="Times New Roman" w:hAnsi="Times New Roman"/>
                <w:sz w:val="21"/>
                <w:szCs w:val="21"/>
                <w:b w:val="1"/>
                <w:bCs w:val="1"/>
                <w:color w:val="auto"/>
                <w:w w:val="96"/>
              </w:rPr>
              <w:t>as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1100" w:type="dxa"/>
            <w:vAlign w:val="bottom"/>
            <w:gridSpan w:val="3"/>
          </w:tcPr>
          <w:p>
            <w:pPr>
              <w:jc w:val="center"/>
              <w:ind w:right="120"/>
              <w:spacing w:after="0" w:line="237" w:lineRule="exact"/>
              <w:rPr>
                <w:sz w:val="20"/>
                <w:szCs w:val="20"/>
                <w:color w:val="auto"/>
              </w:rPr>
            </w:pPr>
            <w:r>
              <w:rPr>
                <w:rFonts w:ascii="Times New Roman" w:cs="Times New Roman" w:eastAsia="Times New Roman" w:hAnsi="Times New Roman"/>
                <w:sz w:val="21"/>
                <w:szCs w:val="21"/>
                <w:b w:val="1"/>
                <w:bCs w:val="1"/>
                <w:color w:val="auto"/>
                <w:w w:val="99"/>
              </w:rPr>
              <w:t>reported</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w w:val="99"/>
              </w:rPr>
              <w:t>reported</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w w:val="99"/>
              </w:rPr>
              <w:t>reported</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center"/>
              <w:ind w:right="80"/>
              <w:spacing w:after="0" w:line="237" w:lineRule="exact"/>
              <w:rPr>
                <w:sz w:val="20"/>
                <w:szCs w:val="20"/>
                <w:color w:val="auto"/>
              </w:rPr>
            </w:pPr>
            <w:r>
              <w:rPr>
                <w:rFonts w:ascii="Times New Roman" w:cs="Times New Roman" w:eastAsia="Times New Roman" w:hAnsi="Times New Roman"/>
                <w:sz w:val="21"/>
                <w:szCs w:val="21"/>
                <w:b w:val="1"/>
                <w:bCs w:val="1"/>
                <w:color w:val="auto"/>
                <w:w w:val="99"/>
              </w:rPr>
              <w:t>reported</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240"/>
              <w:spacing w:after="0" w:line="237" w:lineRule="exact"/>
              <w:rPr>
                <w:sz w:val="20"/>
                <w:szCs w:val="20"/>
                <w:color w:val="auto"/>
              </w:rPr>
            </w:pPr>
            <w:r>
              <w:rPr>
                <w:rFonts w:ascii="Times New Roman" w:cs="Times New Roman" w:eastAsia="Times New Roman" w:hAnsi="Times New Roman"/>
                <w:sz w:val="21"/>
                <w:szCs w:val="21"/>
                <w:b w:val="1"/>
                <w:bCs w:val="1"/>
                <w:color w:val="auto"/>
              </w:rPr>
              <w:t>in</w:t>
            </w:r>
          </w:p>
        </w:tc>
        <w:tc>
          <w:tcPr>
            <w:tcW w:w="880" w:type="dxa"/>
            <w:vAlign w:val="bottom"/>
            <w:gridSpan w:val="2"/>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w w:val="95"/>
              </w:rPr>
              <w:t>% of</w:t>
            </w:r>
          </w:p>
        </w:tc>
        <w:tc>
          <w:tcPr>
            <w:tcW w:w="120" w:type="dxa"/>
            <w:vAlign w:val="bottom"/>
          </w:tcPr>
          <w:p>
            <w:pPr>
              <w:spacing w:after="0"/>
              <w:rPr>
                <w:sz w:val="20"/>
                <w:szCs w:val="20"/>
                <w:color w:val="auto"/>
              </w:rPr>
            </w:pPr>
          </w:p>
        </w:tc>
        <w:tc>
          <w:tcPr>
            <w:tcW w:w="1000" w:type="dxa"/>
            <w:vAlign w:val="bottom"/>
            <w:gridSpan w:val="2"/>
          </w:tcPr>
          <w:p>
            <w:pPr>
              <w:jc w:val="center"/>
              <w:ind w:right="220"/>
              <w:spacing w:after="0" w:line="237" w:lineRule="exact"/>
              <w:rPr>
                <w:sz w:val="20"/>
                <w:szCs w:val="20"/>
                <w:color w:val="auto"/>
              </w:rPr>
            </w:pPr>
            <w:r>
              <w:rPr>
                <w:rFonts w:ascii="Times New Roman" w:cs="Times New Roman" w:eastAsia="Times New Roman" w:hAnsi="Times New Roman"/>
                <w:sz w:val="21"/>
                <w:szCs w:val="21"/>
                <w:b w:val="1"/>
                <w:bCs w:val="1"/>
                <w:color w:val="auto"/>
              </w:rPr>
              <w:t>in</w:t>
            </w:r>
          </w:p>
        </w:tc>
        <w:tc>
          <w:tcPr>
            <w:tcW w:w="880" w:type="dxa"/>
            <w:vAlign w:val="bottom"/>
            <w:gridSpan w:val="2"/>
          </w:tcPr>
          <w:p>
            <w:pPr>
              <w:jc w:val="center"/>
              <w:ind w:right="120"/>
              <w:spacing w:after="0" w:line="237" w:lineRule="exact"/>
              <w:rPr>
                <w:sz w:val="20"/>
                <w:szCs w:val="20"/>
                <w:color w:val="auto"/>
              </w:rPr>
            </w:pPr>
            <w:r>
              <w:rPr>
                <w:rFonts w:ascii="Times New Roman" w:cs="Times New Roman" w:eastAsia="Times New Roman" w:hAnsi="Times New Roman"/>
                <w:sz w:val="21"/>
                <w:szCs w:val="21"/>
                <w:b w:val="1"/>
                <w:bCs w:val="1"/>
                <w:color w:val="auto"/>
              </w:rPr>
              <w:t>% of</w:t>
            </w:r>
          </w:p>
        </w:tc>
        <w:tc>
          <w:tcPr>
            <w:tcW w:w="120" w:type="dxa"/>
            <w:vAlign w:val="bottom"/>
          </w:tcPr>
          <w:p>
            <w:pPr>
              <w:spacing w:after="0"/>
              <w:rPr>
                <w:sz w:val="20"/>
                <w:szCs w:val="20"/>
                <w:color w:val="auto"/>
              </w:rPr>
            </w:pPr>
          </w:p>
        </w:tc>
        <w:tc>
          <w:tcPr>
            <w:tcW w:w="1000" w:type="dxa"/>
            <w:vAlign w:val="bottom"/>
            <w:gridSpan w:val="2"/>
          </w:tcPr>
          <w:p>
            <w:pPr>
              <w:jc w:val="center"/>
              <w:ind w:right="220"/>
              <w:spacing w:after="0" w:line="237" w:lineRule="exact"/>
              <w:rPr>
                <w:sz w:val="20"/>
                <w:szCs w:val="20"/>
                <w:color w:val="auto"/>
              </w:rPr>
            </w:pPr>
            <w:r>
              <w:rPr>
                <w:rFonts w:ascii="Times New Roman" w:cs="Times New Roman" w:eastAsia="Times New Roman" w:hAnsi="Times New Roman"/>
                <w:sz w:val="21"/>
                <w:szCs w:val="21"/>
                <w:b w:val="1"/>
                <w:bCs w:val="1"/>
                <w:color w:val="auto"/>
              </w:rPr>
              <w:t>in</w:t>
            </w:r>
          </w:p>
        </w:tc>
        <w:tc>
          <w:tcPr>
            <w:tcW w:w="880" w:type="dxa"/>
            <w:vAlign w:val="bottom"/>
            <w:gridSpan w:val="2"/>
          </w:tcPr>
          <w:p>
            <w:pPr>
              <w:jc w:val="center"/>
              <w:ind w:right="120"/>
              <w:spacing w:after="0" w:line="237" w:lineRule="exact"/>
              <w:rPr>
                <w:sz w:val="20"/>
                <w:szCs w:val="20"/>
                <w:color w:val="auto"/>
              </w:rPr>
            </w:pPr>
            <w:r>
              <w:rPr>
                <w:rFonts w:ascii="Times New Roman" w:cs="Times New Roman" w:eastAsia="Times New Roman" w:hAnsi="Times New Roman"/>
                <w:sz w:val="21"/>
                <w:szCs w:val="21"/>
                <w:b w:val="1"/>
                <w:bCs w:val="1"/>
                <w:color w:val="auto"/>
              </w:rPr>
              <w:t>% of</w:t>
            </w:r>
          </w:p>
        </w:tc>
        <w:tc>
          <w:tcPr>
            <w:tcW w:w="120" w:type="dxa"/>
            <w:vAlign w:val="bottom"/>
          </w:tcPr>
          <w:p>
            <w:pPr>
              <w:spacing w:after="0"/>
              <w:rPr>
                <w:sz w:val="20"/>
                <w:szCs w:val="20"/>
                <w:color w:val="auto"/>
              </w:rPr>
            </w:pPr>
          </w:p>
        </w:tc>
        <w:tc>
          <w:tcPr>
            <w:tcW w:w="980" w:type="dxa"/>
            <w:vAlign w:val="bottom"/>
            <w:gridSpan w:val="2"/>
          </w:tcPr>
          <w:p>
            <w:pPr>
              <w:jc w:val="center"/>
              <w:ind w:right="200"/>
              <w:spacing w:after="0" w:line="237" w:lineRule="exact"/>
              <w:rPr>
                <w:sz w:val="20"/>
                <w:szCs w:val="20"/>
                <w:color w:val="auto"/>
              </w:rPr>
            </w:pPr>
            <w:r>
              <w:rPr>
                <w:rFonts w:ascii="Times New Roman" w:cs="Times New Roman" w:eastAsia="Times New Roman" w:hAnsi="Times New Roman"/>
                <w:sz w:val="21"/>
                <w:szCs w:val="21"/>
                <w:b w:val="1"/>
                <w:bCs w:val="1"/>
                <w:color w:val="auto"/>
              </w:rPr>
              <w:t>in</w:t>
            </w:r>
          </w:p>
        </w:tc>
        <w:tc>
          <w:tcPr>
            <w:tcW w:w="800" w:type="dxa"/>
            <w:vAlign w:val="bottom"/>
          </w:tcPr>
          <w:p>
            <w:pPr>
              <w:jc w:val="center"/>
              <w:spacing w:after="0" w:line="237" w:lineRule="exact"/>
              <w:rPr>
                <w:sz w:val="20"/>
                <w:szCs w:val="20"/>
                <w:color w:val="auto"/>
              </w:rPr>
            </w:pPr>
            <w:r>
              <w:rPr>
                <w:rFonts w:ascii="Times New Roman" w:cs="Times New Roman" w:eastAsia="Times New Roman" w:hAnsi="Times New Roman"/>
                <w:sz w:val="21"/>
                <w:szCs w:val="21"/>
                <w:b w:val="1"/>
                <w:bCs w:val="1"/>
                <w:color w:val="auto"/>
              </w:rPr>
              <w:t>% of</w:t>
            </w: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220"/>
              <w:spacing w:after="0" w:line="237" w:lineRule="exact"/>
              <w:rPr>
                <w:sz w:val="20"/>
                <w:szCs w:val="20"/>
                <w:color w:val="auto"/>
              </w:rPr>
            </w:pPr>
            <w:r>
              <w:rPr>
                <w:rFonts w:ascii="Times New Roman" w:cs="Times New Roman" w:eastAsia="Times New Roman" w:hAnsi="Times New Roman"/>
                <w:sz w:val="21"/>
                <w:szCs w:val="21"/>
                <w:b w:val="1"/>
                <w:bCs w:val="1"/>
                <w:color w:val="auto"/>
              </w:rPr>
              <w:t>constant</w:t>
            </w:r>
          </w:p>
        </w:tc>
        <w:tc>
          <w:tcPr>
            <w:tcW w:w="880" w:type="dxa"/>
            <w:vAlign w:val="bottom"/>
            <w:gridSpan w:val="2"/>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w w:val="96"/>
              </w:rPr>
              <w:t>Total</w:t>
            </w:r>
          </w:p>
        </w:tc>
        <w:tc>
          <w:tcPr>
            <w:tcW w:w="120" w:type="dxa"/>
            <w:vAlign w:val="bottom"/>
          </w:tcPr>
          <w:p>
            <w:pPr>
              <w:spacing w:after="0"/>
              <w:rPr>
                <w:sz w:val="20"/>
                <w:szCs w:val="20"/>
                <w:color w:val="auto"/>
              </w:rPr>
            </w:pPr>
          </w:p>
        </w:tc>
        <w:tc>
          <w:tcPr>
            <w:tcW w:w="1000" w:type="dxa"/>
            <w:vAlign w:val="bottom"/>
            <w:gridSpan w:val="2"/>
          </w:tcPr>
          <w:p>
            <w:pPr>
              <w:jc w:val="center"/>
              <w:ind w:right="240"/>
              <w:spacing w:after="0" w:line="237" w:lineRule="exact"/>
              <w:rPr>
                <w:sz w:val="20"/>
                <w:szCs w:val="20"/>
                <w:color w:val="auto"/>
              </w:rPr>
            </w:pPr>
            <w:r>
              <w:rPr>
                <w:rFonts w:ascii="Times New Roman" w:cs="Times New Roman" w:eastAsia="Times New Roman" w:hAnsi="Times New Roman"/>
                <w:sz w:val="21"/>
                <w:szCs w:val="21"/>
                <w:b w:val="1"/>
                <w:bCs w:val="1"/>
                <w:color w:val="auto"/>
              </w:rPr>
              <w:t>constant</w:t>
            </w:r>
          </w:p>
        </w:tc>
        <w:tc>
          <w:tcPr>
            <w:tcW w:w="880" w:type="dxa"/>
            <w:vAlign w:val="bottom"/>
            <w:gridSpan w:val="2"/>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w w:val="96"/>
              </w:rPr>
              <w:t>Total</w:t>
            </w:r>
          </w:p>
        </w:tc>
        <w:tc>
          <w:tcPr>
            <w:tcW w:w="120" w:type="dxa"/>
            <w:vAlign w:val="bottom"/>
          </w:tcPr>
          <w:p>
            <w:pPr>
              <w:spacing w:after="0"/>
              <w:rPr>
                <w:sz w:val="20"/>
                <w:szCs w:val="20"/>
                <w:color w:val="auto"/>
              </w:rPr>
            </w:pPr>
          </w:p>
        </w:tc>
        <w:tc>
          <w:tcPr>
            <w:tcW w:w="1000" w:type="dxa"/>
            <w:vAlign w:val="bottom"/>
            <w:gridSpan w:val="2"/>
          </w:tcPr>
          <w:p>
            <w:pPr>
              <w:jc w:val="center"/>
              <w:ind w:right="240"/>
              <w:spacing w:after="0" w:line="237" w:lineRule="exact"/>
              <w:rPr>
                <w:sz w:val="20"/>
                <w:szCs w:val="20"/>
                <w:color w:val="auto"/>
              </w:rPr>
            </w:pPr>
            <w:r>
              <w:rPr>
                <w:rFonts w:ascii="Times New Roman" w:cs="Times New Roman" w:eastAsia="Times New Roman" w:hAnsi="Times New Roman"/>
                <w:sz w:val="21"/>
                <w:szCs w:val="21"/>
                <w:b w:val="1"/>
                <w:bCs w:val="1"/>
                <w:color w:val="auto"/>
              </w:rPr>
              <w:t>constant</w:t>
            </w:r>
          </w:p>
        </w:tc>
        <w:tc>
          <w:tcPr>
            <w:tcW w:w="880" w:type="dxa"/>
            <w:vAlign w:val="bottom"/>
            <w:gridSpan w:val="2"/>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w w:val="96"/>
              </w:rPr>
              <w:t>Total</w:t>
            </w:r>
          </w:p>
        </w:tc>
        <w:tc>
          <w:tcPr>
            <w:tcW w:w="120" w:type="dxa"/>
            <w:vAlign w:val="bottom"/>
          </w:tcPr>
          <w:p>
            <w:pPr>
              <w:spacing w:after="0"/>
              <w:rPr>
                <w:sz w:val="20"/>
                <w:szCs w:val="20"/>
                <w:color w:val="auto"/>
              </w:rPr>
            </w:pPr>
          </w:p>
        </w:tc>
        <w:tc>
          <w:tcPr>
            <w:tcW w:w="980" w:type="dxa"/>
            <w:vAlign w:val="bottom"/>
            <w:gridSpan w:val="2"/>
          </w:tcPr>
          <w:p>
            <w:pPr>
              <w:jc w:val="center"/>
              <w:ind w:right="220"/>
              <w:spacing w:after="0" w:line="237" w:lineRule="exact"/>
              <w:rPr>
                <w:sz w:val="20"/>
                <w:szCs w:val="20"/>
                <w:color w:val="auto"/>
              </w:rPr>
            </w:pPr>
            <w:r>
              <w:rPr>
                <w:rFonts w:ascii="Times New Roman" w:cs="Times New Roman" w:eastAsia="Times New Roman" w:hAnsi="Times New Roman"/>
                <w:sz w:val="21"/>
                <w:szCs w:val="21"/>
                <w:b w:val="1"/>
                <w:bCs w:val="1"/>
                <w:color w:val="auto"/>
              </w:rPr>
              <w:t>constant</w:t>
            </w:r>
          </w:p>
        </w:tc>
        <w:tc>
          <w:tcPr>
            <w:tcW w:w="800" w:type="dxa"/>
            <w:vAlign w:val="bottom"/>
          </w:tcPr>
          <w:p>
            <w:pPr>
              <w:jc w:val="center"/>
              <w:spacing w:after="0" w:line="237" w:lineRule="exact"/>
              <w:rPr>
                <w:sz w:val="20"/>
                <w:szCs w:val="20"/>
                <w:color w:val="auto"/>
              </w:rPr>
            </w:pPr>
            <w:r>
              <w:rPr>
                <w:rFonts w:ascii="Times New Roman" w:cs="Times New Roman" w:eastAsia="Times New Roman" w:hAnsi="Times New Roman"/>
                <w:sz w:val="21"/>
                <w:szCs w:val="21"/>
                <w:b w:val="1"/>
                <w:bCs w:val="1"/>
                <w:color w:val="auto"/>
                <w:w w:val="96"/>
              </w:rPr>
              <w:t>Total</w:t>
            </w:r>
          </w:p>
        </w:tc>
        <w:tc>
          <w:tcPr>
            <w:tcW w:w="0" w:type="dxa"/>
            <w:vAlign w:val="bottom"/>
          </w:tcPr>
          <w:p>
            <w:pPr>
              <w:spacing w:after="0"/>
              <w:rPr>
                <w:sz w:val="1"/>
                <w:szCs w:val="1"/>
                <w:color w:val="auto"/>
              </w:rPr>
            </w:pPr>
          </w:p>
        </w:tc>
      </w:tr>
      <w:tr>
        <w:trPr>
          <w:trHeight w:val="279"/>
        </w:trPr>
        <w:tc>
          <w:tcPr>
            <w:tcW w:w="324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(In thousands of U.S. dollars)</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w w:val="99"/>
              </w:rPr>
              <w:t>currency</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Revenue</w:t>
            </w: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w w:val="99"/>
              </w:rPr>
              <w:t>currency</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Revenue</w:t>
            </w: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w w:val="99"/>
              </w:rPr>
              <w:t>currency</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Revenue</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w w:val="99"/>
              </w:rPr>
              <w:t>currency</w:t>
            </w:r>
          </w:p>
        </w:tc>
        <w:tc>
          <w:tcPr>
            <w:tcW w:w="80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rPr>
              <w:t>Revenue</w:t>
            </w:r>
          </w:p>
        </w:tc>
        <w:tc>
          <w:tcPr>
            <w:tcW w:w="0" w:type="dxa"/>
            <w:vAlign w:val="bottom"/>
          </w:tcPr>
          <w:p>
            <w:pPr>
              <w:spacing w:after="0"/>
              <w:rPr>
                <w:sz w:val="1"/>
                <w:szCs w:val="1"/>
                <w:color w:val="auto"/>
              </w:rPr>
            </w:pPr>
          </w:p>
        </w:tc>
      </w:tr>
      <w:tr>
        <w:trPr>
          <w:trHeight w:val="244"/>
        </w:trPr>
        <w:tc>
          <w:tcPr>
            <w:tcW w:w="3240" w:type="dxa"/>
            <w:vAlign w:val="bottom"/>
          </w:tcPr>
          <w:p>
            <w:pPr>
              <w:spacing w:after="0"/>
              <w:rPr>
                <w:sz w:val="20"/>
                <w:szCs w:val="20"/>
                <w:color w:val="auto"/>
              </w:rPr>
            </w:pPr>
            <w:r>
              <w:rPr>
                <w:rFonts w:ascii="Times New Roman" w:cs="Times New Roman" w:eastAsia="Times New Roman" w:hAnsi="Times New Roman"/>
                <w:sz w:val="21"/>
                <w:szCs w:val="21"/>
                <w:color w:val="auto"/>
              </w:rPr>
              <w:t>Beverage business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8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rPr>
              <w:t>42,558</w:t>
            </w:r>
          </w:p>
        </w:tc>
        <w:tc>
          <w:tcPr>
            <w:tcW w:w="100" w:type="dxa"/>
            <w:vAlign w:val="bottom"/>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22%</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55,921</w:t>
            </w:r>
          </w:p>
        </w:tc>
        <w:tc>
          <w:tcPr>
            <w:tcW w:w="120" w:type="dxa"/>
            <w:vAlign w:val="bottom"/>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30%</w:t>
            </w:r>
          </w:p>
        </w:tc>
        <w:tc>
          <w:tcPr>
            <w:tcW w:w="100" w:type="dxa"/>
            <w:vAlign w:val="bottom"/>
          </w:tcPr>
          <w:p>
            <w:pPr>
              <w:spacing w:after="0"/>
              <w:rPr>
                <w:sz w:val="21"/>
                <w:szCs w:val="21"/>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1"/>
                <w:szCs w:val="21"/>
                <w:color w:val="auto"/>
              </w:rPr>
              <w:t>$ 148,380</w:t>
            </w:r>
          </w:p>
        </w:tc>
        <w:tc>
          <w:tcPr>
            <w:tcW w:w="120" w:type="dxa"/>
            <w:vAlign w:val="bottom"/>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24%</w:t>
            </w:r>
          </w:p>
        </w:tc>
        <w:tc>
          <w:tcPr>
            <w:tcW w:w="100" w:type="dxa"/>
            <w:vAlign w:val="bottom"/>
          </w:tcPr>
          <w:p>
            <w:pPr>
              <w:spacing w:after="0"/>
              <w:rPr>
                <w:sz w:val="21"/>
                <w:szCs w:val="21"/>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1"/>
                <w:szCs w:val="21"/>
                <w:color w:val="auto"/>
              </w:rPr>
              <w:t>$ 174,974</w:t>
            </w:r>
          </w:p>
        </w:tc>
        <w:tc>
          <w:tcPr>
            <w:tcW w:w="100" w:type="dxa"/>
            <w:vAlign w:val="bottom"/>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29%</w:t>
            </w:r>
          </w:p>
        </w:tc>
        <w:tc>
          <w:tcPr>
            <w:tcW w:w="0" w:type="dxa"/>
            <w:vAlign w:val="bottom"/>
          </w:tcPr>
          <w:p>
            <w:pPr>
              <w:spacing w:after="0"/>
              <w:rPr>
                <w:sz w:val="1"/>
                <w:szCs w:val="1"/>
                <w:color w:val="auto"/>
              </w:rPr>
            </w:pPr>
          </w:p>
        </w:tc>
      </w:tr>
      <w:tr>
        <w:trPr>
          <w:trHeight w:val="263"/>
        </w:trPr>
        <w:tc>
          <w:tcPr>
            <w:tcW w:w="3240" w:type="dxa"/>
            <w:vAlign w:val="bottom"/>
          </w:tcPr>
          <w:p>
            <w:pPr>
              <w:spacing w:after="0"/>
              <w:rPr>
                <w:sz w:val="20"/>
                <w:szCs w:val="20"/>
                <w:color w:val="auto"/>
              </w:rPr>
            </w:pPr>
            <w:r>
              <w:rPr>
                <w:rFonts w:ascii="Times New Roman" w:cs="Times New Roman" w:eastAsia="Times New Roman" w:hAnsi="Times New Roman"/>
                <w:sz w:val="21"/>
                <w:szCs w:val="21"/>
                <w:color w:val="auto"/>
              </w:rPr>
              <w:t>Cannabis business</w:t>
            </w:r>
          </w:p>
        </w:tc>
        <w:tc>
          <w:tcPr>
            <w:tcW w:w="120" w:type="dxa"/>
            <w:vAlign w:val="bottom"/>
          </w:tcPr>
          <w:p>
            <w:pPr>
              <w:spacing w:after="0"/>
              <w:rPr>
                <w:sz w:val="22"/>
                <w:szCs w:val="22"/>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60,257</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54,274</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191,792</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181,175</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c>
          <w:tcPr>
            <w:tcW w:w="0" w:type="dxa"/>
            <w:vAlign w:val="bottom"/>
          </w:tcPr>
          <w:p>
            <w:pPr>
              <w:spacing w:after="0"/>
              <w:rPr>
                <w:sz w:val="1"/>
                <w:szCs w:val="1"/>
                <w:color w:val="auto"/>
              </w:rPr>
            </w:pPr>
          </w:p>
        </w:tc>
      </w:tr>
      <w:tr>
        <w:trPr>
          <w:trHeight w:val="263"/>
        </w:trPr>
        <w:tc>
          <w:tcPr>
            <w:tcW w:w="3240" w:type="dxa"/>
            <w:vAlign w:val="bottom"/>
          </w:tcPr>
          <w:p>
            <w:pPr>
              <w:spacing w:after="0"/>
              <w:rPr>
                <w:sz w:val="20"/>
                <w:szCs w:val="20"/>
                <w:color w:val="auto"/>
              </w:rPr>
            </w:pPr>
            <w:r>
              <w:rPr>
                <w:rFonts w:ascii="Times New Roman" w:cs="Times New Roman" w:eastAsia="Times New Roman" w:hAnsi="Times New Roman"/>
                <w:sz w:val="21"/>
                <w:szCs w:val="21"/>
                <w:color w:val="auto"/>
              </w:rPr>
              <w:t>Distribution business</w:t>
            </w:r>
          </w:p>
        </w:tc>
        <w:tc>
          <w:tcPr>
            <w:tcW w:w="120" w:type="dxa"/>
            <w:vAlign w:val="bottom"/>
          </w:tcPr>
          <w:p>
            <w:pPr>
              <w:spacing w:after="0"/>
              <w:rPr>
                <w:sz w:val="22"/>
                <w:szCs w:val="22"/>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73,969</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61,493</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223,636</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197,175</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c>
          <w:tcPr>
            <w:tcW w:w="0" w:type="dxa"/>
            <w:vAlign w:val="bottom"/>
          </w:tcPr>
          <w:p>
            <w:pPr>
              <w:spacing w:after="0"/>
              <w:rPr>
                <w:sz w:val="1"/>
                <w:szCs w:val="1"/>
                <w:color w:val="auto"/>
              </w:rPr>
            </w:pPr>
          </w:p>
        </w:tc>
      </w:tr>
      <w:tr>
        <w:trPr>
          <w:trHeight w:val="276"/>
        </w:trPr>
        <w:tc>
          <w:tcPr>
            <w:tcW w:w="3240" w:type="dxa"/>
            <w:vAlign w:val="bottom"/>
          </w:tcPr>
          <w:p>
            <w:pPr>
              <w:spacing w:after="0"/>
              <w:rPr>
                <w:sz w:val="20"/>
                <w:szCs w:val="20"/>
                <w:color w:val="auto"/>
              </w:rPr>
            </w:pPr>
            <w:r>
              <w:rPr>
                <w:rFonts w:ascii="Times New Roman" w:cs="Times New Roman" w:eastAsia="Times New Roman" w:hAnsi="Times New Roman"/>
                <w:sz w:val="21"/>
                <w:szCs w:val="21"/>
                <w:color w:val="auto"/>
              </w:rPr>
              <w:t>Wellness business</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rPr>
              <w:t>16,051</w:t>
            </w:r>
          </w:p>
        </w:tc>
        <w:tc>
          <w:tcPr>
            <w:tcW w:w="10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14,092</w:t>
            </w:r>
          </w:p>
        </w:tc>
        <w:tc>
          <w:tcPr>
            <w:tcW w:w="12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46,066</w:t>
            </w:r>
          </w:p>
        </w:tc>
        <w:tc>
          <w:tcPr>
            <w:tcW w:w="12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43,450</w:t>
            </w: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Times New Roman" w:cs="Times New Roman" w:eastAsia="Times New Roman" w:hAnsi="Times New Roman"/>
                <w:sz w:val="21"/>
                <w:szCs w:val="21"/>
                <w:color w:val="auto"/>
              </w:rPr>
              <w:t>Total net revenue</w:t>
            </w:r>
          </w:p>
        </w:tc>
        <w:tc>
          <w:tcPr>
            <w:tcW w:w="100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21"/>
                <w:szCs w:val="21"/>
                <w:color w:val="auto"/>
              </w:rPr>
              <w:t>$ 192,835</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00" w:type="dxa"/>
            <w:vAlign w:val="bottom"/>
          </w:tcPr>
          <w:p>
            <w:pPr>
              <w:spacing w:after="0"/>
              <w:rPr>
                <w:sz w:val="22"/>
                <w:szCs w:val="22"/>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1"/>
                <w:szCs w:val="21"/>
                <w:color w:val="auto"/>
              </w:rPr>
              <w:t>$ 185,780</w:t>
            </w:r>
          </w:p>
        </w:tc>
        <w:tc>
          <w:tcPr>
            <w:tcW w:w="12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00" w:type="dxa"/>
            <w:vAlign w:val="bottom"/>
          </w:tcPr>
          <w:p>
            <w:pPr>
              <w:spacing w:after="0"/>
              <w:rPr>
                <w:sz w:val="22"/>
                <w:szCs w:val="22"/>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1"/>
                <w:szCs w:val="21"/>
                <w:color w:val="auto"/>
              </w:rPr>
              <w:t>$ 609,874</w:t>
            </w:r>
          </w:p>
        </w:tc>
        <w:tc>
          <w:tcPr>
            <w:tcW w:w="12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00" w:type="dxa"/>
            <w:vAlign w:val="bottom"/>
          </w:tcPr>
          <w:p>
            <w:pPr>
              <w:spacing w:after="0"/>
              <w:rPr>
                <w:sz w:val="22"/>
                <w:szCs w:val="22"/>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1"/>
                <w:szCs w:val="21"/>
                <w:color w:val="auto"/>
              </w:rPr>
              <w:t>$ 596,774</w:t>
            </w:r>
          </w:p>
        </w:tc>
        <w:tc>
          <w:tcPr>
            <w:tcW w:w="10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340" w:type="dxa"/>
            <w:vAlign w:val="bottom"/>
            <w:gridSpan w:val="4"/>
          </w:tcPr>
          <w:p>
            <w:pPr>
              <w:spacing w:after="0"/>
              <w:rPr>
                <w:sz w:val="20"/>
                <w:szCs w:val="20"/>
                <w:color w:val="auto"/>
              </w:rPr>
            </w:pPr>
            <w:r>
              <w:rPr>
                <w:rFonts w:ascii="Times New Roman" w:cs="Times New Roman" w:eastAsia="Times New Roman" w:hAnsi="Times New Roman"/>
                <w:sz w:val="21"/>
                <w:szCs w:val="21"/>
                <w:b w:val="1"/>
                <w:bCs w:val="1"/>
                <w:color w:val="auto"/>
              </w:rPr>
              <w:t>Net Cannabis Revenue by Market Channel</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4"/>
          </w:tcPr>
          <w:p>
            <w:pPr>
              <w:jc w:val="center"/>
              <w:ind w:right="220"/>
              <w:spacing w:after="0" w:line="237" w:lineRule="exact"/>
              <w:rPr>
                <w:sz w:val="20"/>
                <w:szCs w:val="20"/>
                <w:color w:val="auto"/>
              </w:rPr>
            </w:pPr>
            <w:r>
              <w:rPr>
                <w:rFonts w:ascii="Times New Roman" w:cs="Times New Roman" w:eastAsia="Times New Roman" w:hAnsi="Times New Roman"/>
                <w:sz w:val="21"/>
                <w:szCs w:val="21"/>
                <w:b w:val="1"/>
                <w:bCs w:val="1"/>
                <w:color w:val="auto"/>
                <w:w w:val="98"/>
              </w:rPr>
              <w:t>For the three</w:t>
            </w:r>
          </w:p>
        </w:tc>
        <w:tc>
          <w:tcPr>
            <w:tcW w:w="120" w:type="dxa"/>
            <w:vAlign w:val="bottom"/>
          </w:tcPr>
          <w:p>
            <w:pPr>
              <w:spacing w:after="0"/>
              <w:rPr>
                <w:sz w:val="20"/>
                <w:szCs w:val="20"/>
                <w:color w:val="auto"/>
              </w:rPr>
            </w:pPr>
          </w:p>
        </w:tc>
        <w:tc>
          <w:tcPr>
            <w:tcW w:w="1880" w:type="dxa"/>
            <w:vAlign w:val="bottom"/>
            <w:gridSpan w:val="4"/>
          </w:tcPr>
          <w:p>
            <w:pPr>
              <w:jc w:val="center"/>
              <w:ind w:right="220"/>
              <w:spacing w:after="0" w:line="237" w:lineRule="exact"/>
              <w:rPr>
                <w:sz w:val="20"/>
                <w:szCs w:val="20"/>
                <w:color w:val="auto"/>
              </w:rPr>
            </w:pPr>
            <w:r>
              <w:rPr>
                <w:rFonts w:ascii="Times New Roman" w:cs="Times New Roman" w:eastAsia="Times New Roman" w:hAnsi="Times New Roman"/>
                <w:sz w:val="21"/>
                <w:szCs w:val="21"/>
                <w:b w:val="1"/>
                <w:bCs w:val="1"/>
                <w:color w:val="auto"/>
              </w:rPr>
              <w:t>For the three</w:t>
            </w:r>
          </w:p>
        </w:tc>
        <w:tc>
          <w:tcPr>
            <w:tcW w:w="120" w:type="dxa"/>
            <w:vAlign w:val="bottom"/>
          </w:tcPr>
          <w:p>
            <w:pPr>
              <w:spacing w:after="0"/>
              <w:rPr>
                <w:sz w:val="20"/>
                <w:szCs w:val="20"/>
                <w:color w:val="auto"/>
              </w:rPr>
            </w:pPr>
          </w:p>
        </w:tc>
        <w:tc>
          <w:tcPr>
            <w:tcW w:w="1880" w:type="dxa"/>
            <w:vAlign w:val="bottom"/>
            <w:gridSpan w:val="4"/>
          </w:tcPr>
          <w:p>
            <w:pPr>
              <w:jc w:val="center"/>
              <w:ind w:right="220"/>
              <w:spacing w:after="0" w:line="237" w:lineRule="exact"/>
              <w:rPr>
                <w:sz w:val="20"/>
                <w:szCs w:val="20"/>
                <w:color w:val="auto"/>
              </w:rPr>
            </w:pPr>
            <w:r>
              <w:rPr>
                <w:rFonts w:ascii="Times New Roman" w:cs="Times New Roman" w:eastAsia="Times New Roman" w:hAnsi="Times New Roman"/>
                <w:sz w:val="21"/>
                <w:szCs w:val="21"/>
                <w:b w:val="1"/>
                <w:bCs w:val="1"/>
                <w:color w:val="auto"/>
              </w:rPr>
              <w:t>For the nine</w:t>
            </w:r>
          </w:p>
        </w:tc>
        <w:tc>
          <w:tcPr>
            <w:tcW w:w="120" w:type="dxa"/>
            <w:vAlign w:val="bottom"/>
          </w:tcPr>
          <w:p>
            <w:pPr>
              <w:spacing w:after="0"/>
              <w:rPr>
                <w:sz w:val="20"/>
                <w:szCs w:val="20"/>
                <w:color w:val="auto"/>
              </w:rPr>
            </w:pPr>
          </w:p>
        </w:tc>
        <w:tc>
          <w:tcPr>
            <w:tcW w:w="1780" w:type="dxa"/>
            <w:vAlign w:val="bottom"/>
            <w:gridSpan w:val="3"/>
          </w:tcPr>
          <w:p>
            <w:pPr>
              <w:jc w:val="center"/>
              <w:ind w:right="15"/>
              <w:spacing w:after="0" w:line="237" w:lineRule="exact"/>
              <w:rPr>
                <w:sz w:val="20"/>
                <w:szCs w:val="20"/>
                <w:color w:val="auto"/>
              </w:rPr>
            </w:pPr>
            <w:r>
              <w:rPr>
                <w:rFonts w:ascii="Times New Roman" w:cs="Times New Roman" w:eastAsia="Times New Roman" w:hAnsi="Times New Roman"/>
                <w:sz w:val="21"/>
                <w:szCs w:val="21"/>
                <w:b w:val="1"/>
                <w:bCs w:val="1"/>
                <w:color w:val="auto"/>
              </w:rPr>
              <w:t>For the nine</w:t>
            </w:r>
          </w:p>
        </w:tc>
        <w:tc>
          <w:tcPr>
            <w:tcW w:w="0" w:type="dxa"/>
            <w:vAlign w:val="bottom"/>
          </w:tcPr>
          <w:p>
            <w:pPr>
              <w:spacing w:after="0"/>
              <w:rPr>
                <w:sz w:val="1"/>
                <w:szCs w:val="1"/>
                <w:color w:val="auto"/>
              </w:rPr>
            </w:pPr>
          </w:p>
        </w:tc>
      </w:tr>
      <w:tr>
        <w:trPr>
          <w:trHeight w:val="263"/>
        </w:trPr>
        <w:tc>
          <w:tcPr>
            <w:tcW w:w="3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60" w:type="dxa"/>
            <w:vAlign w:val="bottom"/>
            <w:gridSpan w:val="4"/>
          </w:tcPr>
          <w:p>
            <w:pPr>
              <w:jc w:val="center"/>
              <w:ind w:right="240"/>
              <w:spacing w:after="0"/>
              <w:rPr>
                <w:sz w:val="20"/>
                <w:szCs w:val="20"/>
                <w:color w:val="auto"/>
              </w:rPr>
            </w:pPr>
            <w:r>
              <w:rPr>
                <w:rFonts w:ascii="Times New Roman" w:cs="Times New Roman" w:eastAsia="Times New Roman" w:hAnsi="Times New Roman"/>
                <w:sz w:val="21"/>
                <w:szCs w:val="21"/>
                <w:b w:val="1"/>
                <w:bCs w:val="1"/>
                <w:color w:val="auto"/>
              </w:rPr>
              <w:t>months ended</w:t>
            </w:r>
          </w:p>
        </w:tc>
        <w:tc>
          <w:tcPr>
            <w:tcW w:w="120" w:type="dxa"/>
            <w:vAlign w:val="bottom"/>
          </w:tcPr>
          <w:p>
            <w:pPr>
              <w:spacing w:after="0"/>
              <w:rPr>
                <w:sz w:val="22"/>
                <w:szCs w:val="22"/>
                <w:color w:val="auto"/>
              </w:rPr>
            </w:pPr>
          </w:p>
        </w:tc>
        <w:tc>
          <w:tcPr>
            <w:tcW w:w="1880" w:type="dxa"/>
            <w:vAlign w:val="bottom"/>
            <w:gridSpan w:val="4"/>
          </w:tcPr>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months ended</w:t>
            </w:r>
          </w:p>
        </w:tc>
        <w:tc>
          <w:tcPr>
            <w:tcW w:w="120" w:type="dxa"/>
            <w:vAlign w:val="bottom"/>
          </w:tcPr>
          <w:p>
            <w:pPr>
              <w:spacing w:after="0"/>
              <w:rPr>
                <w:sz w:val="22"/>
                <w:szCs w:val="22"/>
                <w:color w:val="auto"/>
              </w:rPr>
            </w:pPr>
          </w:p>
        </w:tc>
        <w:tc>
          <w:tcPr>
            <w:tcW w:w="1880" w:type="dxa"/>
            <w:vAlign w:val="bottom"/>
            <w:gridSpan w:val="4"/>
          </w:tcPr>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months ended</w:t>
            </w:r>
          </w:p>
        </w:tc>
        <w:tc>
          <w:tcPr>
            <w:tcW w:w="120" w:type="dxa"/>
            <w:vAlign w:val="bottom"/>
          </w:tcPr>
          <w:p>
            <w:pPr>
              <w:spacing w:after="0"/>
              <w:rPr>
                <w:sz w:val="22"/>
                <w:szCs w:val="22"/>
                <w:color w:val="auto"/>
              </w:rPr>
            </w:pPr>
          </w:p>
        </w:tc>
        <w:tc>
          <w:tcPr>
            <w:tcW w:w="1780" w:type="dxa"/>
            <w:vAlign w:val="bottom"/>
            <w:gridSpan w:val="3"/>
          </w:tcPr>
          <w:p>
            <w:pPr>
              <w:jc w:val="center"/>
              <w:ind w:right="15"/>
              <w:spacing w:after="0"/>
              <w:rPr>
                <w:sz w:val="20"/>
                <w:szCs w:val="20"/>
                <w:color w:val="auto"/>
              </w:rPr>
            </w:pPr>
            <w:r>
              <w:rPr>
                <w:rFonts w:ascii="Times New Roman" w:cs="Times New Roman" w:eastAsia="Times New Roman" w:hAnsi="Times New Roman"/>
                <w:sz w:val="21"/>
                <w:szCs w:val="21"/>
                <w:b w:val="1"/>
                <w:bCs w:val="1"/>
                <w:color w:val="auto"/>
              </w:rPr>
              <w:t>months ended</w:t>
            </w: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w w:val="95"/>
              </w:rPr>
              <w:t>% of</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120"/>
              <w:spacing w:after="0" w:line="237" w:lineRule="exact"/>
              <w:rPr>
                <w:sz w:val="20"/>
                <w:szCs w:val="20"/>
                <w:color w:val="auto"/>
              </w:rPr>
            </w:pPr>
            <w:r>
              <w:rPr>
                <w:rFonts w:ascii="Times New Roman" w:cs="Times New Roman" w:eastAsia="Times New Roman" w:hAnsi="Times New Roman"/>
                <w:sz w:val="21"/>
                <w:szCs w:val="21"/>
                <w:b w:val="1"/>
                <w:bCs w:val="1"/>
                <w:color w:val="auto"/>
              </w:rPr>
              <w:t>% of</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120"/>
              <w:spacing w:after="0" w:line="237" w:lineRule="exact"/>
              <w:rPr>
                <w:sz w:val="20"/>
                <w:szCs w:val="20"/>
                <w:color w:val="auto"/>
              </w:rPr>
            </w:pPr>
            <w:r>
              <w:rPr>
                <w:rFonts w:ascii="Times New Roman" w:cs="Times New Roman" w:eastAsia="Times New Roman" w:hAnsi="Times New Roman"/>
                <w:sz w:val="21"/>
                <w:szCs w:val="21"/>
                <w:b w:val="1"/>
                <w:bCs w:val="1"/>
                <w:color w:val="auto"/>
              </w:rPr>
              <w:t>% of</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spacing w:after="0" w:line="237" w:lineRule="exact"/>
              <w:rPr>
                <w:sz w:val="20"/>
                <w:szCs w:val="20"/>
                <w:color w:val="auto"/>
              </w:rPr>
            </w:pPr>
            <w:r>
              <w:rPr>
                <w:rFonts w:ascii="Times New Roman" w:cs="Times New Roman" w:eastAsia="Times New Roman" w:hAnsi="Times New Roman"/>
                <w:sz w:val="21"/>
                <w:szCs w:val="21"/>
                <w:b w:val="1"/>
                <w:bCs w:val="1"/>
                <w:color w:val="auto"/>
              </w:rPr>
              <w:t>% of</w:t>
            </w: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1100" w:type="dxa"/>
            <w:vAlign w:val="bottom"/>
            <w:gridSpan w:val="3"/>
          </w:tcPr>
          <w:p>
            <w:pPr>
              <w:jc w:val="center"/>
              <w:ind w:right="120"/>
              <w:spacing w:after="0" w:line="237" w:lineRule="exact"/>
              <w:rPr>
                <w:sz w:val="20"/>
                <w:szCs w:val="20"/>
                <w:color w:val="auto"/>
              </w:rPr>
            </w:pPr>
            <w:r>
              <w:rPr>
                <w:rFonts w:ascii="Times New Roman" w:cs="Times New Roman" w:eastAsia="Times New Roman" w:hAnsi="Times New Roman"/>
                <w:sz w:val="21"/>
                <w:szCs w:val="21"/>
                <w:b w:val="1"/>
                <w:bCs w:val="1"/>
                <w:color w:val="auto"/>
              </w:rPr>
              <w:t>February</w:t>
            </w:r>
          </w:p>
        </w:tc>
        <w:tc>
          <w:tcPr>
            <w:tcW w:w="880" w:type="dxa"/>
            <w:vAlign w:val="bottom"/>
            <w:gridSpan w:val="2"/>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w w:val="96"/>
              </w:rPr>
              <w:t>Total</w:t>
            </w:r>
          </w:p>
        </w:tc>
        <w:tc>
          <w:tcPr>
            <w:tcW w:w="1120" w:type="dxa"/>
            <w:vAlign w:val="bottom"/>
            <w:gridSpan w:val="3"/>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rPr>
              <w:t>February</w:t>
            </w:r>
          </w:p>
        </w:tc>
        <w:tc>
          <w:tcPr>
            <w:tcW w:w="880" w:type="dxa"/>
            <w:vAlign w:val="bottom"/>
            <w:gridSpan w:val="2"/>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w w:val="96"/>
              </w:rPr>
              <w:t>Total</w:t>
            </w:r>
          </w:p>
        </w:tc>
        <w:tc>
          <w:tcPr>
            <w:tcW w:w="1120" w:type="dxa"/>
            <w:vAlign w:val="bottom"/>
            <w:gridSpan w:val="3"/>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rPr>
              <w:t>February</w:t>
            </w:r>
          </w:p>
        </w:tc>
        <w:tc>
          <w:tcPr>
            <w:tcW w:w="880" w:type="dxa"/>
            <w:vAlign w:val="bottom"/>
            <w:gridSpan w:val="2"/>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w w:val="96"/>
              </w:rPr>
              <w:t>Total</w:t>
            </w:r>
          </w:p>
        </w:tc>
        <w:tc>
          <w:tcPr>
            <w:tcW w:w="1100" w:type="dxa"/>
            <w:vAlign w:val="bottom"/>
            <w:gridSpan w:val="3"/>
          </w:tcPr>
          <w:p>
            <w:pPr>
              <w:jc w:val="center"/>
              <w:ind w:right="80"/>
              <w:spacing w:after="0" w:line="237" w:lineRule="exact"/>
              <w:rPr>
                <w:sz w:val="20"/>
                <w:szCs w:val="20"/>
                <w:color w:val="auto"/>
              </w:rPr>
            </w:pPr>
            <w:r>
              <w:rPr>
                <w:rFonts w:ascii="Times New Roman" w:cs="Times New Roman" w:eastAsia="Times New Roman" w:hAnsi="Times New Roman"/>
                <w:sz w:val="21"/>
                <w:szCs w:val="21"/>
                <w:b w:val="1"/>
                <w:bCs w:val="1"/>
                <w:color w:val="auto"/>
              </w:rPr>
              <w:t>February</w:t>
            </w:r>
          </w:p>
        </w:tc>
        <w:tc>
          <w:tcPr>
            <w:tcW w:w="800" w:type="dxa"/>
            <w:vAlign w:val="bottom"/>
          </w:tcPr>
          <w:p>
            <w:pPr>
              <w:jc w:val="center"/>
              <w:spacing w:after="0" w:line="237" w:lineRule="exact"/>
              <w:rPr>
                <w:sz w:val="20"/>
                <w:szCs w:val="20"/>
                <w:color w:val="auto"/>
              </w:rPr>
            </w:pPr>
            <w:r>
              <w:rPr>
                <w:rFonts w:ascii="Times New Roman" w:cs="Times New Roman" w:eastAsia="Times New Roman" w:hAnsi="Times New Roman"/>
                <w:sz w:val="21"/>
                <w:szCs w:val="21"/>
                <w:b w:val="1"/>
                <w:bCs w:val="1"/>
                <w:color w:val="auto"/>
                <w:w w:val="96"/>
              </w:rPr>
              <w:t>Total</w:t>
            </w:r>
          </w:p>
        </w:tc>
        <w:tc>
          <w:tcPr>
            <w:tcW w:w="0" w:type="dxa"/>
            <w:vAlign w:val="bottom"/>
          </w:tcPr>
          <w:p>
            <w:pPr>
              <w:spacing w:after="0"/>
              <w:rPr>
                <w:sz w:val="1"/>
                <w:szCs w:val="1"/>
                <w:color w:val="auto"/>
              </w:rPr>
            </w:pPr>
          </w:p>
        </w:tc>
      </w:tr>
      <w:tr>
        <w:trPr>
          <w:trHeight w:val="279"/>
        </w:trPr>
        <w:tc>
          <w:tcPr>
            <w:tcW w:w="324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(In thousands of U.S. dollars)</w:t>
            </w:r>
          </w:p>
        </w:tc>
        <w:tc>
          <w:tcPr>
            <w:tcW w:w="120" w:type="dxa"/>
            <w:vAlign w:val="bottom"/>
          </w:tcPr>
          <w:p>
            <w:pPr>
              <w:spacing w:after="0"/>
              <w:rPr>
                <w:sz w:val="24"/>
                <w:szCs w:val="24"/>
                <w:color w:val="auto"/>
              </w:rPr>
            </w:pPr>
          </w:p>
        </w:tc>
        <w:tc>
          <w:tcPr>
            <w:tcW w:w="880" w:type="dxa"/>
            <w:vAlign w:val="bottom"/>
          </w:tcPr>
          <w:p>
            <w:pPr>
              <w:jc w:val="center"/>
              <w:ind w:right="35"/>
              <w:spacing w:after="0"/>
              <w:rPr>
                <w:sz w:val="20"/>
                <w:szCs w:val="20"/>
                <w:color w:val="auto"/>
              </w:rPr>
            </w:pPr>
            <w:r>
              <w:rPr>
                <w:rFonts w:ascii="Times New Roman" w:cs="Times New Roman" w:eastAsia="Times New Roman" w:hAnsi="Times New Roman"/>
                <w:sz w:val="21"/>
                <w:szCs w:val="21"/>
                <w:b w:val="1"/>
                <w:bCs w:val="1"/>
                <w:color w:val="auto"/>
              </w:rPr>
              <w:t>28, 2026</w:t>
            </w:r>
          </w:p>
        </w:tc>
        <w:tc>
          <w:tcPr>
            <w:tcW w:w="10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Revenue</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rPr>
              <w:t>28, 2025</w:t>
            </w:r>
          </w:p>
        </w:tc>
        <w:tc>
          <w:tcPr>
            <w:tcW w:w="12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Revenue</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rPr>
              <w:t>28, 2026</w:t>
            </w:r>
          </w:p>
        </w:tc>
        <w:tc>
          <w:tcPr>
            <w:tcW w:w="12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Revenue</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rPr>
              <w:t>28, 2025</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rPr>
              <w:t>Revenue</w:t>
            </w:r>
          </w:p>
        </w:tc>
        <w:tc>
          <w:tcPr>
            <w:tcW w:w="0" w:type="dxa"/>
            <w:vAlign w:val="bottom"/>
          </w:tcPr>
          <w:p>
            <w:pPr>
              <w:spacing w:after="0"/>
              <w:rPr>
                <w:sz w:val="1"/>
                <w:szCs w:val="1"/>
                <w:color w:val="auto"/>
              </w:rPr>
            </w:pPr>
          </w:p>
        </w:tc>
      </w:tr>
      <w:tr>
        <w:trPr>
          <w:trHeight w:val="204"/>
        </w:trPr>
        <w:tc>
          <w:tcPr>
            <w:tcW w:w="3240" w:type="dxa"/>
            <w:vAlign w:val="bottom"/>
          </w:tcPr>
          <w:p>
            <w:pPr>
              <w:spacing w:after="0" w:line="204" w:lineRule="exact"/>
              <w:rPr>
                <w:sz w:val="20"/>
                <w:szCs w:val="20"/>
                <w:color w:val="auto"/>
              </w:rPr>
            </w:pPr>
            <w:r>
              <w:rPr>
                <w:rFonts w:ascii="Times New Roman" w:cs="Times New Roman" w:eastAsia="Times New Roman" w:hAnsi="Times New Roman"/>
                <w:sz w:val="21"/>
                <w:szCs w:val="21"/>
                <w:color w:val="auto"/>
              </w:rPr>
              <w:t>Revenue from Canadian medical</w:t>
            </w: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240" w:type="dxa"/>
            <w:vAlign w:val="bottom"/>
          </w:tcPr>
          <w:p>
            <w:pPr>
              <w:spacing w:after="0"/>
              <w:rPr>
                <w:sz w:val="20"/>
                <w:szCs w:val="20"/>
                <w:color w:val="auto"/>
              </w:rPr>
            </w:pPr>
            <w:r>
              <w:rPr>
                <w:rFonts w:ascii="Times New Roman" w:cs="Times New Roman" w:eastAsia="Times New Roman" w:hAnsi="Times New Roman"/>
                <w:sz w:val="21"/>
                <w:szCs w:val="21"/>
                <w:color w:val="auto"/>
              </w:rPr>
              <w:t>cannabis</w:t>
            </w:r>
          </w:p>
        </w:tc>
        <w:tc>
          <w:tcPr>
            <w:tcW w:w="1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5,979</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5,839</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18,359</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18,773</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c>
          <w:tcPr>
            <w:tcW w:w="0" w:type="dxa"/>
            <w:vAlign w:val="bottom"/>
          </w:tcPr>
          <w:p>
            <w:pPr>
              <w:spacing w:after="0"/>
              <w:rPr>
                <w:sz w:val="1"/>
                <w:szCs w:val="1"/>
                <w:color w:val="auto"/>
              </w:rPr>
            </w:pPr>
          </w:p>
        </w:tc>
      </w:tr>
      <w:tr>
        <w:trPr>
          <w:trHeight w:val="237"/>
        </w:trPr>
        <w:tc>
          <w:tcPr>
            <w:tcW w:w="324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Revenue from Canadian adult-use</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240" w:type="dxa"/>
            <w:vAlign w:val="bottom"/>
          </w:tcPr>
          <w:p>
            <w:pPr>
              <w:spacing w:after="0"/>
              <w:rPr>
                <w:sz w:val="20"/>
                <w:szCs w:val="20"/>
                <w:color w:val="auto"/>
              </w:rPr>
            </w:pPr>
            <w:r>
              <w:rPr>
                <w:rFonts w:ascii="Times New Roman" w:cs="Times New Roman" w:eastAsia="Times New Roman" w:hAnsi="Times New Roman"/>
                <w:sz w:val="21"/>
                <w:szCs w:val="21"/>
                <w:color w:val="auto"/>
              </w:rPr>
              <w:t>cannabis</w:t>
            </w:r>
          </w:p>
        </w:tc>
        <w:tc>
          <w:tcPr>
            <w:tcW w:w="120" w:type="dxa"/>
            <w:vAlign w:val="bottom"/>
          </w:tcPr>
          <w:p>
            <w:pPr>
              <w:spacing w:after="0"/>
              <w:rPr>
                <w:sz w:val="22"/>
                <w:szCs w:val="22"/>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52,570</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49,315</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179,085</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165,627</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91%</w:t>
            </w:r>
          </w:p>
        </w:tc>
        <w:tc>
          <w:tcPr>
            <w:tcW w:w="0" w:type="dxa"/>
            <w:vAlign w:val="bottom"/>
          </w:tcPr>
          <w:p>
            <w:pPr>
              <w:spacing w:after="0"/>
              <w:rPr>
                <w:sz w:val="1"/>
                <w:szCs w:val="1"/>
                <w:color w:val="auto"/>
              </w:rPr>
            </w:pPr>
          </w:p>
        </w:tc>
      </w:tr>
      <w:tr>
        <w:trPr>
          <w:trHeight w:val="263"/>
        </w:trPr>
        <w:tc>
          <w:tcPr>
            <w:tcW w:w="3240" w:type="dxa"/>
            <w:vAlign w:val="bottom"/>
          </w:tcPr>
          <w:p>
            <w:pPr>
              <w:spacing w:after="0"/>
              <w:rPr>
                <w:sz w:val="20"/>
                <w:szCs w:val="20"/>
                <w:color w:val="auto"/>
              </w:rPr>
            </w:pPr>
            <w:r>
              <w:rPr>
                <w:rFonts w:ascii="Times New Roman" w:cs="Times New Roman" w:eastAsia="Times New Roman" w:hAnsi="Times New Roman"/>
                <w:sz w:val="21"/>
                <w:szCs w:val="21"/>
                <w:color w:val="auto"/>
              </w:rPr>
              <w:t>Revenue from wholesale cannabis</w:t>
            </w:r>
          </w:p>
        </w:tc>
        <w:tc>
          <w:tcPr>
            <w:tcW w:w="120" w:type="dxa"/>
            <w:vAlign w:val="bottom"/>
          </w:tcPr>
          <w:p>
            <w:pPr>
              <w:spacing w:after="0"/>
              <w:rPr>
                <w:sz w:val="22"/>
                <w:szCs w:val="22"/>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1,165</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3,893</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6,666</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15,993</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c>
          <w:tcPr>
            <w:tcW w:w="0" w:type="dxa"/>
            <w:vAlign w:val="bottom"/>
          </w:tcPr>
          <w:p>
            <w:pPr>
              <w:spacing w:after="0"/>
              <w:rPr>
                <w:sz w:val="1"/>
                <w:szCs w:val="1"/>
                <w:color w:val="auto"/>
              </w:rPr>
            </w:pPr>
          </w:p>
        </w:tc>
      </w:tr>
      <w:tr>
        <w:trPr>
          <w:trHeight w:val="263"/>
        </w:trPr>
        <w:tc>
          <w:tcPr>
            <w:tcW w:w="3240" w:type="dxa"/>
            <w:vAlign w:val="bottom"/>
          </w:tcPr>
          <w:p>
            <w:pPr>
              <w:spacing w:after="0"/>
              <w:rPr>
                <w:sz w:val="20"/>
                <w:szCs w:val="20"/>
                <w:color w:val="auto"/>
              </w:rPr>
            </w:pPr>
            <w:r>
              <w:rPr>
                <w:rFonts w:ascii="Times New Roman" w:cs="Times New Roman" w:eastAsia="Times New Roman" w:hAnsi="Times New Roman"/>
                <w:sz w:val="21"/>
                <w:szCs w:val="21"/>
                <w:color w:val="auto"/>
              </w:rPr>
              <w:t>Revenue from international cannabis</w:t>
            </w:r>
          </w:p>
        </w:tc>
        <w:tc>
          <w:tcPr>
            <w:tcW w:w="120" w:type="dxa"/>
            <w:vAlign w:val="bottom"/>
          </w:tcPr>
          <w:p>
            <w:pPr>
              <w:spacing w:after="0"/>
              <w:rPr>
                <w:sz w:val="22"/>
                <w:szCs w:val="22"/>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24,121</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13,935</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57,668</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40,991</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c>
          <w:tcPr>
            <w:tcW w:w="0" w:type="dxa"/>
            <w:vAlign w:val="bottom"/>
          </w:tcPr>
          <w:p>
            <w:pPr>
              <w:spacing w:after="0"/>
              <w:rPr>
                <w:sz w:val="1"/>
                <w:szCs w:val="1"/>
                <w:color w:val="auto"/>
              </w:rPr>
            </w:pPr>
          </w:p>
        </w:tc>
      </w:tr>
      <w:tr>
        <w:trPr>
          <w:trHeight w:val="276"/>
        </w:trPr>
        <w:tc>
          <w:tcPr>
            <w:tcW w:w="3240" w:type="dxa"/>
            <w:vAlign w:val="bottom"/>
          </w:tcPr>
          <w:p>
            <w:pPr>
              <w:spacing w:after="0"/>
              <w:rPr>
                <w:sz w:val="20"/>
                <w:szCs w:val="20"/>
                <w:color w:val="auto"/>
              </w:rPr>
            </w:pPr>
            <w:r>
              <w:rPr>
                <w:rFonts w:ascii="Times New Roman" w:cs="Times New Roman" w:eastAsia="Times New Roman" w:hAnsi="Times New Roman"/>
                <w:sz w:val="21"/>
                <w:szCs w:val="21"/>
                <w:color w:val="auto"/>
              </w:rPr>
              <w:t>Less excise taxes</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(19,007)</w:t>
            </w:r>
          </w:p>
        </w:tc>
        <w:tc>
          <w:tcPr>
            <w:tcW w:w="10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(29)%</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(18,708)</w:t>
            </w:r>
          </w:p>
        </w:tc>
        <w:tc>
          <w:tcPr>
            <w:tcW w:w="12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(64,907)</w:t>
            </w:r>
          </w:p>
        </w:tc>
        <w:tc>
          <w:tcPr>
            <w:tcW w:w="12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(60,209)</w:t>
            </w: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(33)%</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Times New Roman" w:cs="Times New Roman" w:eastAsia="Times New Roman" w:hAnsi="Times New Roman"/>
                <w:sz w:val="21"/>
                <w:szCs w:val="21"/>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8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rPr>
              <w:t>64,828</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54,274</w:t>
            </w:r>
          </w:p>
        </w:tc>
        <w:tc>
          <w:tcPr>
            <w:tcW w:w="12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00" w:type="dxa"/>
            <w:vAlign w:val="bottom"/>
          </w:tcPr>
          <w:p>
            <w:pPr>
              <w:spacing w:after="0"/>
              <w:rPr>
                <w:sz w:val="22"/>
                <w:szCs w:val="22"/>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1"/>
                <w:szCs w:val="21"/>
                <w:color w:val="auto"/>
              </w:rPr>
              <w:t>$ 196,871</w:t>
            </w:r>
          </w:p>
        </w:tc>
        <w:tc>
          <w:tcPr>
            <w:tcW w:w="12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00" w:type="dxa"/>
            <w:vAlign w:val="bottom"/>
          </w:tcPr>
          <w:p>
            <w:pPr>
              <w:spacing w:after="0"/>
              <w:rPr>
                <w:sz w:val="22"/>
                <w:szCs w:val="22"/>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1"/>
                <w:szCs w:val="21"/>
                <w:color w:val="auto"/>
              </w:rPr>
              <w:t>$ 181,175</w:t>
            </w:r>
          </w:p>
        </w:tc>
        <w:tc>
          <w:tcPr>
            <w:tcW w:w="10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340" w:type="dxa"/>
            <w:vAlign w:val="bottom"/>
            <w:gridSpan w:val="9"/>
          </w:tcPr>
          <w:p>
            <w:pPr>
              <w:spacing w:after="0"/>
              <w:rPr>
                <w:sz w:val="20"/>
                <w:szCs w:val="20"/>
                <w:color w:val="auto"/>
              </w:rPr>
            </w:pPr>
            <w:r>
              <w:rPr>
                <w:rFonts w:ascii="Times New Roman" w:cs="Times New Roman" w:eastAsia="Times New Roman" w:hAnsi="Times New Roman"/>
                <w:sz w:val="21"/>
                <w:szCs w:val="21"/>
                <w:b w:val="1"/>
                <w:bCs w:val="1"/>
                <w:color w:val="auto"/>
              </w:rPr>
              <w:t>Net Cannabis Revenue by Market Channel in Constant Currency</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4"/>
          </w:tcPr>
          <w:p>
            <w:pPr>
              <w:jc w:val="center"/>
              <w:ind w:right="220"/>
              <w:spacing w:after="0" w:line="237" w:lineRule="exact"/>
              <w:rPr>
                <w:sz w:val="20"/>
                <w:szCs w:val="20"/>
                <w:color w:val="auto"/>
              </w:rPr>
            </w:pPr>
            <w:r>
              <w:rPr>
                <w:rFonts w:ascii="Times New Roman" w:cs="Times New Roman" w:eastAsia="Times New Roman" w:hAnsi="Times New Roman"/>
                <w:sz w:val="21"/>
                <w:szCs w:val="21"/>
                <w:b w:val="1"/>
                <w:bCs w:val="1"/>
                <w:color w:val="auto"/>
                <w:w w:val="98"/>
              </w:rPr>
              <w:t>For the three</w:t>
            </w:r>
          </w:p>
        </w:tc>
        <w:tc>
          <w:tcPr>
            <w:tcW w:w="120" w:type="dxa"/>
            <w:vAlign w:val="bottom"/>
          </w:tcPr>
          <w:p>
            <w:pPr>
              <w:spacing w:after="0"/>
              <w:rPr>
                <w:sz w:val="20"/>
                <w:szCs w:val="20"/>
                <w:color w:val="auto"/>
              </w:rPr>
            </w:pPr>
          </w:p>
        </w:tc>
        <w:tc>
          <w:tcPr>
            <w:tcW w:w="1880" w:type="dxa"/>
            <w:vAlign w:val="bottom"/>
            <w:gridSpan w:val="4"/>
          </w:tcPr>
          <w:p>
            <w:pPr>
              <w:jc w:val="center"/>
              <w:ind w:right="220"/>
              <w:spacing w:after="0" w:line="237" w:lineRule="exact"/>
              <w:rPr>
                <w:sz w:val="20"/>
                <w:szCs w:val="20"/>
                <w:color w:val="auto"/>
              </w:rPr>
            </w:pPr>
            <w:r>
              <w:rPr>
                <w:rFonts w:ascii="Times New Roman" w:cs="Times New Roman" w:eastAsia="Times New Roman" w:hAnsi="Times New Roman"/>
                <w:sz w:val="21"/>
                <w:szCs w:val="21"/>
                <w:b w:val="1"/>
                <w:bCs w:val="1"/>
                <w:color w:val="auto"/>
              </w:rPr>
              <w:t>For the three</w:t>
            </w:r>
          </w:p>
        </w:tc>
        <w:tc>
          <w:tcPr>
            <w:tcW w:w="120" w:type="dxa"/>
            <w:vAlign w:val="bottom"/>
          </w:tcPr>
          <w:p>
            <w:pPr>
              <w:spacing w:after="0"/>
              <w:rPr>
                <w:sz w:val="20"/>
                <w:szCs w:val="20"/>
                <w:color w:val="auto"/>
              </w:rPr>
            </w:pPr>
          </w:p>
        </w:tc>
        <w:tc>
          <w:tcPr>
            <w:tcW w:w="1880" w:type="dxa"/>
            <w:vAlign w:val="bottom"/>
            <w:gridSpan w:val="4"/>
          </w:tcPr>
          <w:p>
            <w:pPr>
              <w:jc w:val="center"/>
              <w:ind w:right="220"/>
              <w:spacing w:after="0" w:line="237" w:lineRule="exact"/>
              <w:rPr>
                <w:sz w:val="20"/>
                <w:szCs w:val="20"/>
                <w:color w:val="auto"/>
              </w:rPr>
            </w:pPr>
            <w:r>
              <w:rPr>
                <w:rFonts w:ascii="Times New Roman" w:cs="Times New Roman" w:eastAsia="Times New Roman" w:hAnsi="Times New Roman"/>
                <w:sz w:val="21"/>
                <w:szCs w:val="21"/>
                <w:b w:val="1"/>
                <w:bCs w:val="1"/>
                <w:color w:val="auto"/>
              </w:rPr>
              <w:t>For the nine</w:t>
            </w:r>
          </w:p>
        </w:tc>
        <w:tc>
          <w:tcPr>
            <w:tcW w:w="120" w:type="dxa"/>
            <w:vAlign w:val="bottom"/>
          </w:tcPr>
          <w:p>
            <w:pPr>
              <w:spacing w:after="0"/>
              <w:rPr>
                <w:sz w:val="20"/>
                <w:szCs w:val="20"/>
                <w:color w:val="auto"/>
              </w:rPr>
            </w:pPr>
          </w:p>
        </w:tc>
        <w:tc>
          <w:tcPr>
            <w:tcW w:w="1780" w:type="dxa"/>
            <w:vAlign w:val="bottom"/>
            <w:gridSpan w:val="3"/>
          </w:tcPr>
          <w:p>
            <w:pPr>
              <w:jc w:val="center"/>
              <w:ind w:right="15"/>
              <w:spacing w:after="0" w:line="237" w:lineRule="exact"/>
              <w:rPr>
                <w:sz w:val="20"/>
                <w:szCs w:val="20"/>
                <w:color w:val="auto"/>
              </w:rPr>
            </w:pPr>
            <w:r>
              <w:rPr>
                <w:rFonts w:ascii="Times New Roman" w:cs="Times New Roman" w:eastAsia="Times New Roman" w:hAnsi="Times New Roman"/>
                <w:sz w:val="21"/>
                <w:szCs w:val="21"/>
                <w:b w:val="1"/>
                <w:bCs w:val="1"/>
                <w:color w:val="auto"/>
              </w:rPr>
              <w:t>For the nine</w:t>
            </w:r>
          </w:p>
        </w:tc>
        <w:tc>
          <w:tcPr>
            <w:tcW w:w="0" w:type="dxa"/>
            <w:vAlign w:val="bottom"/>
          </w:tcPr>
          <w:p>
            <w:pPr>
              <w:spacing w:after="0"/>
              <w:rPr>
                <w:sz w:val="1"/>
                <w:szCs w:val="1"/>
                <w:color w:val="auto"/>
              </w:rPr>
            </w:pPr>
          </w:p>
        </w:tc>
      </w:tr>
      <w:tr>
        <w:trPr>
          <w:trHeight w:val="263"/>
        </w:trPr>
        <w:tc>
          <w:tcPr>
            <w:tcW w:w="3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60" w:type="dxa"/>
            <w:vAlign w:val="bottom"/>
            <w:gridSpan w:val="4"/>
          </w:tcPr>
          <w:p>
            <w:pPr>
              <w:jc w:val="center"/>
              <w:ind w:right="240"/>
              <w:spacing w:after="0"/>
              <w:rPr>
                <w:sz w:val="20"/>
                <w:szCs w:val="20"/>
                <w:color w:val="auto"/>
              </w:rPr>
            </w:pPr>
            <w:r>
              <w:rPr>
                <w:rFonts w:ascii="Times New Roman" w:cs="Times New Roman" w:eastAsia="Times New Roman" w:hAnsi="Times New Roman"/>
                <w:sz w:val="21"/>
                <w:szCs w:val="21"/>
                <w:b w:val="1"/>
                <w:bCs w:val="1"/>
                <w:color w:val="auto"/>
              </w:rPr>
              <w:t>months ended</w:t>
            </w:r>
          </w:p>
        </w:tc>
        <w:tc>
          <w:tcPr>
            <w:tcW w:w="120" w:type="dxa"/>
            <w:vAlign w:val="bottom"/>
          </w:tcPr>
          <w:p>
            <w:pPr>
              <w:spacing w:after="0"/>
              <w:rPr>
                <w:sz w:val="22"/>
                <w:szCs w:val="22"/>
                <w:color w:val="auto"/>
              </w:rPr>
            </w:pPr>
          </w:p>
        </w:tc>
        <w:tc>
          <w:tcPr>
            <w:tcW w:w="1880" w:type="dxa"/>
            <w:vAlign w:val="bottom"/>
            <w:gridSpan w:val="4"/>
          </w:tcPr>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months ended</w:t>
            </w:r>
          </w:p>
        </w:tc>
        <w:tc>
          <w:tcPr>
            <w:tcW w:w="120" w:type="dxa"/>
            <w:vAlign w:val="bottom"/>
          </w:tcPr>
          <w:p>
            <w:pPr>
              <w:spacing w:after="0"/>
              <w:rPr>
                <w:sz w:val="22"/>
                <w:szCs w:val="22"/>
                <w:color w:val="auto"/>
              </w:rPr>
            </w:pPr>
          </w:p>
        </w:tc>
        <w:tc>
          <w:tcPr>
            <w:tcW w:w="1880" w:type="dxa"/>
            <w:vAlign w:val="bottom"/>
            <w:gridSpan w:val="4"/>
          </w:tcPr>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months ended</w:t>
            </w:r>
          </w:p>
        </w:tc>
        <w:tc>
          <w:tcPr>
            <w:tcW w:w="120" w:type="dxa"/>
            <w:vAlign w:val="bottom"/>
          </w:tcPr>
          <w:p>
            <w:pPr>
              <w:spacing w:after="0"/>
              <w:rPr>
                <w:sz w:val="22"/>
                <w:szCs w:val="22"/>
                <w:color w:val="auto"/>
              </w:rPr>
            </w:pPr>
          </w:p>
        </w:tc>
        <w:tc>
          <w:tcPr>
            <w:tcW w:w="1780" w:type="dxa"/>
            <w:vAlign w:val="bottom"/>
            <w:gridSpan w:val="3"/>
          </w:tcPr>
          <w:p>
            <w:pPr>
              <w:jc w:val="center"/>
              <w:ind w:right="15"/>
              <w:spacing w:after="0"/>
              <w:rPr>
                <w:sz w:val="20"/>
                <w:szCs w:val="20"/>
                <w:color w:val="auto"/>
              </w:rPr>
            </w:pPr>
            <w:r>
              <w:rPr>
                <w:rFonts w:ascii="Times New Roman" w:cs="Times New Roman" w:eastAsia="Times New Roman" w:hAnsi="Times New Roman"/>
                <w:sz w:val="21"/>
                <w:szCs w:val="21"/>
                <w:b w:val="1"/>
                <w:bCs w:val="1"/>
                <w:color w:val="auto"/>
              </w:rPr>
              <w:t>months ended</w:t>
            </w: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1100" w:type="dxa"/>
            <w:vAlign w:val="bottom"/>
            <w:gridSpan w:val="3"/>
          </w:tcPr>
          <w:p>
            <w:pPr>
              <w:jc w:val="center"/>
              <w:ind w:right="120"/>
              <w:spacing w:after="0" w:line="237" w:lineRule="exact"/>
              <w:rPr>
                <w:sz w:val="20"/>
                <w:szCs w:val="20"/>
                <w:color w:val="auto"/>
              </w:rPr>
            </w:pPr>
            <w:r>
              <w:rPr>
                <w:rFonts w:ascii="Times New Roman" w:cs="Times New Roman" w:eastAsia="Times New Roman" w:hAnsi="Times New Roman"/>
                <w:sz w:val="21"/>
                <w:szCs w:val="21"/>
                <w:b w:val="1"/>
                <w:bCs w:val="1"/>
                <w:color w:val="auto"/>
              </w:rPr>
              <w:t>February</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rPr>
              <w:t>February</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rPr>
              <w:t>February</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center"/>
              <w:ind w:right="80"/>
              <w:spacing w:after="0" w:line="237" w:lineRule="exact"/>
              <w:rPr>
                <w:sz w:val="20"/>
                <w:szCs w:val="20"/>
                <w:color w:val="auto"/>
              </w:rPr>
            </w:pPr>
            <w:r>
              <w:rPr>
                <w:rFonts w:ascii="Times New Roman" w:cs="Times New Roman" w:eastAsia="Times New Roman" w:hAnsi="Times New Roman"/>
                <w:sz w:val="21"/>
                <w:szCs w:val="21"/>
                <w:b w:val="1"/>
                <w:bCs w:val="1"/>
                <w:color w:val="auto"/>
              </w:rPr>
              <w:t>February</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center"/>
              <w:ind w:right="35"/>
              <w:spacing w:after="0"/>
              <w:rPr>
                <w:sz w:val="20"/>
                <w:szCs w:val="20"/>
                <w:color w:val="auto"/>
              </w:rPr>
            </w:pPr>
            <w:r>
              <w:rPr>
                <w:rFonts w:ascii="Times New Roman" w:cs="Times New Roman" w:eastAsia="Times New Roman" w:hAnsi="Times New Roman"/>
                <w:sz w:val="21"/>
                <w:szCs w:val="21"/>
                <w:b w:val="1"/>
                <w:bCs w:val="1"/>
                <w:color w:val="auto"/>
              </w:rPr>
              <w:t>28, 2026</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rPr>
              <w:t>28, 2025</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rPr>
              <w:t>28, 2026</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rPr>
              <w:t>28, 2025</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240"/>
              <w:spacing w:after="0" w:line="237" w:lineRule="exact"/>
              <w:rPr>
                <w:sz w:val="20"/>
                <w:szCs w:val="20"/>
                <w:color w:val="auto"/>
              </w:rPr>
            </w:pPr>
            <w:r>
              <w:rPr>
                <w:rFonts w:ascii="Times New Roman" w:cs="Times New Roman" w:eastAsia="Times New Roman" w:hAnsi="Times New Roman"/>
                <w:sz w:val="21"/>
                <w:szCs w:val="21"/>
                <w:b w:val="1"/>
                <w:bCs w:val="1"/>
                <w:color w:val="auto"/>
                <w:w w:val="96"/>
              </w:rPr>
              <w:t>as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20"/>
              <w:spacing w:after="0" w:line="237" w:lineRule="exact"/>
              <w:rPr>
                <w:sz w:val="20"/>
                <w:szCs w:val="20"/>
                <w:color w:val="auto"/>
              </w:rPr>
            </w:pPr>
            <w:r>
              <w:rPr>
                <w:rFonts w:ascii="Times New Roman" w:cs="Times New Roman" w:eastAsia="Times New Roman" w:hAnsi="Times New Roman"/>
                <w:sz w:val="21"/>
                <w:szCs w:val="21"/>
                <w:b w:val="1"/>
                <w:bCs w:val="1"/>
                <w:color w:val="auto"/>
                <w:w w:val="96"/>
              </w:rPr>
              <w:t>as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20"/>
              <w:spacing w:after="0" w:line="237" w:lineRule="exact"/>
              <w:rPr>
                <w:sz w:val="20"/>
                <w:szCs w:val="20"/>
                <w:color w:val="auto"/>
              </w:rPr>
            </w:pPr>
            <w:r>
              <w:rPr>
                <w:rFonts w:ascii="Times New Roman" w:cs="Times New Roman" w:eastAsia="Times New Roman" w:hAnsi="Times New Roman"/>
                <w:sz w:val="21"/>
                <w:szCs w:val="21"/>
                <w:b w:val="1"/>
                <w:bCs w:val="1"/>
                <w:color w:val="auto"/>
                <w:w w:val="96"/>
              </w:rPr>
              <w:t>as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200"/>
              <w:spacing w:after="0" w:line="237" w:lineRule="exact"/>
              <w:rPr>
                <w:sz w:val="20"/>
                <w:szCs w:val="20"/>
                <w:color w:val="auto"/>
              </w:rPr>
            </w:pPr>
            <w:r>
              <w:rPr>
                <w:rFonts w:ascii="Times New Roman" w:cs="Times New Roman" w:eastAsia="Times New Roman" w:hAnsi="Times New Roman"/>
                <w:sz w:val="21"/>
                <w:szCs w:val="21"/>
                <w:b w:val="1"/>
                <w:bCs w:val="1"/>
                <w:color w:val="auto"/>
                <w:w w:val="96"/>
              </w:rPr>
              <w:t>as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1100" w:type="dxa"/>
            <w:vAlign w:val="bottom"/>
            <w:gridSpan w:val="3"/>
          </w:tcPr>
          <w:p>
            <w:pPr>
              <w:jc w:val="center"/>
              <w:ind w:right="120"/>
              <w:spacing w:after="0" w:line="237" w:lineRule="exact"/>
              <w:rPr>
                <w:sz w:val="20"/>
                <w:szCs w:val="20"/>
                <w:color w:val="auto"/>
              </w:rPr>
            </w:pPr>
            <w:r>
              <w:rPr>
                <w:rFonts w:ascii="Times New Roman" w:cs="Times New Roman" w:eastAsia="Times New Roman" w:hAnsi="Times New Roman"/>
                <w:sz w:val="21"/>
                <w:szCs w:val="21"/>
                <w:b w:val="1"/>
                <w:bCs w:val="1"/>
                <w:color w:val="auto"/>
                <w:w w:val="99"/>
              </w:rPr>
              <w:t>reported</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w w:val="99"/>
              </w:rPr>
              <w:t>reported</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w w:val="99"/>
              </w:rPr>
              <w:t>reported</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center"/>
              <w:ind w:right="80"/>
              <w:spacing w:after="0" w:line="237" w:lineRule="exact"/>
              <w:rPr>
                <w:sz w:val="20"/>
                <w:szCs w:val="20"/>
                <w:color w:val="auto"/>
              </w:rPr>
            </w:pPr>
            <w:r>
              <w:rPr>
                <w:rFonts w:ascii="Times New Roman" w:cs="Times New Roman" w:eastAsia="Times New Roman" w:hAnsi="Times New Roman"/>
                <w:sz w:val="21"/>
                <w:szCs w:val="21"/>
                <w:b w:val="1"/>
                <w:bCs w:val="1"/>
                <w:color w:val="auto"/>
                <w:w w:val="99"/>
              </w:rPr>
              <w:t>reported</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240"/>
              <w:spacing w:after="0" w:line="237" w:lineRule="exact"/>
              <w:rPr>
                <w:sz w:val="20"/>
                <w:szCs w:val="20"/>
                <w:color w:val="auto"/>
              </w:rPr>
            </w:pPr>
            <w:r>
              <w:rPr>
                <w:rFonts w:ascii="Times New Roman" w:cs="Times New Roman" w:eastAsia="Times New Roman" w:hAnsi="Times New Roman"/>
                <w:sz w:val="21"/>
                <w:szCs w:val="21"/>
                <w:b w:val="1"/>
                <w:bCs w:val="1"/>
                <w:color w:val="auto"/>
              </w:rPr>
              <w:t>in</w:t>
            </w:r>
          </w:p>
        </w:tc>
        <w:tc>
          <w:tcPr>
            <w:tcW w:w="880" w:type="dxa"/>
            <w:vAlign w:val="bottom"/>
            <w:gridSpan w:val="2"/>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w w:val="95"/>
              </w:rPr>
              <w:t>% of</w:t>
            </w:r>
          </w:p>
        </w:tc>
        <w:tc>
          <w:tcPr>
            <w:tcW w:w="120" w:type="dxa"/>
            <w:vAlign w:val="bottom"/>
          </w:tcPr>
          <w:p>
            <w:pPr>
              <w:spacing w:after="0"/>
              <w:rPr>
                <w:sz w:val="20"/>
                <w:szCs w:val="20"/>
                <w:color w:val="auto"/>
              </w:rPr>
            </w:pPr>
          </w:p>
        </w:tc>
        <w:tc>
          <w:tcPr>
            <w:tcW w:w="1000" w:type="dxa"/>
            <w:vAlign w:val="bottom"/>
            <w:gridSpan w:val="2"/>
          </w:tcPr>
          <w:p>
            <w:pPr>
              <w:jc w:val="center"/>
              <w:ind w:right="220"/>
              <w:spacing w:after="0" w:line="237" w:lineRule="exact"/>
              <w:rPr>
                <w:sz w:val="20"/>
                <w:szCs w:val="20"/>
                <w:color w:val="auto"/>
              </w:rPr>
            </w:pPr>
            <w:r>
              <w:rPr>
                <w:rFonts w:ascii="Times New Roman" w:cs="Times New Roman" w:eastAsia="Times New Roman" w:hAnsi="Times New Roman"/>
                <w:sz w:val="21"/>
                <w:szCs w:val="21"/>
                <w:b w:val="1"/>
                <w:bCs w:val="1"/>
                <w:color w:val="auto"/>
              </w:rPr>
              <w:t>in</w:t>
            </w:r>
          </w:p>
        </w:tc>
        <w:tc>
          <w:tcPr>
            <w:tcW w:w="880" w:type="dxa"/>
            <w:vAlign w:val="bottom"/>
            <w:gridSpan w:val="2"/>
          </w:tcPr>
          <w:p>
            <w:pPr>
              <w:jc w:val="center"/>
              <w:ind w:right="120"/>
              <w:spacing w:after="0" w:line="237" w:lineRule="exact"/>
              <w:rPr>
                <w:sz w:val="20"/>
                <w:szCs w:val="20"/>
                <w:color w:val="auto"/>
              </w:rPr>
            </w:pPr>
            <w:r>
              <w:rPr>
                <w:rFonts w:ascii="Times New Roman" w:cs="Times New Roman" w:eastAsia="Times New Roman" w:hAnsi="Times New Roman"/>
                <w:sz w:val="21"/>
                <w:szCs w:val="21"/>
                <w:b w:val="1"/>
                <w:bCs w:val="1"/>
                <w:color w:val="auto"/>
              </w:rPr>
              <w:t>% of</w:t>
            </w:r>
          </w:p>
        </w:tc>
        <w:tc>
          <w:tcPr>
            <w:tcW w:w="120" w:type="dxa"/>
            <w:vAlign w:val="bottom"/>
          </w:tcPr>
          <w:p>
            <w:pPr>
              <w:spacing w:after="0"/>
              <w:rPr>
                <w:sz w:val="20"/>
                <w:szCs w:val="20"/>
                <w:color w:val="auto"/>
              </w:rPr>
            </w:pPr>
          </w:p>
        </w:tc>
        <w:tc>
          <w:tcPr>
            <w:tcW w:w="1000" w:type="dxa"/>
            <w:vAlign w:val="bottom"/>
            <w:gridSpan w:val="2"/>
          </w:tcPr>
          <w:p>
            <w:pPr>
              <w:jc w:val="center"/>
              <w:ind w:right="220"/>
              <w:spacing w:after="0" w:line="237" w:lineRule="exact"/>
              <w:rPr>
                <w:sz w:val="20"/>
                <w:szCs w:val="20"/>
                <w:color w:val="auto"/>
              </w:rPr>
            </w:pPr>
            <w:r>
              <w:rPr>
                <w:rFonts w:ascii="Times New Roman" w:cs="Times New Roman" w:eastAsia="Times New Roman" w:hAnsi="Times New Roman"/>
                <w:sz w:val="21"/>
                <w:szCs w:val="21"/>
                <w:b w:val="1"/>
                <w:bCs w:val="1"/>
                <w:color w:val="auto"/>
              </w:rPr>
              <w:t>in</w:t>
            </w:r>
          </w:p>
        </w:tc>
        <w:tc>
          <w:tcPr>
            <w:tcW w:w="880" w:type="dxa"/>
            <w:vAlign w:val="bottom"/>
            <w:gridSpan w:val="2"/>
          </w:tcPr>
          <w:p>
            <w:pPr>
              <w:jc w:val="center"/>
              <w:ind w:right="120"/>
              <w:spacing w:after="0" w:line="237" w:lineRule="exact"/>
              <w:rPr>
                <w:sz w:val="20"/>
                <w:szCs w:val="20"/>
                <w:color w:val="auto"/>
              </w:rPr>
            </w:pPr>
            <w:r>
              <w:rPr>
                <w:rFonts w:ascii="Times New Roman" w:cs="Times New Roman" w:eastAsia="Times New Roman" w:hAnsi="Times New Roman"/>
                <w:sz w:val="21"/>
                <w:szCs w:val="21"/>
                <w:b w:val="1"/>
                <w:bCs w:val="1"/>
                <w:color w:val="auto"/>
              </w:rPr>
              <w:t>% of</w:t>
            </w:r>
          </w:p>
        </w:tc>
        <w:tc>
          <w:tcPr>
            <w:tcW w:w="120" w:type="dxa"/>
            <w:vAlign w:val="bottom"/>
          </w:tcPr>
          <w:p>
            <w:pPr>
              <w:spacing w:after="0"/>
              <w:rPr>
                <w:sz w:val="20"/>
                <w:szCs w:val="20"/>
                <w:color w:val="auto"/>
              </w:rPr>
            </w:pPr>
          </w:p>
        </w:tc>
        <w:tc>
          <w:tcPr>
            <w:tcW w:w="980" w:type="dxa"/>
            <w:vAlign w:val="bottom"/>
            <w:gridSpan w:val="2"/>
          </w:tcPr>
          <w:p>
            <w:pPr>
              <w:jc w:val="center"/>
              <w:ind w:right="200"/>
              <w:spacing w:after="0" w:line="237" w:lineRule="exact"/>
              <w:rPr>
                <w:sz w:val="20"/>
                <w:szCs w:val="20"/>
                <w:color w:val="auto"/>
              </w:rPr>
            </w:pPr>
            <w:r>
              <w:rPr>
                <w:rFonts w:ascii="Times New Roman" w:cs="Times New Roman" w:eastAsia="Times New Roman" w:hAnsi="Times New Roman"/>
                <w:sz w:val="21"/>
                <w:szCs w:val="21"/>
                <w:b w:val="1"/>
                <w:bCs w:val="1"/>
                <w:color w:val="auto"/>
              </w:rPr>
              <w:t>in</w:t>
            </w:r>
          </w:p>
        </w:tc>
        <w:tc>
          <w:tcPr>
            <w:tcW w:w="800" w:type="dxa"/>
            <w:vAlign w:val="bottom"/>
          </w:tcPr>
          <w:p>
            <w:pPr>
              <w:jc w:val="center"/>
              <w:spacing w:after="0" w:line="237" w:lineRule="exact"/>
              <w:rPr>
                <w:sz w:val="20"/>
                <w:szCs w:val="20"/>
                <w:color w:val="auto"/>
              </w:rPr>
            </w:pPr>
            <w:r>
              <w:rPr>
                <w:rFonts w:ascii="Times New Roman" w:cs="Times New Roman" w:eastAsia="Times New Roman" w:hAnsi="Times New Roman"/>
                <w:sz w:val="21"/>
                <w:szCs w:val="21"/>
                <w:b w:val="1"/>
                <w:bCs w:val="1"/>
                <w:color w:val="auto"/>
              </w:rPr>
              <w:t>% of</w:t>
            </w: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220"/>
              <w:spacing w:after="0" w:line="237" w:lineRule="exact"/>
              <w:rPr>
                <w:sz w:val="20"/>
                <w:szCs w:val="20"/>
                <w:color w:val="auto"/>
              </w:rPr>
            </w:pPr>
            <w:r>
              <w:rPr>
                <w:rFonts w:ascii="Times New Roman" w:cs="Times New Roman" w:eastAsia="Times New Roman" w:hAnsi="Times New Roman"/>
                <w:sz w:val="21"/>
                <w:szCs w:val="21"/>
                <w:b w:val="1"/>
                <w:bCs w:val="1"/>
                <w:color w:val="auto"/>
              </w:rPr>
              <w:t>constant</w:t>
            </w:r>
          </w:p>
        </w:tc>
        <w:tc>
          <w:tcPr>
            <w:tcW w:w="880" w:type="dxa"/>
            <w:vAlign w:val="bottom"/>
            <w:gridSpan w:val="2"/>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w w:val="96"/>
              </w:rPr>
              <w:t>Total</w:t>
            </w:r>
          </w:p>
        </w:tc>
        <w:tc>
          <w:tcPr>
            <w:tcW w:w="120" w:type="dxa"/>
            <w:vAlign w:val="bottom"/>
          </w:tcPr>
          <w:p>
            <w:pPr>
              <w:spacing w:after="0"/>
              <w:rPr>
                <w:sz w:val="20"/>
                <w:szCs w:val="20"/>
                <w:color w:val="auto"/>
              </w:rPr>
            </w:pPr>
          </w:p>
        </w:tc>
        <w:tc>
          <w:tcPr>
            <w:tcW w:w="1000" w:type="dxa"/>
            <w:vAlign w:val="bottom"/>
            <w:gridSpan w:val="2"/>
          </w:tcPr>
          <w:p>
            <w:pPr>
              <w:jc w:val="center"/>
              <w:ind w:right="240"/>
              <w:spacing w:after="0" w:line="237" w:lineRule="exact"/>
              <w:rPr>
                <w:sz w:val="20"/>
                <w:szCs w:val="20"/>
                <w:color w:val="auto"/>
              </w:rPr>
            </w:pPr>
            <w:r>
              <w:rPr>
                <w:rFonts w:ascii="Times New Roman" w:cs="Times New Roman" w:eastAsia="Times New Roman" w:hAnsi="Times New Roman"/>
                <w:sz w:val="21"/>
                <w:szCs w:val="21"/>
                <w:b w:val="1"/>
                <w:bCs w:val="1"/>
                <w:color w:val="auto"/>
              </w:rPr>
              <w:t>constant</w:t>
            </w:r>
          </w:p>
        </w:tc>
        <w:tc>
          <w:tcPr>
            <w:tcW w:w="880" w:type="dxa"/>
            <w:vAlign w:val="bottom"/>
            <w:gridSpan w:val="2"/>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w w:val="96"/>
              </w:rPr>
              <w:t>Total</w:t>
            </w:r>
          </w:p>
        </w:tc>
        <w:tc>
          <w:tcPr>
            <w:tcW w:w="120" w:type="dxa"/>
            <w:vAlign w:val="bottom"/>
          </w:tcPr>
          <w:p>
            <w:pPr>
              <w:spacing w:after="0"/>
              <w:rPr>
                <w:sz w:val="20"/>
                <w:szCs w:val="20"/>
                <w:color w:val="auto"/>
              </w:rPr>
            </w:pPr>
          </w:p>
        </w:tc>
        <w:tc>
          <w:tcPr>
            <w:tcW w:w="1000" w:type="dxa"/>
            <w:vAlign w:val="bottom"/>
            <w:gridSpan w:val="2"/>
          </w:tcPr>
          <w:p>
            <w:pPr>
              <w:jc w:val="center"/>
              <w:ind w:right="240"/>
              <w:spacing w:after="0" w:line="237" w:lineRule="exact"/>
              <w:rPr>
                <w:sz w:val="20"/>
                <w:szCs w:val="20"/>
                <w:color w:val="auto"/>
              </w:rPr>
            </w:pPr>
            <w:r>
              <w:rPr>
                <w:rFonts w:ascii="Times New Roman" w:cs="Times New Roman" w:eastAsia="Times New Roman" w:hAnsi="Times New Roman"/>
                <w:sz w:val="21"/>
                <w:szCs w:val="21"/>
                <w:b w:val="1"/>
                <w:bCs w:val="1"/>
                <w:color w:val="auto"/>
              </w:rPr>
              <w:t>constant</w:t>
            </w:r>
          </w:p>
        </w:tc>
        <w:tc>
          <w:tcPr>
            <w:tcW w:w="880" w:type="dxa"/>
            <w:vAlign w:val="bottom"/>
            <w:gridSpan w:val="2"/>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w w:val="96"/>
              </w:rPr>
              <w:t>Total</w:t>
            </w:r>
          </w:p>
        </w:tc>
        <w:tc>
          <w:tcPr>
            <w:tcW w:w="120" w:type="dxa"/>
            <w:vAlign w:val="bottom"/>
          </w:tcPr>
          <w:p>
            <w:pPr>
              <w:spacing w:after="0"/>
              <w:rPr>
                <w:sz w:val="20"/>
                <w:szCs w:val="20"/>
                <w:color w:val="auto"/>
              </w:rPr>
            </w:pPr>
          </w:p>
        </w:tc>
        <w:tc>
          <w:tcPr>
            <w:tcW w:w="980" w:type="dxa"/>
            <w:vAlign w:val="bottom"/>
            <w:gridSpan w:val="2"/>
          </w:tcPr>
          <w:p>
            <w:pPr>
              <w:jc w:val="center"/>
              <w:ind w:right="220"/>
              <w:spacing w:after="0" w:line="237" w:lineRule="exact"/>
              <w:rPr>
                <w:sz w:val="20"/>
                <w:szCs w:val="20"/>
                <w:color w:val="auto"/>
              </w:rPr>
            </w:pPr>
            <w:r>
              <w:rPr>
                <w:rFonts w:ascii="Times New Roman" w:cs="Times New Roman" w:eastAsia="Times New Roman" w:hAnsi="Times New Roman"/>
                <w:sz w:val="21"/>
                <w:szCs w:val="21"/>
                <w:b w:val="1"/>
                <w:bCs w:val="1"/>
                <w:color w:val="auto"/>
              </w:rPr>
              <w:t>constant</w:t>
            </w:r>
          </w:p>
        </w:tc>
        <w:tc>
          <w:tcPr>
            <w:tcW w:w="800" w:type="dxa"/>
            <w:vAlign w:val="bottom"/>
          </w:tcPr>
          <w:p>
            <w:pPr>
              <w:jc w:val="center"/>
              <w:spacing w:after="0" w:line="237" w:lineRule="exact"/>
              <w:rPr>
                <w:sz w:val="20"/>
                <w:szCs w:val="20"/>
                <w:color w:val="auto"/>
              </w:rPr>
            </w:pPr>
            <w:r>
              <w:rPr>
                <w:rFonts w:ascii="Times New Roman" w:cs="Times New Roman" w:eastAsia="Times New Roman" w:hAnsi="Times New Roman"/>
                <w:sz w:val="21"/>
                <w:szCs w:val="21"/>
                <w:b w:val="1"/>
                <w:bCs w:val="1"/>
                <w:color w:val="auto"/>
                <w:w w:val="96"/>
              </w:rPr>
              <w:t>Total</w:t>
            </w:r>
          </w:p>
        </w:tc>
        <w:tc>
          <w:tcPr>
            <w:tcW w:w="0" w:type="dxa"/>
            <w:vAlign w:val="bottom"/>
          </w:tcPr>
          <w:p>
            <w:pPr>
              <w:spacing w:after="0"/>
              <w:rPr>
                <w:sz w:val="1"/>
                <w:szCs w:val="1"/>
                <w:color w:val="auto"/>
              </w:rPr>
            </w:pPr>
          </w:p>
        </w:tc>
      </w:tr>
      <w:tr>
        <w:trPr>
          <w:trHeight w:val="279"/>
        </w:trPr>
        <w:tc>
          <w:tcPr>
            <w:tcW w:w="324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(In thousands of U.S. dollars)</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w w:val="99"/>
              </w:rPr>
              <w:t>currency</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Revenue</w:t>
            </w: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w w:val="99"/>
              </w:rPr>
              <w:t>currency</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Revenue</w:t>
            </w: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w w:val="99"/>
              </w:rPr>
              <w:t>currency</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Revenue</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w w:val="99"/>
              </w:rPr>
              <w:t>currency</w:t>
            </w:r>
          </w:p>
        </w:tc>
        <w:tc>
          <w:tcPr>
            <w:tcW w:w="80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rPr>
              <w:t>Revenue</w:t>
            </w:r>
          </w:p>
        </w:tc>
        <w:tc>
          <w:tcPr>
            <w:tcW w:w="0" w:type="dxa"/>
            <w:vAlign w:val="bottom"/>
          </w:tcPr>
          <w:p>
            <w:pPr>
              <w:spacing w:after="0"/>
              <w:rPr>
                <w:sz w:val="1"/>
                <w:szCs w:val="1"/>
                <w:color w:val="auto"/>
              </w:rPr>
            </w:pPr>
          </w:p>
        </w:tc>
      </w:tr>
      <w:tr>
        <w:trPr>
          <w:trHeight w:val="204"/>
        </w:trPr>
        <w:tc>
          <w:tcPr>
            <w:tcW w:w="3240" w:type="dxa"/>
            <w:vAlign w:val="bottom"/>
          </w:tcPr>
          <w:p>
            <w:pPr>
              <w:spacing w:after="0" w:line="204" w:lineRule="exact"/>
              <w:rPr>
                <w:sz w:val="20"/>
                <w:szCs w:val="20"/>
                <w:color w:val="auto"/>
              </w:rPr>
            </w:pPr>
            <w:r>
              <w:rPr>
                <w:rFonts w:ascii="Times New Roman" w:cs="Times New Roman" w:eastAsia="Times New Roman" w:hAnsi="Times New Roman"/>
                <w:sz w:val="21"/>
                <w:szCs w:val="21"/>
                <w:color w:val="auto"/>
              </w:rPr>
              <w:t>Revenue from Canadian medical</w:t>
            </w: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240" w:type="dxa"/>
            <w:vAlign w:val="bottom"/>
          </w:tcPr>
          <w:p>
            <w:pPr>
              <w:spacing w:after="0"/>
              <w:rPr>
                <w:sz w:val="20"/>
                <w:szCs w:val="20"/>
                <w:color w:val="auto"/>
              </w:rPr>
            </w:pPr>
            <w:r>
              <w:rPr>
                <w:rFonts w:ascii="Times New Roman" w:cs="Times New Roman" w:eastAsia="Times New Roman" w:hAnsi="Times New Roman"/>
                <w:sz w:val="21"/>
                <w:szCs w:val="21"/>
                <w:color w:val="auto"/>
              </w:rPr>
              <w:t>cannabis</w:t>
            </w:r>
          </w:p>
        </w:tc>
        <w:tc>
          <w:tcPr>
            <w:tcW w:w="1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5,706</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5,839</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18,260</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18,773</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c>
          <w:tcPr>
            <w:tcW w:w="0" w:type="dxa"/>
            <w:vAlign w:val="bottom"/>
          </w:tcPr>
          <w:p>
            <w:pPr>
              <w:spacing w:after="0"/>
              <w:rPr>
                <w:sz w:val="1"/>
                <w:szCs w:val="1"/>
                <w:color w:val="auto"/>
              </w:rPr>
            </w:pPr>
          </w:p>
        </w:tc>
      </w:tr>
      <w:tr>
        <w:trPr>
          <w:trHeight w:val="275"/>
        </w:trPr>
        <w:tc>
          <w:tcPr>
            <w:tcW w:w="3240" w:type="dxa"/>
            <w:vAlign w:val="bottom"/>
          </w:tcPr>
          <w:p>
            <w:pPr>
              <w:spacing w:after="0"/>
              <w:rPr>
                <w:sz w:val="20"/>
                <w:szCs w:val="20"/>
                <w:color w:val="auto"/>
              </w:rPr>
            </w:pPr>
            <w:r>
              <w:rPr>
                <w:rFonts w:ascii="Times New Roman" w:cs="Times New Roman" w:eastAsia="Times New Roman" w:hAnsi="Times New Roman"/>
                <w:sz w:val="21"/>
                <w:szCs w:val="21"/>
                <w:color w:val="auto"/>
              </w:rPr>
              <w:t>Revenue from Canadian adult-use</w:t>
            </w:r>
          </w:p>
        </w:tc>
        <w:tc>
          <w:tcPr>
            <w:tcW w:w="12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50,170</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49,315</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178,406</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165,627</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91%</w:t>
            </w:r>
          </w:p>
        </w:tc>
        <w:tc>
          <w:tcPr>
            <w:tcW w:w="0" w:type="dxa"/>
            <w:vAlign w:val="bottom"/>
          </w:tcPr>
          <w:p>
            <w:pPr>
              <w:spacing w:after="0"/>
              <w:rPr>
                <w:sz w:val="1"/>
                <w:szCs w:val="1"/>
                <w:color w:val="auto"/>
              </w:rPr>
            </w:pPr>
          </w:p>
        </w:tc>
      </w:tr>
    </w:tbl>
    <w:p>
      <w:pPr>
        <w:sectPr>
          <w:pgSz w:w="11900" w:h="16899" w:orient="portrait"/>
          <w:cols w:equalWidth="0" w:num="1">
            <w:col w:w="11120"/>
          </w:cols>
          <w:pgMar w:left="340" w:top="107" w:right="4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240" w:type="dxa"/>
            <w:vAlign w:val="bottom"/>
          </w:tcPr>
          <w:p>
            <w:pPr>
              <w:spacing w:after="0"/>
              <w:rPr>
                <w:sz w:val="20"/>
                <w:szCs w:val="20"/>
                <w:color w:val="auto"/>
              </w:rPr>
            </w:pPr>
            <w:r>
              <w:rPr>
                <w:rFonts w:ascii="Times New Roman" w:cs="Times New Roman" w:eastAsia="Times New Roman" w:hAnsi="Times New Roman"/>
                <w:sz w:val="21"/>
                <w:szCs w:val="21"/>
                <w:color w:val="auto"/>
              </w:rPr>
              <w:t>cannabis</w:t>
            </w: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63"/>
        </w:trPr>
        <w:tc>
          <w:tcPr>
            <w:tcW w:w="3240" w:type="dxa"/>
            <w:vAlign w:val="bottom"/>
          </w:tcPr>
          <w:p>
            <w:pPr>
              <w:spacing w:after="0"/>
              <w:rPr>
                <w:sz w:val="20"/>
                <w:szCs w:val="20"/>
                <w:color w:val="auto"/>
              </w:rPr>
            </w:pPr>
            <w:r>
              <w:rPr>
                <w:rFonts w:ascii="Times New Roman" w:cs="Times New Roman" w:eastAsia="Times New Roman" w:hAnsi="Times New Roman"/>
                <w:sz w:val="21"/>
                <w:szCs w:val="21"/>
                <w:color w:val="auto"/>
              </w:rPr>
              <w:t>Revenue from wholesale cannabis</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1,112</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3,893</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6,658</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15,993</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r>
      <w:tr>
        <w:trPr>
          <w:trHeight w:val="263"/>
        </w:trPr>
        <w:tc>
          <w:tcPr>
            <w:tcW w:w="3240" w:type="dxa"/>
            <w:vAlign w:val="bottom"/>
          </w:tcPr>
          <w:p>
            <w:pPr>
              <w:spacing w:after="0"/>
              <w:rPr>
                <w:sz w:val="20"/>
                <w:szCs w:val="20"/>
                <w:color w:val="auto"/>
              </w:rPr>
            </w:pPr>
            <w:r>
              <w:rPr>
                <w:rFonts w:ascii="Times New Roman" w:cs="Times New Roman" w:eastAsia="Times New Roman" w:hAnsi="Times New Roman"/>
                <w:sz w:val="21"/>
                <w:szCs w:val="21"/>
                <w:color w:val="auto"/>
              </w:rPr>
              <w:t>Revenue from international cannabis</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21,410</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13,935</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53,137</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40,991</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r>
      <w:tr>
        <w:trPr>
          <w:trHeight w:val="276"/>
        </w:trPr>
        <w:tc>
          <w:tcPr>
            <w:tcW w:w="3240" w:type="dxa"/>
            <w:vAlign w:val="bottom"/>
          </w:tcPr>
          <w:p>
            <w:pPr>
              <w:spacing w:after="0"/>
              <w:rPr>
                <w:sz w:val="20"/>
                <w:szCs w:val="20"/>
                <w:color w:val="auto"/>
              </w:rPr>
            </w:pPr>
            <w:r>
              <w:rPr>
                <w:rFonts w:ascii="Times New Roman" w:cs="Times New Roman" w:eastAsia="Times New Roman" w:hAnsi="Times New Roman"/>
                <w:sz w:val="21"/>
                <w:szCs w:val="21"/>
                <w:color w:val="auto"/>
              </w:rPr>
              <w:t>Less excise taxes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(18,141)</w:t>
            </w:r>
          </w:p>
        </w:tc>
        <w:tc>
          <w:tcPr>
            <w:tcW w:w="10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(30)%</w:t>
            </w:r>
          </w:p>
        </w:tc>
        <w:tc>
          <w:tcPr>
            <w:tcW w:w="10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(18,708)</w:t>
            </w:r>
          </w:p>
        </w:tc>
        <w:tc>
          <w:tcPr>
            <w:tcW w:w="12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(35)%</w:t>
            </w:r>
          </w:p>
        </w:tc>
        <w:tc>
          <w:tcPr>
            <w:tcW w:w="10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(64,669)</w:t>
            </w:r>
          </w:p>
        </w:tc>
        <w:tc>
          <w:tcPr>
            <w:tcW w:w="12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(34)%</w:t>
            </w:r>
          </w:p>
        </w:tc>
        <w:tc>
          <w:tcPr>
            <w:tcW w:w="10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(60,209)</w:t>
            </w: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(33)%</w:t>
            </w:r>
          </w:p>
        </w:tc>
      </w:tr>
      <w:tr>
        <w:trPr>
          <w:trHeight w:val="257"/>
        </w:trPr>
        <w:tc>
          <w:tcPr>
            <w:tcW w:w="3240" w:type="dxa"/>
            <w:vAlign w:val="bottom"/>
          </w:tcPr>
          <w:p>
            <w:pPr>
              <w:spacing w:after="0"/>
              <w:rPr>
                <w:sz w:val="20"/>
                <w:szCs w:val="20"/>
                <w:color w:val="auto"/>
              </w:rPr>
            </w:pPr>
            <w:r>
              <w:rPr>
                <w:rFonts w:ascii="Times New Roman" w:cs="Times New Roman" w:eastAsia="Times New Roman" w:hAnsi="Times New Roman"/>
                <w:sz w:val="21"/>
                <w:szCs w:val="21"/>
                <w:color w:val="auto"/>
              </w:rPr>
              <w:t>Total</w:t>
            </w:r>
          </w:p>
        </w:tc>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rPr>
              <w:t>$  60,257</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  54,274</w:t>
            </w:r>
          </w:p>
        </w:tc>
        <w:tc>
          <w:tcPr>
            <w:tcW w:w="12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$ 191,792</w:t>
            </w:r>
          </w:p>
        </w:tc>
        <w:tc>
          <w:tcPr>
            <w:tcW w:w="12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$ 181,175</w:t>
            </w:r>
          </w:p>
        </w:tc>
        <w:tc>
          <w:tcPr>
            <w:tcW w:w="10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r>
      <w:tr>
        <w:trPr>
          <w:trHeight w:val="20"/>
        </w:trPr>
        <w:tc>
          <w:tcPr>
            <w:tcW w:w="3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480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Other Financial Information: Key Operating Metrics</w:t>
            </w:r>
          </w:p>
        </w:tc>
        <w:tc>
          <w:tcPr>
            <w:tcW w:w="160" w:type="dxa"/>
            <w:vAlign w:val="bottom"/>
          </w:tcPr>
          <w:p>
            <w:pPr>
              <w:spacing w:after="0"/>
              <w:rPr>
                <w:sz w:val="24"/>
                <w:szCs w:val="24"/>
                <w:color w:val="auto"/>
              </w:rPr>
            </w:pPr>
          </w:p>
        </w:tc>
        <w:tc>
          <w:tcPr>
            <w:tcW w:w="3100" w:type="dxa"/>
            <w:vAlign w:val="bottom"/>
            <w:gridSpan w:val="5"/>
            <w:vMerge w:val="restart"/>
          </w:tcPr>
          <w:p>
            <w:pPr>
              <w:ind w:left="180"/>
              <w:spacing w:after="0"/>
              <w:rPr>
                <w:sz w:val="20"/>
                <w:szCs w:val="20"/>
                <w:color w:val="auto"/>
              </w:rPr>
            </w:pPr>
            <w:r>
              <w:rPr>
                <w:rFonts w:ascii="Times New Roman" w:cs="Times New Roman" w:eastAsia="Times New Roman" w:hAnsi="Times New Roman"/>
                <w:sz w:val="21"/>
                <w:szCs w:val="21"/>
                <w:b w:val="1"/>
                <w:bCs w:val="1"/>
                <w:color w:val="auto"/>
              </w:rPr>
              <w:t>For the three months ended</w:t>
            </w:r>
          </w:p>
        </w:tc>
        <w:tc>
          <w:tcPr>
            <w:tcW w:w="160" w:type="dxa"/>
            <w:vAlign w:val="bottom"/>
          </w:tcPr>
          <w:p>
            <w:pPr>
              <w:spacing w:after="0"/>
              <w:rPr>
                <w:sz w:val="24"/>
                <w:szCs w:val="24"/>
                <w:color w:val="auto"/>
              </w:rPr>
            </w:pPr>
          </w:p>
        </w:tc>
        <w:tc>
          <w:tcPr>
            <w:tcW w:w="3000" w:type="dxa"/>
            <w:vAlign w:val="bottom"/>
            <w:gridSpan w:val="4"/>
            <w:vMerge w:val="restart"/>
          </w:tcPr>
          <w:p>
            <w:pPr>
              <w:jc w:val="right"/>
              <w:ind w:right="275"/>
              <w:spacing w:after="0"/>
              <w:rPr>
                <w:sz w:val="20"/>
                <w:szCs w:val="20"/>
                <w:color w:val="auto"/>
              </w:rPr>
            </w:pPr>
            <w:r>
              <w:rPr>
                <w:rFonts w:ascii="Times New Roman" w:cs="Times New Roman" w:eastAsia="Times New Roman" w:hAnsi="Times New Roman"/>
                <w:sz w:val="21"/>
                <w:szCs w:val="21"/>
                <w:b w:val="1"/>
                <w:bCs w:val="1"/>
                <w:color w:val="auto"/>
              </w:rPr>
              <w:t>For the nine months ended</w:t>
            </w:r>
          </w:p>
        </w:tc>
        <w:tc>
          <w:tcPr>
            <w:tcW w:w="0" w:type="dxa"/>
            <w:vAlign w:val="bottom"/>
          </w:tcPr>
          <w:p>
            <w:pPr>
              <w:spacing w:after="0"/>
              <w:rPr>
                <w:sz w:val="1"/>
                <w:szCs w:val="1"/>
                <w:color w:val="auto"/>
              </w:rPr>
            </w:pPr>
          </w:p>
        </w:tc>
      </w:tr>
      <w:tr>
        <w:trPr>
          <w:trHeight w:val="246"/>
        </w:trPr>
        <w:tc>
          <w:tcPr>
            <w:tcW w:w="4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00" w:type="dxa"/>
            <w:vAlign w:val="bottom"/>
            <w:gridSpan w:val="5"/>
            <w:vMerge w:val="continue"/>
          </w:tcPr>
          <w:p>
            <w:pPr>
              <w:spacing w:after="0"/>
              <w:rPr>
                <w:sz w:val="21"/>
                <w:szCs w:val="21"/>
                <w:color w:val="auto"/>
              </w:rPr>
            </w:pPr>
          </w:p>
        </w:tc>
        <w:tc>
          <w:tcPr>
            <w:tcW w:w="160" w:type="dxa"/>
            <w:vAlign w:val="bottom"/>
          </w:tcPr>
          <w:p>
            <w:pPr>
              <w:spacing w:after="0"/>
              <w:rPr>
                <w:sz w:val="21"/>
                <w:szCs w:val="21"/>
                <w:color w:val="auto"/>
              </w:rPr>
            </w:pPr>
          </w:p>
        </w:tc>
        <w:tc>
          <w:tcPr>
            <w:tcW w:w="300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21"/>
                <w:szCs w:val="21"/>
                <w:b w:val="1"/>
                <w:bCs w:val="1"/>
                <w:color w:val="auto"/>
              </w:rPr>
              <w:t>February 28,</w:t>
            </w:r>
          </w:p>
        </w:tc>
        <w:tc>
          <w:tcPr>
            <w:tcW w:w="140" w:type="dxa"/>
            <w:vAlign w:val="bottom"/>
          </w:tcPr>
          <w:p>
            <w:pPr>
              <w:spacing w:after="0"/>
              <w:rPr>
                <w:sz w:val="22"/>
                <w:szCs w:val="22"/>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21"/>
                <w:szCs w:val="21"/>
                <w:b w:val="1"/>
                <w:bCs w:val="1"/>
                <w:color w:val="auto"/>
              </w:rPr>
              <w:t>February 28,</w:t>
            </w:r>
          </w:p>
        </w:tc>
        <w:tc>
          <w:tcPr>
            <w:tcW w:w="160" w:type="dxa"/>
            <w:vAlign w:val="bottom"/>
          </w:tcPr>
          <w:p>
            <w:pPr>
              <w:spacing w:after="0"/>
              <w:rPr>
                <w:sz w:val="22"/>
                <w:szCs w:val="22"/>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21"/>
                <w:szCs w:val="21"/>
                <w:b w:val="1"/>
                <w:bCs w:val="1"/>
                <w:color w:val="auto"/>
              </w:rPr>
              <w:t>February 28,</w:t>
            </w:r>
          </w:p>
        </w:tc>
        <w:tc>
          <w:tcPr>
            <w:tcW w:w="140" w:type="dxa"/>
            <w:vAlign w:val="bottom"/>
          </w:tcPr>
          <w:p>
            <w:pPr>
              <w:spacing w:after="0"/>
              <w:rPr>
                <w:sz w:val="22"/>
                <w:szCs w:val="22"/>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21"/>
                <w:szCs w:val="21"/>
                <w:b w:val="1"/>
                <w:bCs w:val="1"/>
                <w:color w:val="auto"/>
              </w:rPr>
              <w:t>February 28,</w:t>
            </w:r>
          </w:p>
        </w:tc>
        <w:tc>
          <w:tcPr>
            <w:tcW w:w="0" w:type="dxa"/>
            <w:vAlign w:val="bottom"/>
          </w:tcPr>
          <w:p>
            <w:pPr>
              <w:spacing w:after="0"/>
              <w:rPr>
                <w:sz w:val="1"/>
                <w:szCs w:val="1"/>
                <w:color w:val="auto"/>
              </w:rPr>
            </w:pPr>
          </w:p>
        </w:tc>
      </w:tr>
      <w:tr>
        <w:trPr>
          <w:trHeight w:val="279"/>
        </w:trPr>
        <w:tc>
          <w:tcPr>
            <w:tcW w:w="480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(in thousands of U.S. dollars)</w:t>
            </w: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21"/>
                <w:szCs w:val="21"/>
                <w:b w:val="1"/>
                <w:bCs w:val="1"/>
                <w:color w:val="auto"/>
              </w:rPr>
              <w:t>2026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21"/>
                <w:szCs w:val="21"/>
                <w:b w:val="1"/>
                <w:bCs w:val="1"/>
                <w:color w:val="auto"/>
              </w:rPr>
              <w:t>2025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21"/>
                <w:szCs w:val="21"/>
                <w:b w:val="1"/>
                <w:bCs w:val="1"/>
                <w:color w:val="auto"/>
              </w:rPr>
              <w:t>2026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21"/>
                <w:szCs w:val="21"/>
                <w:b w:val="1"/>
                <w:bCs w:val="1"/>
                <w:color w:val="auto"/>
              </w:rPr>
              <w:t>2025</w:t>
            </w:r>
          </w:p>
        </w:tc>
        <w:tc>
          <w:tcPr>
            <w:tcW w:w="0" w:type="dxa"/>
            <w:vAlign w:val="bottom"/>
          </w:tcPr>
          <w:p>
            <w:pPr>
              <w:spacing w:after="0"/>
              <w:rPr>
                <w:sz w:val="1"/>
                <w:szCs w:val="1"/>
                <w:color w:val="auto"/>
              </w:rPr>
            </w:pPr>
          </w:p>
        </w:tc>
      </w:tr>
      <w:tr>
        <w:trPr>
          <w:trHeight w:val="244"/>
        </w:trPr>
        <w:tc>
          <w:tcPr>
            <w:tcW w:w="4800" w:type="dxa"/>
            <w:vAlign w:val="bottom"/>
          </w:tcPr>
          <w:p>
            <w:pPr>
              <w:spacing w:after="0"/>
              <w:rPr>
                <w:sz w:val="20"/>
                <w:szCs w:val="20"/>
                <w:color w:val="auto"/>
              </w:rPr>
            </w:pPr>
            <w:r>
              <w:rPr>
                <w:rFonts w:ascii="Times New Roman" w:cs="Times New Roman" w:eastAsia="Times New Roman" w:hAnsi="Times New Roman"/>
                <w:sz w:val="21"/>
                <w:szCs w:val="21"/>
                <w:color w:val="auto"/>
              </w:rPr>
              <w:t>Net beverage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42,558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55,921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148,380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174,974</w:t>
            </w:r>
          </w:p>
        </w:tc>
        <w:tc>
          <w:tcPr>
            <w:tcW w:w="0" w:type="dxa"/>
            <w:vAlign w:val="bottom"/>
          </w:tcPr>
          <w:p>
            <w:pPr>
              <w:spacing w:after="0"/>
              <w:rPr>
                <w:sz w:val="1"/>
                <w:szCs w:val="1"/>
                <w:color w:val="auto"/>
              </w:rPr>
            </w:pPr>
          </w:p>
        </w:tc>
      </w:tr>
      <w:tr>
        <w:trPr>
          <w:trHeight w:val="263"/>
        </w:trPr>
        <w:tc>
          <w:tcPr>
            <w:tcW w:w="4800" w:type="dxa"/>
            <w:vAlign w:val="bottom"/>
          </w:tcPr>
          <w:p>
            <w:pPr>
              <w:spacing w:after="0"/>
              <w:rPr>
                <w:sz w:val="20"/>
                <w:szCs w:val="20"/>
                <w:color w:val="auto"/>
              </w:rPr>
            </w:pPr>
            <w:r>
              <w:rPr>
                <w:rFonts w:ascii="Times New Roman" w:cs="Times New Roman" w:eastAsia="Times New Roman" w:hAnsi="Times New Roman"/>
                <w:sz w:val="21"/>
                <w:szCs w:val="21"/>
                <w:color w:val="auto"/>
              </w:rPr>
              <w:t>Net cannabis revenue</w:t>
            </w:r>
          </w:p>
        </w:tc>
        <w:tc>
          <w:tcPr>
            <w:tcW w:w="16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64,828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54,274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196,871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181,175</w:t>
            </w:r>
          </w:p>
        </w:tc>
        <w:tc>
          <w:tcPr>
            <w:tcW w:w="0" w:type="dxa"/>
            <w:vAlign w:val="bottom"/>
          </w:tcPr>
          <w:p>
            <w:pPr>
              <w:spacing w:after="0"/>
              <w:rPr>
                <w:sz w:val="1"/>
                <w:szCs w:val="1"/>
                <w:color w:val="auto"/>
              </w:rPr>
            </w:pPr>
          </w:p>
        </w:tc>
      </w:tr>
      <w:tr>
        <w:trPr>
          <w:trHeight w:val="263"/>
        </w:trPr>
        <w:tc>
          <w:tcPr>
            <w:tcW w:w="4800" w:type="dxa"/>
            <w:vAlign w:val="bottom"/>
          </w:tcPr>
          <w:p>
            <w:pPr>
              <w:spacing w:after="0"/>
              <w:rPr>
                <w:sz w:val="20"/>
                <w:szCs w:val="20"/>
                <w:color w:val="auto"/>
              </w:rPr>
            </w:pPr>
            <w:r>
              <w:rPr>
                <w:rFonts w:ascii="Times New Roman" w:cs="Times New Roman" w:eastAsia="Times New Roman" w:hAnsi="Times New Roman"/>
                <w:sz w:val="21"/>
                <w:szCs w:val="21"/>
                <w:color w:val="auto"/>
              </w:rPr>
              <w:t>Distribution revenue</w:t>
            </w:r>
          </w:p>
        </w:tc>
        <w:tc>
          <w:tcPr>
            <w:tcW w:w="16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82,963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61,493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242,286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197,175</w:t>
            </w:r>
          </w:p>
        </w:tc>
        <w:tc>
          <w:tcPr>
            <w:tcW w:w="0" w:type="dxa"/>
            <w:vAlign w:val="bottom"/>
          </w:tcPr>
          <w:p>
            <w:pPr>
              <w:spacing w:after="0"/>
              <w:rPr>
                <w:sz w:val="1"/>
                <w:szCs w:val="1"/>
                <w:color w:val="auto"/>
              </w:rPr>
            </w:pPr>
          </w:p>
        </w:tc>
      </w:tr>
      <w:tr>
        <w:trPr>
          <w:trHeight w:val="263"/>
        </w:trPr>
        <w:tc>
          <w:tcPr>
            <w:tcW w:w="4800" w:type="dxa"/>
            <w:vAlign w:val="bottom"/>
          </w:tcPr>
          <w:p>
            <w:pPr>
              <w:spacing w:after="0"/>
              <w:rPr>
                <w:sz w:val="20"/>
                <w:szCs w:val="20"/>
                <w:color w:val="auto"/>
              </w:rPr>
            </w:pPr>
            <w:r>
              <w:rPr>
                <w:rFonts w:ascii="Times New Roman" w:cs="Times New Roman" w:eastAsia="Times New Roman" w:hAnsi="Times New Roman"/>
                <w:sz w:val="21"/>
                <w:szCs w:val="21"/>
                <w:color w:val="auto"/>
              </w:rPr>
              <w:t>Wellness revenue</w:t>
            </w:r>
          </w:p>
        </w:tc>
        <w:tc>
          <w:tcPr>
            <w:tcW w:w="16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16,383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14,092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46,203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43,450</w:t>
            </w:r>
          </w:p>
        </w:tc>
        <w:tc>
          <w:tcPr>
            <w:tcW w:w="0" w:type="dxa"/>
            <w:vAlign w:val="bottom"/>
          </w:tcPr>
          <w:p>
            <w:pPr>
              <w:spacing w:after="0"/>
              <w:rPr>
                <w:sz w:val="1"/>
                <w:szCs w:val="1"/>
                <w:color w:val="auto"/>
              </w:rPr>
            </w:pPr>
          </w:p>
        </w:tc>
      </w:tr>
      <w:tr>
        <w:trPr>
          <w:trHeight w:val="263"/>
        </w:trPr>
        <w:tc>
          <w:tcPr>
            <w:tcW w:w="4800" w:type="dxa"/>
            <w:vAlign w:val="bottom"/>
          </w:tcPr>
          <w:p>
            <w:pPr>
              <w:spacing w:after="0"/>
              <w:rPr>
                <w:sz w:val="20"/>
                <w:szCs w:val="20"/>
                <w:color w:val="auto"/>
              </w:rPr>
            </w:pPr>
            <w:r>
              <w:rPr>
                <w:rFonts w:ascii="Times New Roman" w:cs="Times New Roman" w:eastAsia="Times New Roman" w:hAnsi="Times New Roman"/>
                <w:sz w:val="21"/>
                <w:szCs w:val="21"/>
                <w:color w:val="auto"/>
              </w:rPr>
              <w:t>Beverage costs</w:t>
            </w:r>
          </w:p>
        </w:tc>
        <w:tc>
          <w:tcPr>
            <w:tcW w:w="16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28,977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35,986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97,741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106,961</w:t>
            </w:r>
          </w:p>
        </w:tc>
        <w:tc>
          <w:tcPr>
            <w:tcW w:w="0" w:type="dxa"/>
            <w:vAlign w:val="bottom"/>
          </w:tcPr>
          <w:p>
            <w:pPr>
              <w:spacing w:after="0"/>
              <w:rPr>
                <w:sz w:val="1"/>
                <w:szCs w:val="1"/>
                <w:color w:val="auto"/>
              </w:rPr>
            </w:pPr>
          </w:p>
        </w:tc>
      </w:tr>
      <w:tr>
        <w:trPr>
          <w:trHeight w:val="263"/>
        </w:trPr>
        <w:tc>
          <w:tcPr>
            <w:tcW w:w="4800" w:type="dxa"/>
            <w:vAlign w:val="bottom"/>
          </w:tcPr>
          <w:p>
            <w:pPr>
              <w:spacing w:after="0"/>
              <w:rPr>
                <w:sz w:val="20"/>
                <w:szCs w:val="20"/>
                <w:color w:val="auto"/>
              </w:rPr>
            </w:pPr>
            <w:r>
              <w:rPr>
                <w:rFonts w:ascii="Times New Roman" w:cs="Times New Roman" w:eastAsia="Times New Roman" w:hAnsi="Times New Roman"/>
                <w:sz w:val="21"/>
                <w:szCs w:val="21"/>
                <w:color w:val="auto"/>
              </w:rPr>
              <w:t>Cannabis costs</w:t>
            </w:r>
          </w:p>
        </w:tc>
        <w:tc>
          <w:tcPr>
            <w:tcW w:w="16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38,858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32,275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121,497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111,804</w:t>
            </w:r>
          </w:p>
        </w:tc>
        <w:tc>
          <w:tcPr>
            <w:tcW w:w="0" w:type="dxa"/>
            <w:vAlign w:val="bottom"/>
          </w:tcPr>
          <w:p>
            <w:pPr>
              <w:spacing w:after="0"/>
              <w:rPr>
                <w:sz w:val="1"/>
                <w:szCs w:val="1"/>
                <w:color w:val="auto"/>
              </w:rPr>
            </w:pPr>
          </w:p>
        </w:tc>
      </w:tr>
      <w:tr>
        <w:trPr>
          <w:trHeight w:val="263"/>
        </w:trPr>
        <w:tc>
          <w:tcPr>
            <w:tcW w:w="4800" w:type="dxa"/>
            <w:vAlign w:val="bottom"/>
          </w:tcPr>
          <w:p>
            <w:pPr>
              <w:spacing w:after="0"/>
              <w:rPr>
                <w:sz w:val="20"/>
                <w:szCs w:val="20"/>
                <w:color w:val="auto"/>
              </w:rPr>
            </w:pPr>
            <w:r>
              <w:rPr>
                <w:rFonts w:ascii="Times New Roman" w:cs="Times New Roman" w:eastAsia="Times New Roman" w:hAnsi="Times New Roman"/>
                <w:sz w:val="21"/>
                <w:szCs w:val="21"/>
                <w:color w:val="auto"/>
              </w:rPr>
              <w:t>Distribution costs</w:t>
            </w:r>
          </w:p>
        </w:tc>
        <w:tc>
          <w:tcPr>
            <w:tcW w:w="16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72,951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55,936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213,293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175,281</w:t>
            </w:r>
          </w:p>
        </w:tc>
        <w:tc>
          <w:tcPr>
            <w:tcW w:w="0" w:type="dxa"/>
            <w:vAlign w:val="bottom"/>
          </w:tcPr>
          <w:p>
            <w:pPr>
              <w:spacing w:after="0"/>
              <w:rPr>
                <w:sz w:val="1"/>
                <w:szCs w:val="1"/>
                <w:color w:val="auto"/>
              </w:rPr>
            </w:pPr>
          </w:p>
        </w:tc>
      </w:tr>
      <w:tr>
        <w:trPr>
          <w:trHeight w:val="263"/>
        </w:trPr>
        <w:tc>
          <w:tcPr>
            <w:tcW w:w="4800" w:type="dxa"/>
            <w:vAlign w:val="bottom"/>
          </w:tcPr>
          <w:p>
            <w:pPr>
              <w:spacing w:after="0"/>
              <w:rPr>
                <w:sz w:val="20"/>
                <w:szCs w:val="20"/>
                <w:color w:val="auto"/>
              </w:rPr>
            </w:pPr>
            <w:r>
              <w:rPr>
                <w:rFonts w:ascii="Times New Roman" w:cs="Times New Roman" w:eastAsia="Times New Roman" w:hAnsi="Times New Roman"/>
                <w:sz w:val="21"/>
                <w:szCs w:val="21"/>
                <w:color w:val="auto"/>
              </w:rPr>
              <w:t>Wellness costs</w:t>
            </w:r>
          </w:p>
        </w:tc>
        <w:tc>
          <w:tcPr>
            <w:tcW w:w="16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10,992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9,572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31,289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29,791</w:t>
            </w:r>
          </w:p>
        </w:tc>
        <w:tc>
          <w:tcPr>
            <w:tcW w:w="0" w:type="dxa"/>
            <w:vAlign w:val="bottom"/>
          </w:tcPr>
          <w:p>
            <w:pPr>
              <w:spacing w:after="0"/>
              <w:rPr>
                <w:sz w:val="1"/>
                <w:szCs w:val="1"/>
                <w:color w:val="auto"/>
              </w:rPr>
            </w:pPr>
          </w:p>
        </w:tc>
      </w:tr>
      <w:tr>
        <w:trPr>
          <w:trHeight w:val="263"/>
        </w:trPr>
        <w:tc>
          <w:tcPr>
            <w:tcW w:w="4800" w:type="dxa"/>
            <w:vAlign w:val="bottom"/>
          </w:tcPr>
          <w:p>
            <w:pPr>
              <w:spacing w:after="0"/>
              <w:rPr>
                <w:sz w:val="20"/>
                <w:szCs w:val="20"/>
                <w:color w:val="auto"/>
              </w:rPr>
            </w:pPr>
            <w:r>
              <w:rPr>
                <w:rFonts w:ascii="Times New Roman" w:cs="Times New Roman" w:eastAsia="Times New Roman" w:hAnsi="Times New Roman"/>
                <w:sz w:val="21"/>
                <w:szCs w:val="21"/>
                <w:color w:val="auto"/>
              </w:rPr>
              <w:t>Adjusted gross profit (excluding PPA step-up) (1)</w:t>
            </w:r>
          </w:p>
        </w:tc>
        <w:tc>
          <w:tcPr>
            <w:tcW w:w="16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54,954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52,070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169,920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174,547</w:t>
            </w:r>
          </w:p>
        </w:tc>
        <w:tc>
          <w:tcPr>
            <w:tcW w:w="0" w:type="dxa"/>
            <w:vAlign w:val="bottom"/>
          </w:tcPr>
          <w:p>
            <w:pPr>
              <w:spacing w:after="0"/>
              <w:rPr>
                <w:sz w:val="1"/>
                <w:szCs w:val="1"/>
                <w:color w:val="auto"/>
              </w:rPr>
            </w:pPr>
          </w:p>
        </w:tc>
      </w:tr>
      <w:tr>
        <w:trPr>
          <w:trHeight w:val="237"/>
        </w:trPr>
        <w:tc>
          <w:tcPr>
            <w:tcW w:w="480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Beverage adjusted gross margin (excluding PPA step-</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800" w:type="dxa"/>
            <w:vAlign w:val="bottom"/>
          </w:tcPr>
          <w:p>
            <w:pPr>
              <w:spacing w:after="0"/>
              <w:rPr>
                <w:sz w:val="20"/>
                <w:szCs w:val="20"/>
                <w:color w:val="auto"/>
              </w:rPr>
            </w:pPr>
            <w:r>
              <w:rPr>
                <w:rFonts w:ascii="Times New Roman" w:cs="Times New Roman" w:eastAsia="Times New Roman" w:hAnsi="Times New Roman"/>
                <w:sz w:val="21"/>
                <w:szCs w:val="21"/>
                <w:color w:val="auto"/>
              </w:rPr>
              <w:t>up) (1)</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w:t>
            </w:r>
          </w:p>
        </w:tc>
        <w:tc>
          <w:tcPr>
            <w:tcW w:w="0" w:type="dxa"/>
            <w:vAlign w:val="bottom"/>
          </w:tcPr>
          <w:p>
            <w:pPr>
              <w:spacing w:after="0"/>
              <w:rPr>
                <w:sz w:val="1"/>
                <w:szCs w:val="1"/>
                <w:color w:val="auto"/>
              </w:rPr>
            </w:pPr>
          </w:p>
        </w:tc>
      </w:tr>
      <w:tr>
        <w:trPr>
          <w:trHeight w:val="237"/>
        </w:trPr>
        <w:tc>
          <w:tcPr>
            <w:tcW w:w="480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Cannabis adjusted gross margin (excluding PPA step-</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800" w:type="dxa"/>
            <w:vAlign w:val="bottom"/>
          </w:tcPr>
          <w:p>
            <w:pPr>
              <w:spacing w:after="0"/>
              <w:rPr>
                <w:sz w:val="20"/>
                <w:szCs w:val="20"/>
                <w:color w:val="auto"/>
              </w:rPr>
            </w:pPr>
            <w:r>
              <w:rPr>
                <w:rFonts w:ascii="Times New Roman" w:cs="Times New Roman" w:eastAsia="Times New Roman" w:hAnsi="Times New Roman"/>
                <w:sz w:val="21"/>
                <w:szCs w:val="21"/>
                <w:color w:val="auto"/>
              </w:rPr>
              <w:t>up) (1)</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w:t>
            </w:r>
          </w:p>
        </w:tc>
        <w:tc>
          <w:tcPr>
            <w:tcW w:w="0" w:type="dxa"/>
            <w:vAlign w:val="bottom"/>
          </w:tcPr>
          <w:p>
            <w:pPr>
              <w:spacing w:after="0"/>
              <w:rPr>
                <w:sz w:val="1"/>
                <w:szCs w:val="1"/>
                <w:color w:val="auto"/>
              </w:rPr>
            </w:pPr>
          </w:p>
        </w:tc>
      </w:tr>
      <w:tr>
        <w:trPr>
          <w:trHeight w:val="263"/>
        </w:trPr>
        <w:tc>
          <w:tcPr>
            <w:tcW w:w="4800" w:type="dxa"/>
            <w:vAlign w:val="bottom"/>
          </w:tcPr>
          <w:p>
            <w:pPr>
              <w:spacing w:after="0"/>
              <w:rPr>
                <w:sz w:val="20"/>
                <w:szCs w:val="20"/>
                <w:color w:val="auto"/>
              </w:rPr>
            </w:pPr>
            <w:r>
              <w:rPr>
                <w:rFonts w:ascii="Times New Roman" w:cs="Times New Roman" w:eastAsia="Times New Roman" w:hAnsi="Times New Roman"/>
                <w:sz w:val="21"/>
                <w:szCs w:val="21"/>
                <w:color w:val="auto"/>
              </w:rPr>
              <w:t>Distribution gross margin</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c>
          <w:tcPr>
            <w:tcW w:w="0" w:type="dxa"/>
            <w:vAlign w:val="bottom"/>
          </w:tcPr>
          <w:p>
            <w:pPr>
              <w:spacing w:after="0"/>
              <w:rPr>
                <w:sz w:val="1"/>
                <w:szCs w:val="1"/>
                <w:color w:val="auto"/>
              </w:rPr>
            </w:pPr>
          </w:p>
        </w:tc>
      </w:tr>
      <w:tr>
        <w:trPr>
          <w:trHeight w:val="263"/>
        </w:trPr>
        <w:tc>
          <w:tcPr>
            <w:tcW w:w="4800" w:type="dxa"/>
            <w:vAlign w:val="bottom"/>
          </w:tcPr>
          <w:p>
            <w:pPr>
              <w:spacing w:after="0"/>
              <w:rPr>
                <w:sz w:val="20"/>
                <w:szCs w:val="20"/>
                <w:color w:val="auto"/>
              </w:rPr>
            </w:pPr>
            <w:r>
              <w:rPr>
                <w:rFonts w:ascii="Times New Roman" w:cs="Times New Roman" w:eastAsia="Times New Roman" w:hAnsi="Times New Roman"/>
                <w:sz w:val="21"/>
                <w:szCs w:val="21"/>
                <w:color w:val="auto"/>
              </w:rPr>
              <w:t>Wellness gross margin</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c>
          <w:tcPr>
            <w:tcW w:w="0" w:type="dxa"/>
            <w:vAlign w:val="bottom"/>
          </w:tcPr>
          <w:p>
            <w:pPr>
              <w:spacing w:after="0"/>
              <w:rPr>
                <w:sz w:val="1"/>
                <w:szCs w:val="1"/>
                <w:color w:val="auto"/>
              </w:rPr>
            </w:pPr>
          </w:p>
        </w:tc>
      </w:tr>
      <w:tr>
        <w:trPr>
          <w:trHeight w:val="263"/>
        </w:trPr>
        <w:tc>
          <w:tcPr>
            <w:tcW w:w="4800" w:type="dxa"/>
            <w:vAlign w:val="bottom"/>
          </w:tcPr>
          <w:p>
            <w:pPr>
              <w:spacing w:after="0"/>
              <w:rPr>
                <w:sz w:val="20"/>
                <w:szCs w:val="20"/>
                <w:color w:val="auto"/>
              </w:rPr>
            </w:pPr>
            <w:r>
              <w:rPr>
                <w:rFonts w:ascii="Times New Roman" w:cs="Times New Roman" w:eastAsia="Times New Roman" w:hAnsi="Times New Roman"/>
                <w:sz w:val="21"/>
                <w:szCs w:val="21"/>
                <w:color w:val="auto"/>
              </w:rPr>
              <w:t>Adjusted EBITDA (1)</w:t>
            </w:r>
          </w:p>
        </w:tc>
        <w:tc>
          <w:tcPr>
            <w:tcW w:w="1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10,715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9,040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29,261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27,391</w:t>
            </w:r>
          </w:p>
        </w:tc>
        <w:tc>
          <w:tcPr>
            <w:tcW w:w="0" w:type="dxa"/>
            <w:vAlign w:val="bottom"/>
          </w:tcPr>
          <w:p>
            <w:pPr>
              <w:spacing w:after="0"/>
              <w:rPr>
                <w:sz w:val="1"/>
                <w:szCs w:val="1"/>
                <w:color w:val="auto"/>
              </w:rPr>
            </w:pPr>
          </w:p>
        </w:tc>
      </w:tr>
      <w:tr>
        <w:trPr>
          <w:trHeight w:val="237"/>
        </w:trPr>
        <w:tc>
          <w:tcPr>
            <w:tcW w:w="480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Cash, restricted cash and marketable securities (1) as at</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800" w:type="dxa"/>
            <w:vAlign w:val="bottom"/>
          </w:tcPr>
          <w:p>
            <w:pPr>
              <w:spacing w:after="0"/>
              <w:rPr>
                <w:sz w:val="20"/>
                <w:szCs w:val="20"/>
                <w:color w:val="auto"/>
              </w:rPr>
            </w:pPr>
            <w:r>
              <w:rPr>
                <w:rFonts w:ascii="Times New Roman" w:cs="Times New Roman" w:eastAsia="Times New Roman" w:hAnsi="Times New Roman"/>
                <w:sz w:val="21"/>
                <w:szCs w:val="21"/>
                <w:color w:val="auto"/>
              </w:rPr>
              <w:t>the period ended:</w:t>
            </w:r>
          </w:p>
        </w:tc>
        <w:tc>
          <w:tcPr>
            <w:tcW w:w="16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264,817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248,414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264,817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248,414</w:t>
            </w:r>
          </w:p>
        </w:tc>
        <w:tc>
          <w:tcPr>
            <w:tcW w:w="0" w:type="dxa"/>
            <w:vAlign w:val="bottom"/>
          </w:tcPr>
          <w:p>
            <w:pPr>
              <w:spacing w:after="0"/>
              <w:rPr>
                <w:sz w:val="1"/>
                <w:szCs w:val="1"/>
                <w:color w:val="auto"/>
              </w:rPr>
            </w:pPr>
          </w:p>
        </w:tc>
      </w:tr>
      <w:tr>
        <w:trPr>
          <w:trHeight w:val="275"/>
        </w:trPr>
        <w:tc>
          <w:tcPr>
            <w:tcW w:w="4800" w:type="dxa"/>
            <w:vAlign w:val="bottom"/>
          </w:tcPr>
          <w:p>
            <w:pPr>
              <w:spacing w:after="0"/>
              <w:rPr>
                <w:sz w:val="20"/>
                <w:szCs w:val="20"/>
                <w:color w:val="auto"/>
              </w:rPr>
            </w:pPr>
            <w:r>
              <w:rPr>
                <w:rFonts w:ascii="Times New Roman" w:cs="Times New Roman" w:eastAsia="Times New Roman" w:hAnsi="Times New Roman"/>
                <w:sz w:val="21"/>
                <w:szCs w:val="21"/>
                <w:color w:val="auto"/>
              </w:rPr>
              <w:t>Working capital as at the period ended:</w:t>
            </w:r>
          </w:p>
        </w:tc>
        <w:tc>
          <w:tcPr>
            <w:tcW w:w="1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461,218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424,115</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461,218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424,115</w:t>
            </w:r>
          </w:p>
        </w:tc>
        <w:tc>
          <w:tcPr>
            <w:tcW w:w="0" w:type="dxa"/>
            <w:vAlign w:val="bottom"/>
          </w:tcPr>
          <w:p>
            <w:pPr>
              <w:spacing w:after="0"/>
              <w:rPr>
                <w:sz w:val="1"/>
                <w:szCs w:val="1"/>
                <w:color w:val="auto"/>
              </w:rPr>
            </w:pPr>
          </w:p>
        </w:tc>
      </w:tr>
    </w:tbl>
    <w:p>
      <w:pPr>
        <w:spacing w:after="0" w:line="257" w:lineRule="exact"/>
        <w:rPr>
          <w:sz w:val="20"/>
          <w:szCs w:val="20"/>
          <w:color w:val="auto"/>
        </w:rPr>
      </w:pPr>
    </w:p>
    <w:p>
      <w:pPr>
        <w:ind w:right="240"/>
        <w:spacing w:after="0" w:line="219" w:lineRule="auto"/>
        <w:rPr>
          <w:sz w:val="20"/>
          <w:szCs w:val="20"/>
          <w:color w:val="auto"/>
        </w:rPr>
      </w:pPr>
      <w:r>
        <w:rPr>
          <w:rFonts w:ascii="Times New Roman" w:cs="Times New Roman" w:eastAsia="Times New Roman" w:hAnsi="Times New Roman"/>
          <w:sz w:val="35"/>
          <w:szCs w:val="35"/>
          <w:i w:val="1"/>
          <w:iCs w:val="1"/>
          <w:color w:val="auto"/>
          <w:vertAlign w:val="superscript"/>
        </w:rPr>
        <w:t>(1)</w:t>
      </w:r>
      <w:r>
        <w:rPr>
          <w:rFonts w:ascii="Times New Roman" w:cs="Times New Roman" w:eastAsia="Times New Roman" w:hAnsi="Times New Roman"/>
          <w:sz w:val="21"/>
          <w:szCs w:val="21"/>
          <w:i w:val="1"/>
          <w:iCs w:val="1"/>
          <w:color w:val="auto"/>
        </w:rPr>
        <w:t>Adjusted EBITDA, adjusted gross profit (excluding PPA step-up) and adjusted gross margin (excluding PPA step-up) for each of our segments, and cash, restricted cash and marketable securities are non-GAAP financial measures. See “Use of Non-GAAP Measures” above for a discussion of these Non-GAAP measures and “Reconciliation of Non-GAAP Financial Measures to GAAP Measures” below for a reconciliation of these Non-GAAP Measures to our most comparable GAAP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000" w:type="dxa"/>
            <w:vAlign w:val="bottom"/>
            <w:gridSpan w:val="7"/>
          </w:tcPr>
          <w:p>
            <w:pPr>
              <w:spacing w:after="0"/>
              <w:rPr>
                <w:sz w:val="20"/>
                <w:szCs w:val="20"/>
                <w:color w:val="auto"/>
              </w:rPr>
            </w:pPr>
            <w:r>
              <w:rPr>
                <w:rFonts w:ascii="Times New Roman" w:cs="Times New Roman" w:eastAsia="Times New Roman" w:hAnsi="Times New Roman"/>
                <w:sz w:val="21"/>
                <w:szCs w:val="21"/>
                <w:b w:val="1"/>
                <w:bCs w:val="1"/>
                <w:color w:val="auto"/>
              </w:rPr>
              <w:t>Other Financial Information: Gross Margin and Adjusted Gross Margin</w:t>
            </w: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63"/>
        </w:trPr>
        <w:tc>
          <w:tcPr>
            <w:tcW w:w="4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320" w:type="dxa"/>
            <w:vAlign w:val="bottom"/>
            <w:gridSpan w:val="10"/>
          </w:tcPr>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For the three months ended February 28, 2026</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9"/>
        </w:trPr>
        <w:tc>
          <w:tcPr>
            <w:tcW w:w="420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(In thousands of U.S. dollars)</w:t>
            </w:r>
          </w:p>
        </w:tc>
        <w:tc>
          <w:tcPr>
            <w:tcW w:w="160" w:type="dxa"/>
            <w:vAlign w:val="bottom"/>
          </w:tcPr>
          <w:p>
            <w:pPr>
              <w:spacing w:after="0"/>
              <w:rPr>
                <w:sz w:val="24"/>
                <w:szCs w:val="24"/>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21"/>
                <w:szCs w:val="21"/>
                <w:b w:val="1"/>
                <w:bCs w:val="1"/>
                <w:color w:val="auto"/>
              </w:rPr>
              <w:t>Beverage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21"/>
                <w:szCs w:val="21"/>
                <w:b w:val="1"/>
                <w:bCs w:val="1"/>
                <w:color w:val="auto"/>
              </w:rPr>
              <w:t>Cannabis</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Distribution</w:t>
            </w:r>
          </w:p>
        </w:tc>
        <w:tc>
          <w:tcPr>
            <w:tcW w:w="18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21"/>
                <w:szCs w:val="21"/>
                <w:b w:val="1"/>
                <w:bCs w:val="1"/>
                <w:color w:val="auto"/>
              </w:rPr>
              <w:t>Wellness</w:t>
            </w:r>
          </w:p>
        </w:tc>
        <w:tc>
          <w:tcPr>
            <w:tcW w:w="260" w:type="dxa"/>
            <w:vAlign w:val="bottom"/>
          </w:tcPr>
          <w:p>
            <w:pPr>
              <w:spacing w:after="0"/>
              <w:rPr>
                <w:sz w:val="24"/>
                <w:szCs w:val="24"/>
                <w:color w:val="auto"/>
              </w:rPr>
            </w:pPr>
          </w:p>
        </w:tc>
        <w:tc>
          <w:tcPr>
            <w:tcW w:w="1040" w:type="dxa"/>
            <w:vAlign w:val="bottom"/>
          </w:tcPr>
          <w:p>
            <w:pPr>
              <w:jc w:val="right"/>
              <w:ind w:right="315"/>
              <w:spacing w:after="0"/>
              <w:rPr>
                <w:sz w:val="20"/>
                <w:szCs w:val="20"/>
                <w:color w:val="auto"/>
              </w:rPr>
            </w:pPr>
            <w:r>
              <w:rPr>
                <w:rFonts w:ascii="Times New Roman" w:cs="Times New Roman" w:eastAsia="Times New Roman" w:hAnsi="Times New Roman"/>
                <w:sz w:val="21"/>
                <w:szCs w:val="21"/>
                <w:b w:val="1"/>
                <w:bCs w:val="1"/>
                <w:color w:val="auto"/>
              </w:rPr>
              <w:t>Total</w:t>
            </w:r>
          </w:p>
        </w:tc>
      </w:tr>
      <w:tr>
        <w:trPr>
          <w:trHeight w:val="244"/>
        </w:trPr>
        <w:tc>
          <w:tcPr>
            <w:tcW w:w="4200" w:type="dxa"/>
            <w:vAlign w:val="bottom"/>
          </w:tcPr>
          <w:p>
            <w:pPr>
              <w:spacing w:after="0"/>
              <w:rPr>
                <w:sz w:val="20"/>
                <w:szCs w:val="20"/>
                <w:color w:val="auto"/>
              </w:rPr>
            </w:pPr>
            <w:r>
              <w:rPr>
                <w:rFonts w:ascii="Times New Roman" w:cs="Times New Roman" w:eastAsia="Times New Roman" w:hAnsi="Times New Roman"/>
                <w:sz w:val="21"/>
                <w:szCs w:val="21"/>
                <w:color w:val="auto"/>
              </w:rPr>
              <w:t>Net revenue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14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42,558</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4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64,828</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21"/>
                <w:szCs w:val="21"/>
                <w:color w:val="auto"/>
                <w:w w:val="94"/>
              </w:rPr>
              <w:t>$</w:t>
            </w:r>
          </w:p>
        </w:tc>
        <w:tc>
          <w:tcPr>
            <w:tcW w:w="98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82,963</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2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16,383</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206,732</w:t>
            </w:r>
          </w:p>
        </w:tc>
      </w:tr>
      <w:tr>
        <w:trPr>
          <w:trHeight w:val="275"/>
        </w:trPr>
        <w:tc>
          <w:tcPr>
            <w:tcW w:w="4200" w:type="dxa"/>
            <w:vAlign w:val="bottom"/>
          </w:tcPr>
          <w:p>
            <w:pPr>
              <w:spacing w:after="0"/>
              <w:rPr>
                <w:sz w:val="20"/>
                <w:szCs w:val="20"/>
                <w:color w:val="auto"/>
              </w:rPr>
            </w:pPr>
            <w:r>
              <w:rPr>
                <w:rFonts w:ascii="Times New Roman" w:cs="Times New Roman" w:eastAsia="Times New Roman" w:hAnsi="Times New Roman"/>
                <w:sz w:val="21"/>
                <w:szCs w:val="21"/>
                <w:color w:val="auto"/>
              </w:rPr>
              <w:t>Cost of goods sold</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28,977</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38,858</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72,951</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10,992</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151,778</w:t>
            </w:r>
          </w:p>
        </w:tc>
      </w:tr>
      <w:tr>
        <w:trPr>
          <w:trHeight w:val="258"/>
        </w:trPr>
        <w:tc>
          <w:tcPr>
            <w:tcW w:w="4200" w:type="dxa"/>
            <w:vAlign w:val="bottom"/>
          </w:tcPr>
          <w:p>
            <w:pPr>
              <w:spacing w:after="0"/>
              <w:rPr>
                <w:sz w:val="20"/>
                <w:szCs w:val="20"/>
                <w:color w:val="auto"/>
              </w:rPr>
            </w:pPr>
            <w:r>
              <w:rPr>
                <w:rFonts w:ascii="Times New Roman" w:cs="Times New Roman" w:eastAsia="Times New Roman" w:hAnsi="Times New Roman"/>
                <w:sz w:val="21"/>
                <w:szCs w:val="21"/>
                <w:color w:val="auto"/>
              </w:rPr>
              <w:t>Gross profit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13,581</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25,970</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10,012</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5,391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54,954</w:t>
            </w:r>
          </w:p>
        </w:tc>
      </w:tr>
      <w:tr>
        <w:trPr>
          <w:trHeight w:val="256"/>
        </w:trPr>
        <w:tc>
          <w:tcPr>
            <w:tcW w:w="4200" w:type="dxa"/>
            <w:vAlign w:val="bottom"/>
          </w:tcPr>
          <w:p>
            <w:pPr>
              <w:spacing w:after="0"/>
              <w:rPr>
                <w:sz w:val="20"/>
                <w:szCs w:val="20"/>
                <w:color w:val="auto"/>
              </w:rPr>
            </w:pPr>
            <w:r>
              <w:rPr>
                <w:rFonts w:ascii="Times New Roman" w:cs="Times New Roman" w:eastAsia="Times New Roman" w:hAnsi="Times New Roman"/>
                <w:sz w:val="21"/>
                <w:szCs w:val="21"/>
                <w:color w:val="auto"/>
              </w:rPr>
              <w:t>Gross margin</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32%</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40%</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12%</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33%</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320" w:type="dxa"/>
            <w:vAlign w:val="bottom"/>
            <w:gridSpan w:val="10"/>
          </w:tcPr>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For the three months ended February 28, 2025</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9"/>
        </w:trPr>
        <w:tc>
          <w:tcPr>
            <w:tcW w:w="420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(In thousands of U.S. dollars)</w:t>
            </w:r>
          </w:p>
        </w:tc>
        <w:tc>
          <w:tcPr>
            <w:tcW w:w="160" w:type="dxa"/>
            <w:vAlign w:val="bottom"/>
          </w:tcPr>
          <w:p>
            <w:pPr>
              <w:spacing w:after="0"/>
              <w:rPr>
                <w:sz w:val="24"/>
                <w:szCs w:val="24"/>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21"/>
                <w:szCs w:val="21"/>
                <w:b w:val="1"/>
                <w:bCs w:val="1"/>
                <w:color w:val="auto"/>
              </w:rPr>
              <w:t>Beverage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21"/>
                <w:szCs w:val="21"/>
                <w:b w:val="1"/>
                <w:bCs w:val="1"/>
                <w:color w:val="auto"/>
              </w:rPr>
              <w:t>Cannabis</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Distribution</w:t>
            </w:r>
          </w:p>
        </w:tc>
        <w:tc>
          <w:tcPr>
            <w:tcW w:w="18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21"/>
                <w:szCs w:val="21"/>
                <w:b w:val="1"/>
                <w:bCs w:val="1"/>
                <w:color w:val="auto"/>
              </w:rPr>
              <w:t>Wellness</w:t>
            </w:r>
          </w:p>
        </w:tc>
        <w:tc>
          <w:tcPr>
            <w:tcW w:w="260" w:type="dxa"/>
            <w:vAlign w:val="bottom"/>
          </w:tcPr>
          <w:p>
            <w:pPr>
              <w:spacing w:after="0"/>
              <w:rPr>
                <w:sz w:val="24"/>
                <w:szCs w:val="24"/>
                <w:color w:val="auto"/>
              </w:rPr>
            </w:pPr>
          </w:p>
        </w:tc>
        <w:tc>
          <w:tcPr>
            <w:tcW w:w="1040" w:type="dxa"/>
            <w:vAlign w:val="bottom"/>
          </w:tcPr>
          <w:p>
            <w:pPr>
              <w:jc w:val="right"/>
              <w:ind w:right="315"/>
              <w:spacing w:after="0"/>
              <w:rPr>
                <w:sz w:val="20"/>
                <w:szCs w:val="20"/>
                <w:color w:val="auto"/>
              </w:rPr>
            </w:pPr>
            <w:r>
              <w:rPr>
                <w:rFonts w:ascii="Times New Roman" w:cs="Times New Roman" w:eastAsia="Times New Roman" w:hAnsi="Times New Roman"/>
                <w:sz w:val="21"/>
                <w:szCs w:val="21"/>
                <w:b w:val="1"/>
                <w:bCs w:val="1"/>
                <w:color w:val="auto"/>
              </w:rPr>
              <w:t>Total</w:t>
            </w:r>
          </w:p>
        </w:tc>
      </w:tr>
      <w:tr>
        <w:trPr>
          <w:trHeight w:val="244"/>
        </w:trPr>
        <w:tc>
          <w:tcPr>
            <w:tcW w:w="4200" w:type="dxa"/>
            <w:vAlign w:val="bottom"/>
          </w:tcPr>
          <w:p>
            <w:pPr>
              <w:spacing w:after="0"/>
              <w:rPr>
                <w:sz w:val="20"/>
                <w:szCs w:val="20"/>
                <w:color w:val="auto"/>
              </w:rPr>
            </w:pPr>
            <w:r>
              <w:rPr>
                <w:rFonts w:ascii="Times New Roman" w:cs="Times New Roman" w:eastAsia="Times New Roman" w:hAnsi="Times New Roman"/>
                <w:sz w:val="21"/>
                <w:szCs w:val="21"/>
                <w:color w:val="auto"/>
              </w:rPr>
              <w:t>Net revenue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14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55,921</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4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54,274</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21"/>
                <w:szCs w:val="21"/>
                <w:color w:val="auto"/>
                <w:w w:val="94"/>
              </w:rPr>
              <w:t>$</w:t>
            </w:r>
          </w:p>
        </w:tc>
        <w:tc>
          <w:tcPr>
            <w:tcW w:w="98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61,493</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2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14,092</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185,780</w:t>
            </w:r>
          </w:p>
        </w:tc>
      </w:tr>
      <w:tr>
        <w:trPr>
          <w:trHeight w:val="275"/>
        </w:trPr>
        <w:tc>
          <w:tcPr>
            <w:tcW w:w="4200" w:type="dxa"/>
            <w:vAlign w:val="bottom"/>
          </w:tcPr>
          <w:p>
            <w:pPr>
              <w:spacing w:after="0"/>
              <w:rPr>
                <w:sz w:val="20"/>
                <w:szCs w:val="20"/>
                <w:color w:val="auto"/>
              </w:rPr>
            </w:pPr>
            <w:r>
              <w:rPr>
                <w:rFonts w:ascii="Times New Roman" w:cs="Times New Roman" w:eastAsia="Times New Roman" w:hAnsi="Times New Roman"/>
                <w:sz w:val="21"/>
                <w:szCs w:val="21"/>
                <w:color w:val="auto"/>
              </w:rPr>
              <w:t>Cost of goods sold</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35,986</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32,275</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55,936</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9,572</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133,769</w:t>
            </w:r>
          </w:p>
        </w:tc>
      </w:tr>
      <w:tr>
        <w:trPr>
          <w:trHeight w:val="258"/>
        </w:trPr>
        <w:tc>
          <w:tcPr>
            <w:tcW w:w="4200" w:type="dxa"/>
            <w:vAlign w:val="bottom"/>
          </w:tcPr>
          <w:p>
            <w:pPr>
              <w:spacing w:after="0"/>
              <w:rPr>
                <w:sz w:val="20"/>
                <w:szCs w:val="20"/>
                <w:color w:val="auto"/>
              </w:rPr>
            </w:pPr>
            <w:r>
              <w:rPr>
                <w:rFonts w:ascii="Times New Roman" w:cs="Times New Roman" w:eastAsia="Times New Roman" w:hAnsi="Times New Roman"/>
                <w:sz w:val="21"/>
                <w:szCs w:val="21"/>
                <w:color w:val="auto"/>
              </w:rPr>
              <w:t>Gross profit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19,935</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21,999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5,557</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4,520</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52,011</w:t>
            </w:r>
          </w:p>
        </w:tc>
      </w:tr>
      <w:tr>
        <w:trPr>
          <w:trHeight w:val="256"/>
        </w:trPr>
        <w:tc>
          <w:tcPr>
            <w:tcW w:w="4200" w:type="dxa"/>
            <w:vAlign w:val="bottom"/>
          </w:tcPr>
          <w:p>
            <w:pPr>
              <w:spacing w:after="0"/>
              <w:rPr>
                <w:sz w:val="20"/>
                <w:szCs w:val="20"/>
                <w:color w:val="auto"/>
              </w:rPr>
            </w:pPr>
            <w:r>
              <w:rPr>
                <w:rFonts w:ascii="Times New Roman" w:cs="Times New Roman" w:eastAsia="Times New Roman" w:hAnsi="Times New Roman"/>
                <w:sz w:val="21"/>
                <w:szCs w:val="21"/>
                <w:color w:val="auto"/>
              </w:rPr>
              <w:t>Gross margin</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41%</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32%</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28%</w:t>
            </w:r>
          </w:p>
        </w:tc>
      </w:tr>
      <w:tr>
        <w:trPr>
          <w:trHeight w:val="242"/>
        </w:trPr>
        <w:tc>
          <w:tcPr>
            <w:tcW w:w="4200" w:type="dxa"/>
            <w:vAlign w:val="bottom"/>
          </w:tcPr>
          <w:p>
            <w:pPr>
              <w:spacing w:after="0"/>
              <w:rPr>
                <w:sz w:val="20"/>
                <w:szCs w:val="20"/>
                <w:color w:val="auto"/>
              </w:rPr>
            </w:pPr>
            <w:r>
              <w:rPr>
                <w:rFonts w:ascii="Times New Roman" w:cs="Times New Roman" w:eastAsia="Times New Roman" w:hAnsi="Times New Roman"/>
                <w:sz w:val="21"/>
                <w:szCs w:val="21"/>
                <w:color w:val="auto"/>
              </w:rPr>
              <w:t>Adjustments: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5"/>
        </w:trPr>
        <w:tc>
          <w:tcPr>
            <w:tcW w:w="42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Purchase price accounting step-up</w:t>
            </w:r>
          </w:p>
        </w:tc>
        <w:tc>
          <w:tcPr>
            <w:tcW w:w="160" w:type="dxa"/>
            <w:vAlign w:val="bottom"/>
          </w:tcPr>
          <w:p>
            <w:pPr>
              <w:spacing w:after="0"/>
              <w:rPr>
                <w:sz w:val="23"/>
                <w:szCs w:val="23"/>
                <w:color w:val="auto"/>
              </w:rPr>
            </w:pPr>
          </w:p>
        </w:tc>
        <w:tc>
          <w:tcPr>
            <w:tcW w:w="114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59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21"/>
                <w:szCs w:val="21"/>
                <w:color w:val="auto"/>
              </w:rPr>
              <w:t>—</w:t>
            </w:r>
          </w:p>
        </w:tc>
        <w:tc>
          <w:tcPr>
            <w:tcW w:w="340" w:type="dxa"/>
            <w:vAlign w:val="bottom"/>
          </w:tcPr>
          <w:p>
            <w:pPr>
              <w:spacing w:after="0"/>
              <w:rPr>
                <w:sz w:val="23"/>
                <w:szCs w:val="23"/>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21"/>
                <w:szCs w:val="21"/>
                <w:color w:val="auto"/>
              </w:rPr>
              <w:t>—</w:t>
            </w:r>
          </w:p>
        </w:tc>
        <w:tc>
          <w:tcPr>
            <w:tcW w:w="180" w:type="dxa"/>
            <w:vAlign w:val="bottom"/>
          </w:tcPr>
          <w:p>
            <w:pPr>
              <w:spacing w:after="0"/>
              <w:rPr>
                <w:sz w:val="23"/>
                <w:szCs w:val="23"/>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21"/>
                <w:szCs w:val="21"/>
                <w:color w:val="auto"/>
              </w:rPr>
              <w:t>—</w:t>
            </w:r>
          </w:p>
        </w:tc>
        <w:tc>
          <w:tcPr>
            <w:tcW w:w="260" w:type="dxa"/>
            <w:vAlign w:val="bottom"/>
          </w:tcPr>
          <w:p>
            <w:pPr>
              <w:spacing w:after="0"/>
              <w:rPr>
                <w:sz w:val="23"/>
                <w:szCs w:val="23"/>
                <w:color w:val="auto"/>
              </w:rPr>
            </w:pPr>
          </w:p>
        </w:tc>
        <w:tc>
          <w:tcPr>
            <w:tcW w:w="104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59</w:t>
            </w:r>
          </w:p>
        </w:tc>
      </w:tr>
      <w:tr>
        <w:trPr>
          <w:trHeight w:val="258"/>
        </w:trPr>
        <w:tc>
          <w:tcPr>
            <w:tcW w:w="4200" w:type="dxa"/>
            <w:vAlign w:val="bottom"/>
          </w:tcPr>
          <w:p>
            <w:pPr>
              <w:spacing w:after="0"/>
              <w:rPr>
                <w:sz w:val="20"/>
                <w:szCs w:val="20"/>
                <w:color w:val="auto"/>
              </w:rPr>
            </w:pPr>
            <w:r>
              <w:rPr>
                <w:rFonts w:ascii="Times New Roman" w:cs="Times New Roman" w:eastAsia="Times New Roman" w:hAnsi="Times New Roman"/>
                <w:sz w:val="21"/>
                <w:szCs w:val="21"/>
                <w:color w:val="auto"/>
              </w:rPr>
              <w:t>Adjusted gross profit</w:t>
            </w:r>
          </w:p>
        </w:tc>
        <w:tc>
          <w:tcPr>
            <w:tcW w:w="1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19,994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21,999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5,557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4,520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52,070</w:t>
            </w:r>
          </w:p>
        </w:tc>
      </w:tr>
      <w:tr>
        <w:trPr>
          <w:trHeight w:val="256"/>
        </w:trPr>
        <w:tc>
          <w:tcPr>
            <w:tcW w:w="4200" w:type="dxa"/>
            <w:vAlign w:val="bottom"/>
          </w:tcPr>
          <w:p>
            <w:pPr>
              <w:spacing w:after="0"/>
              <w:rPr>
                <w:sz w:val="20"/>
                <w:szCs w:val="20"/>
                <w:color w:val="auto"/>
              </w:rPr>
            </w:pPr>
            <w:r>
              <w:rPr>
                <w:rFonts w:ascii="Times New Roman" w:cs="Times New Roman" w:eastAsia="Times New Roman" w:hAnsi="Times New Roman"/>
                <w:sz w:val="21"/>
                <w:szCs w:val="21"/>
                <w:color w:val="auto"/>
              </w:rPr>
              <w:t>Adjusted gross margin</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41%</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32%</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28%</w:t>
            </w: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00"/>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gridSpan w:val="9"/>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For the nine months ended February 28, 2026</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0"/>
        </w:trPr>
        <w:tc>
          <w:tcPr>
            <w:tcW w:w="420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(In thousands of U.S. dollars)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21"/>
                <w:szCs w:val="21"/>
                <w:b w:val="1"/>
                <w:bCs w:val="1"/>
                <w:color w:val="auto"/>
              </w:rPr>
              <w:t>Beverage</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b w:val="1"/>
                <w:bCs w:val="1"/>
                <w:color w:val="auto"/>
              </w:rPr>
              <w:t>Cannabis</w:t>
            </w:r>
          </w:p>
        </w:tc>
        <w:tc>
          <w:tcPr>
            <w:tcW w:w="100" w:type="dxa"/>
            <w:vAlign w:val="bottom"/>
          </w:tcPr>
          <w:p>
            <w:pPr>
              <w:spacing w:after="0"/>
              <w:rPr>
                <w:sz w:val="24"/>
                <w:szCs w:val="2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1"/>
                <w:szCs w:val="21"/>
                <w:b w:val="1"/>
                <w:bCs w:val="1"/>
                <w:color w:val="auto"/>
              </w:rPr>
              <w:t>Distribution</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Wellness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21"/>
                <w:szCs w:val="21"/>
                <w:b w:val="1"/>
                <w:bCs w:val="1"/>
                <w:color w:val="auto"/>
              </w:rPr>
              <w:t>Total</w:t>
            </w:r>
          </w:p>
        </w:tc>
      </w:tr>
    </w:tbl>
    <w:p>
      <w:pPr>
        <w:sectPr>
          <w:pgSz w:w="11900" w:h="16838" w:orient="portrait"/>
          <w:cols w:equalWidth="0" w:num="1">
            <w:col w:w="11220"/>
          </w:cols>
          <w:pgMar w:left="340" w:top="114" w:right="339" w:bottom="0" w:gutter="0" w:footer="0" w:header="0"/>
        </w:sectPr>
      </w:pPr>
    </w:p>
    <w:bookmarkStart w:id="12" w:name="page13"/>
    <w:bookmarkEnd w:id="12"/>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200" w:type="dxa"/>
            <w:vAlign w:val="bottom"/>
          </w:tcPr>
          <w:p>
            <w:pPr>
              <w:spacing w:after="0"/>
              <w:rPr>
                <w:sz w:val="20"/>
                <w:szCs w:val="20"/>
                <w:color w:val="auto"/>
              </w:rPr>
            </w:pPr>
            <w:r>
              <w:rPr>
                <w:rFonts w:ascii="Times New Roman" w:cs="Times New Roman" w:eastAsia="Times New Roman" w:hAnsi="Times New Roman"/>
                <w:sz w:val="21"/>
                <w:szCs w:val="21"/>
                <w:color w:val="auto"/>
              </w:rPr>
              <w:t>Net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14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148,380</w:t>
            </w:r>
          </w:p>
        </w:tc>
        <w:tc>
          <w:tcPr>
            <w:tcW w:w="10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114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196,871</w:t>
            </w:r>
          </w:p>
        </w:tc>
        <w:tc>
          <w:tcPr>
            <w:tcW w:w="100" w:type="dxa"/>
            <w:vAlign w:val="bottom"/>
          </w:tcPr>
          <w:p>
            <w:pPr>
              <w:spacing w:after="0"/>
              <w:rPr>
                <w:sz w:val="22"/>
                <w:szCs w:val="22"/>
                <w:color w:val="auto"/>
              </w:rPr>
            </w:pPr>
          </w:p>
        </w:tc>
        <w:tc>
          <w:tcPr>
            <w:tcW w:w="280" w:type="dxa"/>
            <w:vAlign w:val="bottom"/>
          </w:tcPr>
          <w:p>
            <w:pPr>
              <w:jc w:val="right"/>
              <w:ind w:right="55"/>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242,286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46,203</w:t>
            </w:r>
          </w:p>
        </w:tc>
        <w:tc>
          <w:tcPr>
            <w:tcW w:w="100" w:type="dxa"/>
            <w:vAlign w:val="bottom"/>
          </w:tcPr>
          <w:p>
            <w:pPr>
              <w:spacing w:after="0"/>
              <w:rPr>
                <w:sz w:val="22"/>
                <w:szCs w:val="22"/>
                <w:color w:val="auto"/>
              </w:rPr>
            </w:pPr>
          </w:p>
        </w:tc>
        <w:tc>
          <w:tcPr>
            <w:tcW w:w="260" w:type="dxa"/>
            <w:vAlign w:val="bottom"/>
          </w:tcPr>
          <w:p>
            <w:pPr>
              <w:jc w:val="right"/>
              <w:ind w:right="35"/>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633,740</w:t>
            </w:r>
          </w:p>
        </w:tc>
      </w:tr>
      <w:tr>
        <w:trPr>
          <w:trHeight w:val="275"/>
        </w:trPr>
        <w:tc>
          <w:tcPr>
            <w:tcW w:w="4200" w:type="dxa"/>
            <w:vAlign w:val="bottom"/>
          </w:tcPr>
          <w:p>
            <w:pPr>
              <w:spacing w:after="0"/>
              <w:rPr>
                <w:sz w:val="20"/>
                <w:szCs w:val="20"/>
                <w:color w:val="auto"/>
              </w:rPr>
            </w:pPr>
            <w:r>
              <w:rPr>
                <w:rFonts w:ascii="Times New Roman" w:cs="Times New Roman" w:eastAsia="Times New Roman" w:hAnsi="Times New Roman"/>
                <w:sz w:val="21"/>
                <w:szCs w:val="21"/>
                <w:color w:val="auto"/>
              </w:rPr>
              <w:t>Cost of goods sold</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97,741</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121,497</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213,293</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31,289</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463,820</w:t>
            </w:r>
          </w:p>
        </w:tc>
      </w:tr>
      <w:tr>
        <w:trPr>
          <w:trHeight w:val="258"/>
        </w:trPr>
        <w:tc>
          <w:tcPr>
            <w:tcW w:w="4200" w:type="dxa"/>
            <w:vAlign w:val="bottom"/>
          </w:tcPr>
          <w:p>
            <w:pPr>
              <w:spacing w:after="0"/>
              <w:rPr>
                <w:sz w:val="20"/>
                <w:szCs w:val="20"/>
                <w:color w:val="auto"/>
              </w:rPr>
            </w:pPr>
            <w:r>
              <w:rPr>
                <w:rFonts w:ascii="Times New Roman" w:cs="Times New Roman" w:eastAsia="Times New Roman" w:hAnsi="Times New Roman"/>
                <w:sz w:val="21"/>
                <w:szCs w:val="21"/>
                <w:color w:val="auto"/>
              </w:rPr>
              <w:t>Gross profit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50,639</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75,374</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28,993</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14,914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169,920</w:t>
            </w:r>
          </w:p>
        </w:tc>
      </w:tr>
      <w:tr>
        <w:trPr>
          <w:trHeight w:val="256"/>
        </w:trPr>
        <w:tc>
          <w:tcPr>
            <w:tcW w:w="4200" w:type="dxa"/>
            <w:vAlign w:val="bottom"/>
          </w:tcPr>
          <w:p>
            <w:pPr>
              <w:spacing w:after="0"/>
              <w:rPr>
                <w:sz w:val="20"/>
                <w:szCs w:val="20"/>
                <w:color w:val="auto"/>
              </w:rPr>
            </w:pPr>
            <w:r>
              <w:rPr>
                <w:rFonts w:ascii="Times New Roman" w:cs="Times New Roman" w:eastAsia="Times New Roman" w:hAnsi="Times New Roman"/>
                <w:sz w:val="21"/>
                <w:szCs w:val="21"/>
                <w:color w:val="auto"/>
              </w:rPr>
              <w:t>Gross margin</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34%</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12%</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32%</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00"/>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gridSpan w:val="9"/>
          </w:tcPr>
          <w:p>
            <w:pPr>
              <w:spacing w:after="0"/>
              <w:rPr>
                <w:sz w:val="20"/>
                <w:szCs w:val="20"/>
                <w:color w:val="auto"/>
              </w:rPr>
            </w:pPr>
            <w:r>
              <w:rPr>
                <w:rFonts w:ascii="Times New Roman" w:cs="Times New Roman" w:eastAsia="Times New Roman" w:hAnsi="Times New Roman"/>
                <w:sz w:val="21"/>
                <w:szCs w:val="21"/>
                <w:b w:val="1"/>
                <w:bCs w:val="1"/>
                <w:color w:val="auto"/>
              </w:rPr>
              <w:t>For the nine months ended February 28, 2025</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9"/>
        </w:trPr>
        <w:tc>
          <w:tcPr>
            <w:tcW w:w="420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(In thousands of U.S. dollars)</w:t>
            </w:r>
          </w:p>
        </w:tc>
        <w:tc>
          <w:tcPr>
            <w:tcW w:w="16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21"/>
                <w:szCs w:val="21"/>
                <w:b w:val="1"/>
                <w:bCs w:val="1"/>
                <w:color w:val="auto"/>
              </w:rPr>
              <w:t>Beverage</w:t>
            </w:r>
          </w:p>
        </w:tc>
        <w:tc>
          <w:tcPr>
            <w:tcW w:w="16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21"/>
                <w:szCs w:val="21"/>
                <w:b w:val="1"/>
                <w:bCs w:val="1"/>
                <w:color w:val="auto"/>
              </w:rPr>
              <w:t>Cannabis</w:t>
            </w:r>
          </w:p>
        </w:tc>
        <w:tc>
          <w:tcPr>
            <w:tcW w:w="1420" w:type="dxa"/>
            <w:vAlign w:val="bottom"/>
            <w:gridSpan w:val="3"/>
          </w:tcPr>
          <w:p>
            <w:pPr>
              <w:ind w:left="120"/>
              <w:spacing w:after="0"/>
              <w:rPr>
                <w:sz w:val="20"/>
                <w:szCs w:val="20"/>
                <w:color w:val="auto"/>
              </w:rPr>
            </w:pPr>
            <w:r>
              <w:rPr>
                <w:rFonts w:ascii="Times New Roman" w:cs="Times New Roman" w:eastAsia="Times New Roman" w:hAnsi="Times New Roman"/>
                <w:sz w:val="21"/>
                <w:szCs w:val="21"/>
                <w:b w:val="1"/>
                <w:bCs w:val="1"/>
                <w:color w:val="auto"/>
              </w:rPr>
              <w:t>Distribution</w:t>
            </w:r>
          </w:p>
        </w:tc>
        <w:tc>
          <w:tcPr>
            <w:tcW w:w="18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21"/>
                <w:szCs w:val="21"/>
                <w:b w:val="1"/>
                <w:bCs w:val="1"/>
                <w:color w:val="auto"/>
              </w:rPr>
              <w:t>Wellness</w:t>
            </w:r>
          </w:p>
        </w:tc>
        <w:tc>
          <w:tcPr>
            <w:tcW w:w="260" w:type="dxa"/>
            <w:vAlign w:val="bottom"/>
          </w:tcPr>
          <w:p>
            <w:pPr>
              <w:spacing w:after="0"/>
              <w:rPr>
                <w:sz w:val="24"/>
                <w:szCs w:val="24"/>
                <w:color w:val="auto"/>
              </w:rPr>
            </w:pPr>
          </w:p>
        </w:tc>
        <w:tc>
          <w:tcPr>
            <w:tcW w:w="1040" w:type="dxa"/>
            <w:vAlign w:val="bottom"/>
          </w:tcPr>
          <w:p>
            <w:pPr>
              <w:jc w:val="right"/>
              <w:ind w:right="315"/>
              <w:spacing w:after="0"/>
              <w:rPr>
                <w:sz w:val="20"/>
                <w:szCs w:val="20"/>
                <w:color w:val="auto"/>
              </w:rPr>
            </w:pPr>
            <w:r>
              <w:rPr>
                <w:rFonts w:ascii="Times New Roman" w:cs="Times New Roman" w:eastAsia="Times New Roman" w:hAnsi="Times New Roman"/>
                <w:sz w:val="21"/>
                <w:szCs w:val="21"/>
                <w:b w:val="1"/>
                <w:bCs w:val="1"/>
                <w:color w:val="auto"/>
              </w:rPr>
              <w:t>Total</w:t>
            </w:r>
          </w:p>
        </w:tc>
      </w:tr>
      <w:tr>
        <w:trPr>
          <w:trHeight w:val="244"/>
        </w:trPr>
        <w:tc>
          <w:tcPr>
            <w:tcW w:w="4200" w:type="dxa"/>
            <w:vAlign w:val="bottom"/>
          </w:tcPr>
          <w:p>
            <w:pPr>
              <w:spacing w:after="0"/>
              <w:rPr>
                <w:sz w:val="20"/>
                <w:szCs w:val="20"/>
                <w:color w:val="auto"/>
              </w:rPr>
            </w:pPr>
            <w:r>
              <w:rPr>
                <w:rFonts w:ascii="Times New Roman" w:cs="Times New Roman" w:eastAsia="Times New Roman" w:hAnsi="Times New Roman"/>
                <w:sz w:val="21"/>
                <w:szCs w:val="21"/>
                <w:color w:val="auto"/>
              </w:rPr>
              <w:t>Net revenue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14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174,974</w:t>
            </w:r>
          </w:p>
        </w:tc>
        <w:tc>
          <w:tcPr>
            <w:tcW w:w="100" w:type="dxa"/>
            <w:vAlign w:val="bottom"/>
          </w:tcPr>
          <w:p>
            <w:pPr>
              <w:spacing w:after="0"/>
              <w:rPr>
                <w:sz w:val="21"/>
                <w:szCs w:val="21"/>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114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181,175</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197,175</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2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43,450</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596,774</w:t>
            </w:r>
          </w:p>
        </w:tc>
      </w:tr>
      <w:tr>
        <w:trPr>
          <w:trHeight w:val="275"/>
        </w:trPr>
        <w:tc>
          <w:tcPr>
            <w:tcW w:w="4200" w:type="dxa"/>
            <w:vAlign w:val="bottom"/>
          </w:tcPr>
          <w:p>
            <w:pPr>
              <w:spacing w:after="0"/>
              <w:rPr>
                <w:sz w:val="20"/>
                <w:szCs w:val="20"/>
                <w:color w:val="auto"/>
              </w:rPr>
            </w:pPr>
            <w:r>
              <w:rPr>
                <w:rFonts w:ascii="Times New Roman" w:cs="Times New Roman" w:eastAsia="Times New Roman" w:hAnsi="Times New Roman"/>
                <w:sz w:val="21"/>
                <w:szCs w:val="21"/>
                <w:color w:val="auto"/>
              </w:rPr>
              <w:t>Cost of goods sold</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106,961</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111,804</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175,281</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29,791</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423,837</w:t>
            </w:r>
          </w:p>
        </w:tc>
      </w:tr>
      <w:tr>
        <w:trPr>
          <w:trHeight w:val="258"/>
        </w:trPr>
        <w:tc>
          <w:tcPr>
            <w:tcW w:w="4200" w:type="dxa"/>
            <w:vAlign w:val="bottom"/>
          </w:tcPr>
          <w:p>
            <w:pPr>
              <w:spacing w:after="0"/>
              <w:rPr>
                <w:sz w:val="20"/>
                <w:szCs w:val="20"/>
                <w:color w:val="auto"/>
              </w:rPr>
            </w:pPr>
            <w:r>
              <w:rPr>
                <w:rFonts w:ascii="Times New Roman" w:cs="Times New Roman" w:eastAsia="Times New Roman" w:hAnsi="Times New Roman"/>
                <w:sz w:val="21"/>
                <w:szCs w:val="21"/>
                <w:color w:val="auto"/>
              </w:rPr>
              <w:t>Gross profit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68,013</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69,371</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21,894</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13,659</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172,937</w:t>
            </w:r>
          </w:p>
        </w:tc>
      </w:tr>
      <w:tr>
        <w:trPr>
          <w:trHeight w:val="256"/>
        </w:trPr>
        <w:tc>
          <w:tcPr>
            <w:tcW w:w="4200" w:type="dxa"/>
            <w:vAlign w:val="bottom"/>
          </w:tcPr>
          <w:p>
            <w:pPr>
              <w:spacing w:after="0"/>
              <w:rPr>
                <w:sz w:val="20"/>
                <w:szCs w:val="20"/>
                <w:color w:val="auto"/>
              </w:rPr>
            </w:pPr>
            <w:r>
              <w:rPr>
                <w:rFonts w:ascii="Times New Roman" w:cs="Times New Roman" w:eastAsia="Times New Roman" w:hAnsi="Times New Roman"/>
                <w:sz w:val="21"/>
                <w:szCs w:val="21"/>
                <w:color w:val="auto"/>
              </w:rPr>
              <w:t>Gross margin</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39%</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11%</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29%</w:t>
            </w:r>
          </w:p>
        </w:tc>
      </w:tr>
      <w:tr>
        <w:trPr>
          <w:trHeight w:val="242"/>
        </w:trPr>
        <w:tc>
          <w:tcPr>
            <w:tcW w:w="4200" w:type="dxa"/>
            <w:vAlign w:val="bottom"/>
          </w:tcPr>
          <w:p>
            <w:pPr>
              <w:spacing w:after="0"/>
              <w:rPr>
                <w:sz w:val="20"/>
                <w:szCs w:val="20"/>
                <w:color w:val="auto"/>
              </w:rPr>
            </w:pPr>
            <w:r>
              <w:rPr>
                <w:rFonts w:ascii="Times New Roman" w:cs="Times New Roman" w:eastAsia="Times New Roman" w:hAnsi="Times New Roman"/>
                <w:sz w:val="21"/>
                <w:szCs w:val="21"/>
                <w:color w:val="auto"/>
              </w:rPr>
              <w:t>Adjustments: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5"/>
        </w:trPr>
        <w:tc>
          <w:tcPr>
            <w:tcW w:w="42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Purchase price accounting step-up</w:t>
            </w:r>
          </w:p>
        </w:tc>
        <w:tc>
          <w:tcPr>
            <w:tcW w:w="160" w:type="dxa"/>
            <w:vAlign w:val="bottom"/>
          </w:tcPr>
          <w:p>
            <w:pPr>
              <w:spacing w:after="0"/>
              <w:rPr>
                <w:sz w:val="23"/>
                <w:szCs w:val="23"/>
                <w:color w:val="auto"/>
              </w:rPr>
            </w:pPr>
          </w:p>
        </w:tc>
        <w:tc>
          <w:tcPr>
            <w:tcW w:w="114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1,610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21"/>
                <w:szCs w:val="21"/>
                <w:color w:val="auto"/>
              </w:rPr>
              <w:t>—</w:t>
            </w:r>
          </w:p>
        </w:tc>
        <w:tc>
          <w:tcPr>
            <w:tcW w:w="280" w:type="dxa"/>
            <w:vAlign w:val="bottom"/>
          </w:tcPr>
          <w:p>
            <w:pPr>
              <w:spacing w:after="0"/>
              <w:rPr>
                <w:sz w:val="23"/>
                <w:szCs w:val="23"/>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21"/>
                <w:szCs w:val="21"/>
                <w:color w:val="auto"/>
              </w:rPr>
              <w:t>—</w:t>
            </w:r>
          </w:p>
        </w:tc>
        <w:tc>
          <w:tcPr>
            <w:tcW w:w="180" w:type="dxa"/>
            <w:vAlign w:val="bottom"/>
          </w:tcPr>
          <w:p>
            <w:pPr>
              <w:spacing w:after="0"/>
              <w:rPr>
                <w:sz w:val="23"/>
                <w:szCs w:val="23"/>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21"/>
                <w:szCs w:val="21"/>
                <w:color w:val="auto"/>
              </w:rPr>
              <w:t>—</w:t>
            </w:r>
          </w:p>
        </w:tc>
        <w:tc>
          <w:tcPr>
            <w:tcW w:w="260" w:type="dxa"/>
            <w:vAlign w:val="bottom"/>
          </w:tcPr>
          <w:p>
            <w:pPr>
              <w:spacing w:after="0"/>
              <w:rPr>
                <w:sz w:val="23"/>
                <w:szCs w:val="23"/>
                <w:color w:val="auto"/>
              </w:rPr>
            </w:pPr>
          </w:p>
        </w:tc>
        <w:tc>
          <w:tcPr>
            <w:tcW w:w="104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1,610</w:t>
            </w:r>
          </w:p>
        </w:tc>
      </w:tr>
      <w:tr>
        <w:trPr>
          <w:trHeight w:val="244"/>
        </w:trPr>
        <w:tc>
          <w:tcPr>
            <w:tcW w:w="4200" w:type="dxa"/>
            <w:vAlign w:val="bottom"/>
          </w:tcPr>
          <w:p>
            <w:pPr>
              <w:spacing w:after="0"/>
              <w:rPr>
                <w:sz w:val="20"/>
                <w:szCs w:val="20"/>
                <w:color w:val="auto"/>
              </w:rPr>
            </w:pPr>
            <w:r>
              <w:rPr>
                <w:rFonts w:ascii="Times New Roman" w:cs="Times New Roman" w:eastAsia="Times New Roman" w:hAnsi="Times New Roman"/>
                <w:sz w:val="21"/>
                <w:szCs w:val="21"/>
                <w:color w:val="auto"/>
              </w:rPr>
              <w:t>Adjusted gross profit</w:t>
            </w: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69,623</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69,371</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21,894</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13,659</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21"/>
                <w:szCs w:val="21"/>
                <w:color w:val="auto"/>
              </w:rPr>
              <w:t>174,547</w:t>
            </w:r>
          </w:p>
        </w:tc>
      </w:tr>
      <w:tr>
        <w:trPr>
          <w:trHeight w:val="277"/>
        </w:trPr>
        <w:tc>
          <w:tcPr>
            <w:tcW w:w="4200" w:type="dxa"/>
            <w:vAlign w:val="bottom"/>
          </w:tcPr>
          <w:p>
            <w:pPr>
              <w:spacing w:after="0"/>
              <w:rPr>
                <w:sz w:val="20"/>
                <w:szCs w:val="20"/>
                <w:color w:val="auto"/>
              </w:rPr>
            </w:pPr>
            <w:r>
              <w:rPr>
                <w:rFonts w:ascii="Times New Roman" w:cs="Times New Roman" w:eastAsia="Times New Roman" w:hAnsi="Times New Roman"/>
                <w:sz w:val="21"/>
                <w:szCs w:val="21"/>
                <w:color w:val="auto"/>
              </w:rPr>
              <w:t>Adjusted gross margin</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38%</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29%</w:t>
            </w: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8060" w:type="dxa"/>
            <w:vAlign w:val="bottom"/>
            <w:gridSpan w:val="11"/>
          </w:tcPr>
          <w:p>
            <w:pPr>
              <w:spacing w:after="0"/>
              <w:rPr>
                <w:sz w:val="20"/>
                <w:szCs w:val="20"/>
                <w:color w:val="auto"/>
              </w:rPr>
            </w:pPr>
            <w:r>
              <w:rPr>
                <w:rFonts w:ascii="Times New Roman" w:cs="Times New Roman" w:eastAsia="Times New Roman" w:hAnsi="Times New Roman"/>
                <w:sz w:val="21"/>
                <w:szCs w:val="21"/>
                <w:b w:val="1"/>
                <w:bCs w:val="1"/>
                <w:color w:val="auto"/>
                <w:w w:val="99"/>
              </w:rPr>
              <w:t>Other Financial Information: Adjusted Earnings Before Interest, Taxes and Amortization</w:t>
            </w: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820" w:type="dxa"/>
            <w:vAlign w:val="bottom"/>
          </w:tcPr>
          <w:p>
            <w:pPr>
              <w:spacing w:after="0"/>
              <w:rPr>
                <w:sz w:val="20"/>
                <w:szCs w:val="20"/>
                <w:color w:val="auto"/>
              </w:rPr>
            </w:pPr>
          </w:p>
        </w:tc>
        <w:tc>
          <w:tcPr>
            <w:tcW w:w="2080" w:type="dxa"/>
            <w:vAlign w:val="bottom"/>
            <w:gridSpan w:val="4"/>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rPr>
              <w:t>For the three</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4"/>
          </w:tcPr>
          <w:p>
            <w:pPr>
              <w:jc w:val="center"/>
              <w:ind w:right="80"/>
              <w:spacing w:after="0" w:line="237" w:lineRule="exact"/>
              <w:rPr>
                <w:sz w:val="20"/>
                <w:szCs w:val="20"/>
                <w:color w:val="auto"/>
              </w:rPr>
            </w:pPr>
            <w:r>
              <w:rPr>
                <w:rFonts w:ascii="Times New Roman" w:cs="Times New Roman" w:eastAsia="Times New Roman" w:hAnsi="Times New Roman"/>
                <w:sz w:val="21"/>
                <w:szCs w:val="21"/>
                <w:b w:val="1"/>
                <w:bCs w:val="1"/>
                <w:color w:val="auto"/>
              </w:rPr>
              <w:t>For the nine</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2"/>
                <w:szCs w:val="22"/>
                <w:color w:val="auto"/>
              </w:rPr>
            </w:pPr>
          </w:p>
        </w:tc>
        <w:tc>
          <w:tcPr>
            <w:tcW w:w="2080" w:type="dxa"/>
            <w:vAlign w:val="bottom"/>
            <w:gridSpan w:val="4"/>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months ended</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00" w:type="dxa"/>
            <w:vAlign w:val="bottom"/>
            <w:gridSpan w:val="4"/>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w w:val="98"/>
              </w:rPr>
              <w:t>months ended</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820" w:type="dxa"/>
            <w:vAlign w:val="bottom"/>
          </w:tcPr>
          <w:p>
            <w:pPr>
              <w:spacing w:after="0"/>
              <w:rPr>
                <w:sz w:val="20"/>
                <w:szCs w:val="20"/>
                <w:color w:val="auto"/>
              </w:rPr>
            </w:pPr>
          </w:p>
        </w:tc>
        <w:tc>
          <w:tcPr>
            <w:tcW w:w="980" w:type="dxa"/>
            <w:vAlign w:val="bottom"/>
            <w:gridSpan w:val="2"/>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w w:val="98"/>
              </w:rPr>
              <w:t>February</w:t>
            </w:r>
          </w:p>
        </w:tc>
        <w:tc>
          <w:tcPr>
            <w:tcW w:w="1100" w:type="dxa"/>
            <w:vAlign w:val="bottom"/>
            <w:gridSpan w:val="2"/>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w w:val="98"/>
              </w:rPr>
              <w:t>February</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80"/>
              <w:spacing w:after="0" w:line="237" w:lineRule="exact"/>
              <w:rPr>
                <w:sz w:val="20"/>
                <w:szCs w:val="20"/>
                <w:color w:val="auto"/>
              </w:rPr>
            </w:pPr>
            <w:r>
              <w:rPr>
                <w:rFonts w:ascii="Times New Roman" w:cs="Times New Roman" w:eastAsia="Times New Roman" w:hAnsi="Times New Roman"/>
                <w:sz w:val="21"/>
                <w:szCs w:val="21"/>
                <w:b w:val="1"/>
                <w:bCs w:val="1"/>
                <w:color w:val="auto"/>
                <w:w w:val="98"/>
              </w:rPr>
              <w:t>February</w:t>
            </w:r>
          </w:p>
        </w:tc>
        <w:tc>
          <w:tcPr>
            <w:tcW w:w="1100" w:type="dxa"/>
            <w:vAlign w:val="bottom"/>
            <w:gridSpan w:val="2"/>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w w:val="98"/>
              </w:rPr>
              <w:t>February</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28,</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28,</w:t>
            </w:r>
          </w:p>
        </w:tc>
        <w:tc>
          <w:tcPr>
            <w:tcW w:w="100" w:type="dxa"/>
            <w:vAlign w:val="bottom"/>
          </w:tcPr>
          <w:p>
            <w:pPr>
              <w:spacing w:after="0"/>
              <w:rPr>
                <w:sz w:val="22"/>
                <w:szCs w:val="22"/>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21"/>
                <w:szCs w:val="21"/>
                <w:b w:val="1"/>
                <w:bCs w:val="1"/>
                <w:color w:val="auto"/>
              </w:rPr>
              <w:t>Change</w:t>
            </w:r>
          </w:p>
        </w:tc>
        <w:tc>
          <w:tcPr>
            <w:tcW w:w="106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 Change</w:t>
            </w:r>
          </w:p>
        </w:tc>
        <w:tc>
          <w:tcPr>
            <w:tcW w:w="90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28,</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rPr>
              <w:t>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21"/>
                <w:szCs w:val="21"/>
                <w:b w:val="1"/>
                <w:bCs w:val="1"/>
                <w:color w:val="auto"/>
              </w:rPr>
              <w:t>Change</w:t>
            </w: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w w:val="98"/>
              </w:rPr>
              <w:t>% Change</w:t>
            </w:r>
          </w:p>
        </w:tc>
        <w:tc>
          <w:tcPr>
            <w:tcW w:w="0" w:type="dxa"/>
            <w:vAlign w:val="bottom"/>
          </w:tcPr>
          <w:p>
            <w:pPr>
              <w:spacing w:after="0"/>
              <w:rPr>
                <w:sz w:val="1"/>
                <w:szCs w:val="1"/>
                <w:color w:val="auto"/>
              </w:rPr>
            </w:pPr>
          </w:p>
        </w:tc>
      </w:tr>
      <w:tr>
        <w:trPr>
          <w:trHeight w:val="279"/>
        </w:trPr>
        <w:tc>
          <w:tcPr>
            <w:tcW w:w="282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(In thousands of U.S. dollars)</w:t>
            </w:r>
          </w:p>
        </w:tc>
        <w:tc>
          <w:tcPr>
            <w:tcW w:w="8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2026</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2025</w:t>
            </w:r>
          </w:p>
        </w:tc>
        <w:tc>
          <w:tcPr>
            <w:tcW w:w="100" w:type="dxa"/>
            <w:vAlign w:val="bottom"/>
          </w:tcPr>
          <w:p>
            <w:pPr>
              <w:spacing w:after="0"/>
              <w:rPr>
                <w:sz w:val="24"/>
                <w:szCs w:val="24"/>
                <w:color w:val="auto"/>
              </w:rPr>
            </w:pPr>
          </w:p>
        </w:tc>
        <w:tc>
          <w:tcPr>
            <w:tcW w:w="2160" w:type="dxa"/>
            <w:vAlign w:val="bottom"/>
            <w:gridSpan w:val="4"/>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w w:val="99"/>
              </w:rPr>
              <w:t>2026 vs. 2025</w:t>
            </w:r>
          </w:p>
        </w:tc>
        <w:tc>
          <w:tcPr>
            <w:tcW w:w="90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2026</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2025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3"/>
          </w:tcPr>
          <w:p>
            <w:pPr>
              <w:jc w:val="right"/>
              <w:ind w:right="335"/>
              <w:spacing w:after="0"/>
              <w:rPr>
                <w:sz w:val="20"/>
                <w:szCs w:val="20"/>
                <w:color w:val="auto"/>
              </w:rPr>
            </w:pPr>
            <w:r>
              <w:rPr>
                <w:rFonts w:ascii="Times New Roman" w:cs="Times New Roman" w:eastAsia="Times New Roman" w:hAnsi="Times New Roman"/>
                <w:sz w:val="21"/>
                <w:szCs w:val="21"/>
                <w:b w:val="1"/>
                <w:bCs w:val="1"/>
                <w:color w:val="auto"/>
              </w:rPr>
              <w:t>2026 vs. 2025</w:t>
            </w:r>
          </w:p>
        </w:tc>
        <w:tc>
          <w:tcPr>
            <w:tcW w:w="0" w:type="dxa"/>
            <w:vAlign w:val="bottom"/>
          </w:tcPr>
          <w:p>
            <w:pPr>
              <w:spacing w:after="0"/>
              <w:rPr>
                <w:sz w:val="1"/>
                <w:szCs w:val="1"/>
                <w:color w:val="auto"/>
              </w:rPr>
            </w:pPr>
          </w:p>
        </w:tc>
      </w:tr>
      <w:tr>
        <w:trPr>
          <w:trHeight w:val="244"/>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Net loss</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9"/>
              </w:rPr>
              <w:t>$(25,233)</w:t>
            </w:r>
          </w:p>
        </w:tc>
        <w:tc>
          <w:tcPr>
            <w:tcW w:w="100" w:type="dxa"/>
            <w:vAlign w:val="bottom"/>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$(793,534)</w:t>
            </w:r>
          </w:p>
        </w:tc>
        <w:tc>
          <w:tcPr>
            <w:tcW w:w="100" w:type="dxa"/>
            <w:vAlign w:val="bottom"/>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$ 768,301</w:t>
            </w: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(97)%</w:t>
            </w:r>
          </w:p>
        </w:tc>
        <w:tc>
          <w:tcPr>
            <w:tcW w:w="100" w:type="dxa"/>
            <w:vAlign w:val="bottom"/>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$(67,229)</w:t>
            </w:r>
          </w:p>
        </w:tc>
        <w:tc>
          <w:tcPr>
            <w:tcW w:w="100" w:type="dxa"/>
            <w:vAlign w:val="bottom"/>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$(913,461)</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846,232</w:t>
            </w: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(93)%</w:t>
            </w:r>
          </w:p>
        </w:tc>
        <w:tc>
          <w:tcPr>
            <w:tcW w:w="0" w:type="dxa"/>
            <w:vAlign w:val="bottom"/>
          </w:tcPr>
          <w:p>
            <w:pPr>
              <w:spacing w:after="0"/>
              <w:rPr>
                <w:sz w:val="1"/>
                <w:szCs w:val="1"/>
                <w:color w:val="auto"/>
              </w:rPr>
            </w:pPr>
          </w:p>
        </w:tc>
      </w:tr>
      <w:tr>
        <w:trPr>
          <w:trHeight w:val="237"/>
        </w:trPr>
        <w:tc>
          <w:tcPr>
            <w:tcW w:w="28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Income tax expense (recovery),</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net</w:t>
            </w: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1,974</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1,203</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771</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64%</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3,235</w:t>
            </w:r>
          </w:p>
        </w:tc>
        <w:tc>
          <w:tcPr>
            <w:tcW w:w="100" w:type="dxa"/>
            <w:vAlign w:val="bottom"/>
          </w:tcPr>
          <w:p>
            <w:pPr>
              <w:spacing w:after="0"/>
              <w:rPr>
                <w:sz w:val="22"/>
                <w:szCs w:val="22"/>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4,125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(890)</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w:t>
            </w: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Interest expense, net</w:t>
            </w: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4,965</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8,378</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(3,413)</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17,035</w:t>
            </w:r>
          </w:p>
        </w:tc>
        <w:tc>
          <w:tcPr>
            <w:tcW w:w="100" w:type="dxa"/>
            <w:vAlign w:val="bottom"/>
          </w:tcPr>
          <w:p>
            <w:pPr>
              <w:spacing w:after="0"/>
              <w:rPr>
                <w:sz w:val="22"/>
                <w:szCs w:val="22"/>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25,986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(8,951)</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w:t>
            </w:r>
          </w:p>
        </w:tc>
        <w:tc>
          <w:tcPr>
            <w:tcW w:w="0" w:type="dxa"/>
            <w:vAlign w:val="bottom"/>
          </w:tcPr>
          <w:p>
            <w:pPr>
              <w:spacing w:after="0"/>
              <w:rPr>
                <w:sz w:val="1"/>
                <w:szCs w:val="1"/>
                <w:color w:val="auto"/>
              </w:rPr>
            </w:pPr>
          </w:p>
        </w:tc>
      </w:tr>
      <w:tr>
        <w:trPr>
          <w:trHeight w:val="237"/>
        </w:trPr>
        <w:tc>
          <w:tcPr>
            <w:tcW w:w="28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Non-operating income</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(expense), net</w:t>
            </w: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(8,092)</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24,022</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(32,114)</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(134)%</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386</w:t>
            </w:r>
          </w:p>
        </w:tc>
        <w:tc>
          <w:tcPr>
            <w:tcW w:w="100" w:type="dxa"/>
            <w:vAlign w:val="bottom"/>
          </w:tcPr>
          <w:p>
            <w:pPr>
              <w:spacing w:after="0"/>
              <w:rPr>
                <w:sz w:val="22"/>
                <w:szCs w:val="22"/>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44,631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(44,245)</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(99)%</w:t>
            </w: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Amortization</w:t>
            </w: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16,741</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33,546</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(16,805)</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48,260</w:t>
            </w:r>
          </w:p>
        </w:tc>
        <w:tc>
          <w:tcPr>
            <w:tcW w:w="100" w:type="dxa"/>
            <w:vAlign w:val="bottom"/>
          </w:tcPr>
          <w:p>
            <w:pPr>
              <w:spacing w:after="0"/>
              <w:rPr>
                <w:sz w:val="22"/>
                <w:szCs w:val="22"/>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99,410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(51,150)</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Stock-based compensation</w:t>
            </w: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13,725</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4,035</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9,690</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240%</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31,060</w:t>
            </w:r>
          </w:p>
        </w:tc>
        <w:tc>
          <w:tcPr>
            <w:tcW w:w="100" w:type="dxa"/>
            <w:vAlign w:val="bottom"/>
          </w:tcPr>
          <w:p>
            <w:pPr>
              <w:spacing w:after="0"/>
              <w:rPr>
                <w:sz w:val="22"/>
                <w:szCs w:val="22"/>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18,189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12,871</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71%</w:t>
            </w:r>
          </w:p>
        </w:tc>
        <w:tc>
          <w:tcPr>
            <w:tcW w:w="0" w:type="dxa"/>
            <w:vAlign w:val="bottom"/>
          </w:tcPr>
          <w:p>
            <w:pPr>
              <w:spacing w:after="0"/>
              <w:rPr>
                <w:sz w:val="1"/>
                <w:szCs w:val="1"/>
                <w:color w:val="auto"/>
              </w:rPr>
            </w:pPr>
          </w:p>
        </w:tc>
      </w:tr>
      <w:tr>
        <w:trPr>
          <w:trHeight w:val="237"/>
        </w:trPr>
        <w:tc>
          <w:tcPr>
            <w:tcW w:w="28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Change in fair value of</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contingent consideration</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1060" w:type="dxa"/>
            <w:vAlign w:val="bottom"/>
            <w:gridSpan w:val="2"/>
          </w:tcPr>
          <w:p>
            <w:pPr>
              <w:ind w:left="500"/>
              <w:spacing w:after="0"/>
              <w:rPr>
                <w:sz w:val="20"/>
                <w:szCs w:val="20"/>
                <w:color w:val="auto"/>
              </w:rPr>
            </w:pPr>
            <w:r>
              <w:rPr>
                <w:rFonts w:ascii="Times New Roman" w:cs="Times New Roman" w:eastAsia="Times New Roman" w:hAnsi="Times New Roman"/>
                <w:sz w:val="21"/>
                <w:szCs w:val="21"/>
                <w:color w:val="auto"/>
              </w:rPr>
              <w:t>NM</w:t>
            </w: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(15,000)</w:t>
            </w:r>
          </w:p>
        </w:tc>
        <w:tc>
          <w:tcPr>
            <w:tcW w:w="10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(15,000)</w:t>
            </w:r>
          </w:p>
        </w:tc>
        <w:tc>
          <w:tcPr>
            <w:tcW w:w="12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NM</w:t>
            </w:r>
          </w:p>
        </w:tc>
        <w:tc>
          <w:tcPr>
            <w:tcW w:w="0" w:type="dxa"/>
            <w:vAlign w:val="bottom"/>
          </w:tcPr>
          <w:p>
            <w:pPr>
              <w:spacing w:after="0"/>
              <w:rPr>
                <w:sz w:val="1"/>
                <w:szCs w:val="1"/>
                <w:color w:val="auto"/>
              </w:rPr>
            </w:pPr>
          </w:p>
        </w:tc>
      </w:tr>
      <w:tr>
        <w:trPr>
          <w:trHeight w:val="237"/>
        </w:trPr>
        <w:tc>
          <w:tcPr>
            <w:tcW w:w="28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Impairment of intangible assets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and goodwill</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699,235</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(699,235)</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699,235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9"/>
              </w:rPr>
              <w:t>(699,235)</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0" w:type="dxa"/>
            <w:vAlign w:val="bottom"/>
          </w:tcPr>
          <w:p>
            <w:pPr>
              <w:spacing w:after="0"/>
              <w:rPr>
                <w:sz w:val="1"/>
                <w:szCs w:val="1"/>
                <w:color w:val="auto"/>
              </w:rPr>
            </w:pPr>
          </w:p>
        </w:tc>
      </w:tr>
      <w:tr>
        <w:trPr>
          <w:trHeight w:val="237"/>
        </w:trPr>
        <w:tc>
          <w:tcPr>
            <w:tcW w:w="28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Other than temporary change in</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fair value of convertible notes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receivable</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20,000</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(20,000)</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20,000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(20,000)</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0" w:type="dxa"/>
            <w:vAlign w:val="bottom"/>
          </w:tcPr>
          <w:p>
            <w:pPr>
              <w:spacing w:after="0"/>
              <w:rPr>
                <w:sz w:val="1"/>
                <w:szCs w:val="1"/>
                <w:color w:val="auto"/>
              </w:rPr>
            </w:pPr>
          </w:p>
        </w:tc>
      </w:tr>
      <w:tr>
        <w:trPr>
          <w:trHeight w:val="237"/>
        </w:trPr>
        <w:tc>
          <w:tcPr>
            <w:tcW w:w="28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Project 420 business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optimization</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2,600</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(2,600)</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200</w:t>
            </w:r>
          </w:p>
        </w:tc>
        <w:tc>
          <w:tcPr>
            <w:tcW w:w="100" w:type="dxa"/>
            <w:vAlign w:val="bottom"/>
          </w:tcPr>
          <w:p>
            <w:pPr>
              <w:spacing w:after="0"/>
              <w:rPr>
                <w:sz w:val="22"/>
                <w:szCs w:val="22"/>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2,600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(2,400)</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(92)%</w:t>
            </w:r>
          </w:p>
        </w:tc>
        <w:tc>
          <w:tcPr>
            <w:tcW w:w="0" w:type="dxa"/>
            <w:vAlign w:val="bottom"/>
          </w:tcPr>
          <w:p>
            <w:pPr>
              <w:spacing w:after="0"/>
              <w:rPr>
                <w:sz w:val="1"/>
                <w:szCs w:val="1"/>
                <w:color w:val="auto"/>
              </w:rPr>
            </w:pPr>
          </w:p>
        </w:tc>
      </w:tr>
      <w:tr>
        <w:trPr>
          <w:trHeight w:val="237"/>
        </w:trPr>
        <w:tc>
          <w:tcPr>
            <w:tcW w:w="28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Purchase price accounting step-</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up</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59</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(59)</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1,610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(1,610)</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0" w:type="dxa"/>
            <w:vAlign w:val="bottom"/>
          </w:tcPr>
          <w:p>
            <w:pPr>
              <w:spacing w:after="0"/>
              <w:rPr>
                <w:sz w:val="1"/>
                <w:szCs w:val="1"/>
                <w:color w:val="auto"/>
              </w:rPr>
            </w:pPr>
          </w:p>
        </w:tc>
      </w:tr>
      <w:tr>
        <w:trPr>
          <w:trHeight w:val="237"/>
        </w:trPr>
        <w:tc>
          <w:tcPr>
            <w:tcW w:w="28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Litigation costs, net of</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recoveries</w:t>
            </w: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621</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2,758</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(2,137)</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(77)%</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2,497</w:t>
            </w:r>
          </w:p>
        </w:tc>
        <w:tc>
          <w:tcPr>
            <w:tcW w:w="100" w:type="dxa"/>
            <w:vAlign w:val="bottom"/>
          </w:tcPr>
          <w:p>
            <w:pPr>
              <w:spacing w:after="0"/>
              <w:rPr>
                <w:sz w:val="22"/>
                <w:szCs w:val="22"/>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5,254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(2,757)</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w:t>
            </w: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Restructuring costs</w:t>
            </w: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4,087</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6,133</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(2,046)</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5,921</w:t>
            </w:r>
          </w:p>
        </w:tc>
        <w:tc>
          <w:tcPr>
            <w:tcW w:w="100" w:type="dxa"/>
            <w:vAlign w:val="bottom"/>
          </w:tcPr>
          <w:p>
            <w:pPr>
              <w:spacing w:after="0"/>
              <w:rPr>
                <w:sz w:val="22"/>
                <w:szCs w:val="22"/>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17,249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(11,328)</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(66)%</w:t>
            </w:r>
          </w:p>
        </w:tc>
        <w:tc>
          <w:tcPr>
            <w:tcW w:w="0" w:type="dxa"/>
            <w:vAlign w:val="bottom"/>
          </w:tcPr>
          <w:p>
            <w:pPr>
              <w:spacing w:after="0"/>
              <w:rPr>
                <w:sz w:val="1"/>
                <w:szCs w:val="1"/>
                <w:color w:val="auto"/>
              </w:rPr>
            </w:pPr>
          </w:p>
        </w:tc>
      </w:tr>
      <w:tr>
        <w:trPr>
          <w:trHeight w:val="276"/>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Transaction costs (income), net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1,927</w:t>
            </w:r>
          </w:p>
        </w:tc>
        <w:tc>
          <w:tcPr>
            <w:tcW w:w="10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605</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1,322</w:t>
            </w:r>
          </w:p>
        </w:tc>
        <w:tc>
          <w:tcPr>
            <w:tcW w:w="12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219%</w:t>
            </w: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2,896</w:t>
            </w:r>
          </w:p>
        </w:tc>
        <w:tc>
          <w:tcPr>
            <w:tcW w:w="100" w:type="dxa"/>
            <w:vAlign w:val="bottom"/>
          </w:tcPr>
          <w:p>
            <w:pPr>
              <w:spacing w:after="0"/>
              <w:rPr>
                <w:sz w:val="24"/>
                <w:szCs w:val="24"/>
                <w:color w:val="auto"/>
              </w:rPr>
            </w:pPr>
          </w:p>
        </w:tc>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rPr>
              <w:t>2,563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333</w:t>
            </w:r>
          </w:p>
        </w:tc>
        <w:tc>
          <w:tcPr>
            <w:tcW w:w="12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13%</w:t>
            </w:r>
          </w:p>
        </w:tc>
        <w:tc>
          <w:tcPr>
            <w:tcW w:w="0" w:type="dxa"/>
            <w:vAlign w:val="bottom"/>
          </w:tcPr>
          <w:p>
            <w:pPr>
              <w:spacing w:after="0"/>
              <w:rPr>
                <w:sz w:val="1"/>
                <w:szCs w:val="1"/>
                <w:color w:val="auto"/>
              </w:rPr>
            </w:pP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Adjusted EBITDA</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$ 10,715</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   9,040</w:t>
            </w:r>
          </w:p>
        </w:tc>
        <w:tc>
          <w:tcPr>
            <w:tcW w:w="1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   1,675</w:t>
            </w:r>
          </w:p>
        </w:tc>
        <w:tc>
          <w:tcPr>
            <w:tcW w:w="1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19%</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$ 29,261</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rPr>
              <w:t>$  27,391</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1,870</w:t>
            </w:r>
          </w:p>
        </w:tc>
        <w:tc>
          <w:tcPr>
            <w:tcW w:w="1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9160" w:type="dxa"/>
            <w:vAlign w:val="bottom"/>
            <w:gridSpan w:val="13"/>
          </w:tcPr>
          <w:p>
            <w:pPr>
              <w:spacing w:after="0"/>
              <w:rPr>
                <w:sz w:val="20"/>
                <w:szCs w:val="20"/>
                <w:color w:val="auto"/>
              </w:rPr>
            </w:pPr>
            <w:r>
              <w:rPr>
                <w:rFonts w:ascii="Times New Roman" w:cs="Times New Roman" w:eastAsia="Times New Roman" w:hAnsi="Times New Roman"/>
                <w:sz w:val="21"/>
                <w:szCs w:val="21"/>
                <w:b w:val="1"/>
                <w:bCs w:val="1"/>
                <w:color w:val="auto"/>
              </w:rPr>
              <w:t>Other Financial Information: Adjusted net income (loss) and Adjusted net income (loss) per share</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Pr>
          <w:p>
            <w:pPr>
              <w:spacing w:after="0"/>
              <w:rPr>
                <w:sz w:val="20"/>
                <w:szCs w:val="20"/>
                <w:color w:val="auto"/>
              </w:rPr>
            </w:pPr>
          </w:p>
        </w:tc>
        <w:tc>
          <w:tcPr>
            <w:tcW w:w="2080" w:type="dxa"/>
            <w:vAlign w:val="bottom"/>
            <w:gridSpan w:val="4"/>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rPr>
              <w:t>For the three</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4"/>
          </w:tcPr>
          <w:p>
            <w:pPr>
              <w:jc w:val="center"/>
              <w:ind w:right="80"/>
              <w:spacing w:after="0" w:line="237" w:lineRule="exact"/>
              <w:rPr>
                <w:sz w:val="20"/>
                <w:szCs w:val="20"/>
                <w:color w:val="auto"/>
              </w:rPr>
            </w:pPr>
            <w:r>
              <w:rPr>
                <w:rFonts w:ascii="Times New Roman" w:cs="Times New Roman" w:eastAsia="Times New Roman" w:hAnsi="Times New Roman"/>
                <w:sz w:val="21"/>
                <w:szCs w:val="21"/>
                <w:b w:val="1"/>
                <w:bCs w:val="1"/>
                <w:color w:val="auto"/>
              </w:rPr>
              <w:t>For the nine</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2"/>
                <w:szCs w:val="22"/>
                <w:color w:val="auto"/>
              </w:rPr>
            </w:pPr>
          </w:p>
        </w:tc>
        <w:tc>
          <w:tcPr>
            <w:tcW w:w="2080" w:type="dxa"/>
            <w:vAlign w:val="bottom"/>
            <w:gridSpan w:val="4"/>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months ended</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00" w:type="dxa"/>
            <w:vAlign w:val="bottom"/>
            <w:gridSpan w:val="4"/>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w w:val="98"/>
              </w:rPr>
              <w:t>months ended</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820" w:type="dxa"/>
            <w:vAlign w:val="bottom"/>
          </w:tcPr>
          <w:p>
            <w:pPr>
              <w:spacing w:after="0"/>
              <w:rPr>
                <w:sz w:val="20"/>
                <w:szCs w:val="20"/>
                <w:color w:val="auto"/>
              </w:rPr>
            </w:pPr>
          </w:p>
        </w:tc>
        <w:tc>
          <w:tcPr>
            <w:tcW w:w="980" w:type="dxa"/>
            <w:vAlign w:val="bottom"/>
            <w:gridSpan w:val="2"/>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w w:val="98"/>
              </w:rPr>
              <w:t>February</w:t>
            </w:r>
          </w:p>
        </w:tc>
        <w:tc>
          <w:tcPr>
            <w:tcW w:w="1100" w:type="dxa"/>
            <w:vAlign w:val="bottom"/>
            <w:gridSpan w:val="2"/>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w w:val="98"/>
              </w:rPr>
              <w:t>February</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80"/>
              <w:spacing w:after="0" w:line="237" w:lineRule="exact"/>
              <w:rPr>
                <w:sz w:val="20"/>
                <w:szCs w:val="20"/>
                <w:color w:val="auto"/>
              </w:rPr>
            </w:pPr>
            <w:r>
              <w:rPr>
                <w:rFonts w:ascii="Times New Roman" w:cs="Times New Roman" w:eastAsia="Times New Roman" w:hAnsi="Times New Roman"/>
                <w:sz w:val="21"/>
                <w:szCs w:val="21"/>
                <w:b w:val="1"/>
                <w:bCs w:val="1"/>
                <w:color w:val="auto"/>
                <w:w w:val="98"/>
              </w:rPr>
              <w:t>February</w:t>
            </w:r>
          </w:p>
        </w:tc>
        <w:tc>
          <w:tcPr>
            <w:tcW w:w="1100" w:type="dxa"/>
            <w:vAlign w:val="bottom"/>
            <w:gridSpan w:val="2"/>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w w:val="98"/>
              </w:rPr>
              <w:t>February</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28,</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28,</w:t>
            </w:r>
          </w:p>
        </w:tc>
        <w:tc>
          <w:tcPr>
            <w:tcW w:w="100" w:type="dxa"/>
            <w:vAlign w:val="bottom"/>
          </w:tcPr>
          <w:p>
            <w:pPr>
              <w:spacing w:after="0"/>
              <w:rPr>
                <w:sz w:val="22"/>
                <w:szCs w:val="22"/>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21"/>
                <w:szCs w:val="21"/>
                <w:b w:val="1"/>
                <w:bCs w:val="1"/>
                <w:color w:val="auto"/>
              </w:rPr>
              <w:t>Change</w:t>
            </w:r>
          </w:p>
        </w:tc>
        <w:tc>
          <w:tcPr>
            <w:tcW w:w="106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 Change</w:t>
            </w:r>
          </w:p>
        </w:tc>
        <w:tc>
          <w:tcPr>
            <w:tcW w:w="90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28,</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rPr>
              <w:t>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21"/>
                <w:szCs w:val="21"/>
                <w:b w:val="1"/>
                <w:bCs w:val="1"/>
                <w:color w:val="auto"/>
              </w:rPr>
              <w:t>Change</w:t>
            </w: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w w:val="98"/>
              </w:rPr>
              <w:t>% Change</w:t>
            </w:r>
          </w:p>
        </w:tc>
        <w:tc>
          <w:tcPr>
            <w:tcW w:w="0" w:type="dxa"/>
            <w:vAlign w:val="bottom"/>
          </w:tcPr>
          <w:p>
            <w:pPr>
              <w:spacing w:after="0"/>
              <w:rPr>
                <w:sz w:val="1"/>
                <w:szCs w:val="1"/>
                <w:color w:val="auto"/>
              </w:rPr>
            </w:pPr>
          </w:p>
        </w:tc>
      </w:tr>
      <w:tr>
        <w:trPr>
          <w:trHeight w:val="280"/>
        </w:trPr>
        <w:tc>
          <w:tcPr>
            <w:tcW w:w="282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Net loss attributable to</w:t>
            </w:r>
          </w:p>
        </w:tc>
        <w:tc>
          <w:tcPr>
            <w:tcW w:w="8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2026</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2025</w:t>
            </w:r>
          </w:p>
        </w:tc>
        <w:tc>
          <w:tcPr>
            <w:tcW w:w="100" w:type="dxa"/>
            <w:vAlign w:val="bottom"/>
          </w:tcPr>
          <w:p>
            <w:pPr>
              <w:spacing w:after="0"/>
              <w:rPr>
                <w:sz w:val="24"/>
                <w:szCs w:val="24"/>
                <w:color w:val="auto"/>
              </w:rPr>
            </w:pPr>
          </w:p>
        </w:tc>
        <w:tc>
          <w:tcPr>
            <w:tcW w:w="2160" w:type="dxa"/>
            <w:vAlign w:val="bottom"/>
            <w:gridSpan w:val="4"/>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Change</w:t>
            </w:r>
          </w:p>
        </w:tc>
        <w:tc>
          <w:tcPr>
            <w:tcW w:w="90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2026</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2025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3"/>
          </w:tcPr>
          <w:p>
            <w:pPr>
              <w:jc w:val="right"/>
              <w:ind w:right="335"/>
              <w:spacing w:after="0"/>
              <w:rPr>
                <w:sz w:val="20"/>
                <w:szCs w:val="20"/>
                <w:color w:val="auto"/>
              </w:rPr>
            </w:pPr>
            <w:r>
              <w:rPr>
                <w:rFonts w:ascii="Times New Roman" w:cs="Times New Roman" w:eastAsia="Times New Roman" w:hAnsi="Times New Roman"/>
                <w:sz w:val="21"/>
                <w:szCs w:val="21"/>
                <w:b w:val="1"/>
                <w:bCs w:val="1"/>
                <w:color w:val="auto"/>
              </w:rPr>
              <w:t>2026 vs. 2025</w:t>
            </w:r>
          </w:p>
        </w:tc>
        <w:tc>
          <w:tcPr>
            <w:tcW w:w="0" w:type="dxa"/>
            <w:vAlign w:val="bottom"/>
          </w:tcPr>
          <w:p>
            <w:pPr>
              <w:spacing w:after="0"/>
              <w:rPr>
                <w:sz w:val="1"/>
                <w:szCs w:val="1"/>
                <w:color w:val="auto"/>
              </w:rPr>
            </w:pPr>
          </w:p>
        </w:tc>
      </w:tr>
      <w:tr>
        <w:trPr>
          <w:trHeight w:val="203"/>
        </w:trPr>
        <w:tc>
          <w:tcPr>
            <w:tcW w:w="2820" w:type="dxa"/>
            <w:vAlign w:val="bottom"/>
            <w:vMerge w:val="continue"/>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8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stockholders of Tilray Brands,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Inc.</w:t>
            </w: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9"/>
              </w:rPr>
              <w:t>$(26,572)</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$(789,436)</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$ 762,864</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(97)%</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$(71,825)</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$(913,943)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842,118</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(92)%</w:t>
            </w:r>
          </w:p>
        </w:tc>
        <w:tc>
          <w:tcPr>
            <w:tcW w:w="0" w:type="dxa"/>
            <w:vAlign w:val="bottom"/>
          </w:tcPr>
          <w:p>
            <w:pPr>
              <w:spacing w:after="0"/>
              <w:rPr>
                <w:sz w:val="1"/>
                <w:szCs w:val="1"/>
                <w:color w:val="auto"/>
              </w:rPr>
            </w:pPr>
          </w:p>
        </w:tc>
      </w:tr>
      <w:tr>
        <w:trPr>
          <w:trHeight w:val="237"/>
        </w:trPr>
        <w:tc>
          <w:tcPr>
            <w:tcW w:w="28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Non-operating income</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(expense), net</w:t>
            </w: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(8,092)</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24,022</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(32,114)</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(134)%</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386</w:t>
            </w:r>
          </w:p>
        </w:tc>
        <w:tc>
          <w:tcPr>
            <w:tcW w:w="100" w:type="dxa"/>
            <w:vAlign w:val="bottom"/>
          </w:tcPr>
          <w:p>
            <w:pPr>
              <w:spacing w:after="0"/>
              <w:rPr>
                <w:sz w:val="22"/>
                <w:szCs w:val="22"/>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44,631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(44,245)</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(99)%</w:t>
            </w: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Amortization</w:t>
            </w: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16,741</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33,546</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(16,805)</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48,260</w:t>
            </w:r>
          </w:p>
        </w:tc>
        <w:tc>
          <w:tcPr>
            <w:tcW w:w="100" w:type="dxa"/>
            <w:vAlign w:val="bottom"/>
          </w:tcPr>
          <w:p>
            <w:pPr>
              <w:spacing w:after="0"/>
              <w:rPr>
                <w:sz w:val="22"/>
                <w:szCs w:val="22"/>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99,410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(51,150)</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c>
          <w:tcPr>
            <w:tcW w:w="0" w:type="dxa"/>
            <w:vAlign w:val="bottom"/>
          </w:tcPr>
          <w:p>
            <w:pPr>
              <w:spacing w:after="0"/>
              <w:rPr>
                <w:sz w:val="1"/>
                <w:szCs w:val="1"/>
                <w:color w:val="auto"/>
              </w:rPr>
            </w:pPr>
          </w:p>
        </w:tc>
      </w:tr>
      <w:tr>
        <w:trPr>
          <w:trHeight w:val="275"/>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Stock-based compensation</w:t>
            </w: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13,725</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4,035</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9,690</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240%</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31,060</w:t>
            </w:r>
          </w:p>
        </w:tc>
        <w:tc>
          <w:tcPr>
            <w:tcW w:w="10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18,189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12,871</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71%</w:t>
            </w:r>
          </w:p>
        </w:tc>
        <w:tc>
          <w:tcPr>
            <w:tcW w:w="0" w:type="dxa"/>
            <w:vAlign w:val="bottom"/>
          </w:tcPr>
          <w:p>
            <w:pPr>
              <w:spacing w:after="0"/>
              <w:rPr>
                <w:sz w:val="1"/>
                <w:szCs w:val="1"/>
                <w:color w:val="auto"/>
              </w:rPr>
            </w:pPr>
          </w:p>
        </w:tc>
      </w:tr>
    </w:tbl>
    <w:p>
      <w:pPr>
        <w:sectPr>
          <w:pgSz w:w="11900" w:h="16847" w:orient="portrait"/>
          <w:cols w:equalWidth="0" w:num="1">
            <w:col w:w="11220"/>
          </w:cols>
          <w:pgMar w:left="340" w:top="114" w:right="3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Change in fair value of</w:t>
            </w:r>
          </w:p>
        </w:tc>
        <w:tc>
          <w:tcPr>
            <w:tcW w:w="18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1060" w:type="dxa"/>
            <w:vAlign w:val="bottom"/>
            <w:gridSpan w:val="2"/>
          </w:tcPr>
          <w:p>
            <w:pPr>
              <w:ind w:left="500"/>
              <w:spacing w:after="0"/>
              <w:rPr>
                <w:sz w:val="20"/>
                <w:szCs w:val="20"/>
                <w:color w:val="auto"/>
              </w:rPr>
            </w:pPr>
            <w:r>
              <w:rPr>
                <w:rFonts w:ascii="Times New Roman" w:cs="Times New Roman" w:eastAsia="Times New Roman" w:hAnsi="Times New Roman"/>
                <w:sz w:val="21"/>
                <w:szCs w:val="21"/>
                <w:color w:val="auto"/>
              </w:rPr>
              <w:t>NM</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7"/>
              </w:rPr>
              <w:t>(15,000)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(15,000)</w:t>
            </w:r>
          </w:p>
        </w:tc>
        <w:tc>
          <w:tcPr>
            <w:tcW w:w="12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NM</w:t>
            </w: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contingent consideration</w:t>
            </w: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8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Impairment of intangible assets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and goodwill</w:t>
            </w:r>
          </w:p>
        </w:tc>
        <w:tc>
          <w:tcPr>
            <w:tcW w:w="1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699,235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9"/>
              </w:rPr>
              <w:t>(699,235)</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6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699,235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9"/>
              </w:rPr>
              <w:t>(699,235)</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0" w:type="dxa"/>
            <w:vAlign w:val="bottom"/>
          </w:tcPr>
          <w:p>
            <w:pPr>
              <w:spacing w:after="0"/>
              <w:rPr>
                <w:sz w:val="1"/>
                <w:szCs w:val="1"/>
                <w:color w:val="auto"/>
              </w:rPr>
            </w:pPr>
          </w:p>
        </w:tc>
      </w:tr>
      <w:tr>
        <w:trPr>
          <w:trHeight w:val="237"/>
        </w:trPr>
        <w:tc>
          <w:tcPr>
            <w:tcW w:w="28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Other than temporary change in</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fair value of convertible notes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receivable, attributable to</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stockholders of Tilray Brands,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Inc.</w:t>
            </w:r>
          </w:p>
        </w:tc>
        <w:tc>
          <w:tcPr>
            <w:tcW w:w="1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13,600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(13,600)</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6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13,600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(13,600)</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0" w:type="dxa"/>
            <w:vAlign w:val="bottom"/>
          </w:tcPr>
          <w:p>
            <w:pPr>
              <w:spacing w:after="0"/>
              <w:rPr>
                <w:sz w:val="1"/>
                <w:szCs w:val="1"/>
                <w:color w:val="auto"/>
              </w:rPr>
            </w:pPr>
          </w:p>
        </w:tc>
      </w:tr>
      <w:tr>
        <w:trPr>
          <w:trHeight w:val="237"/>
        </w:trPr>
        <w:tc>
          <w:tcPr>
            <w:tcW w:w="28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Project 420 business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optimization</w:t>
            </w:r>
          </w:p>
        </w:tc>
        <w:tc>
          <w:tcPr>
            <w:tcW w:w="1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(2,600)</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2,600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(2,400)</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(92)%</w:t>
            </w:r>
          </w:p>
        </w:tc>
        <w:tc>
          <w:tcPr>
            <w:tcW w:w="0" w:type="dxa"/>
            <w:vAlign w:val="bottom"/>
          </w:tcPr>
          <w:p>
            <w:pPr>
              <w:spacing w:after="0"/>
              <w:rPr>
                <w:sz w:val="1"/>
                <w:szCs w:val="1"/>
                <w:color w:val="auto"/>
              </w:rPr>
            </w:pPr>
          </w:p>
        </w:tc>
      </w:tr>
      <w:tr>
        <w:trPr>
          <w:trHeight w:val="237"/>
        </w:trPr>
        <w:tc>
          <w:tcPr>
            <w:tcW w:w="28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Litigation costs, net of</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recoveries</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2,758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(2,137)</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2,497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5,254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(2,757)</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w:t>
            </w: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Restructuring costs</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6,133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(2,046)</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5,921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17,249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(11,328)</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(66)%</w:t>
            </w:r>
          </w:p>
        </w:tc>
        <w:tc>
          <w:tcPr>
            <w:tcW w:w="0" w:type="dxa"/>
            <w:vAlign w:val="bottom"/>
          </w:tcPr>
          <w:p>
            <w:pPr>
              <w:spacing w:after="0"/>
              <w:rPr>
                <w:sz w:val="1"/>
                <w:szCs w:val="1"/>
                <w:color w:val="auto"/>
              </w:rPr>
            </w:pPr>
          </w:p>
        </w:tc>
      </w:tr>
      <w:tr>
        <w:trPr>
          <w:trHeight w:val="276"/>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Transaction costs (income)</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1,927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605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1,322</w:t>
            </w:r>
          </w:p>
        </w:tc>
        <w:tc>
          <w:tcPr>
            <w:tcW w:w="12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219%</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2,896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rPr>
              <w:t>2,563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333</w:t>
            </w:r>
          </w:p>
        </w:tc>
        <w:tc>
          <w:tcPr>
            <w:tcW w:w="12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13%</w:t>
            </w:r>
          </w:p>
        </w:tc>
        <w:tc>
          <w:tcPr>
            <w:tcW w:w="0" w:type="dxa"/>
            <w:vAlign w:val="bottom"/>
          </w:tcPr>
          <w:p>
            <w:pPr>
              <w:spacing w:after="0"/>
              <w:rPr>
                <w:sz w:val="1"/>
                <w:szCs w:val="1"/>
                <w:color w:val="auto"/>
              </w:rPr>
            </w:pP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Adjusted net income (loss)</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2,437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(2,902)</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5,339</w:t>
            </w:r>
          </w:p>
        </w:tc>
        <w:tc>
          <w:tcPr>
            <w:tcW w:w="1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(184)%</w:t>
            </w:r>
          </w:p>
        </w:tc>
        <w:tc>
          <w:tcPr>
            <w:tcW w:w="100" w:type="dxa"/>
            <w:vAlign w:val="bottom"/>
          </w:tcPr>
          <w:p>
            <w:pPr>
              <w:spacing w:after="0"/>
              <w:rPr>
                <w:sz w:val="22"/>
                <w:szCs w:val="22"/>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w w:val="9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4,395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(11,212)</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15,607</w:t>
            </w:r>
          </w:p>
        </w:tc>
        <w:tc>
          <w:tcPr>
            <w:tcW w:w="1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(139)%</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line="229" w:lineRule="exact"/>
              <w:rPr>
                <w:sz w:val="20"/>
                <w:szCs w:val="20"/>
                <w:color w:val="auto"/>
              </w:rPr>
            </w:pPr>
            <w:r>
              <w:rPr>
                <w:rFonts w:ascii="Times New Roman" w:cs="Times New Roman" w:eastAsia="Times New Roman" w:hAnsi="Times New Roman"/>
                <w:sz w:val="21"/>
                <w:szCs w:val="21"/>
                <w:color w:val="auto"/>
              </w:rPr>
              <w:t>Adjusted net income (loss) per</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820" w:type="dxa"/>
            <w:vAlign w:val="bottom"/>
            <w:vMerge w:val="continue"/>
          </w:tcPr>
          <w:p>
            <w:pPr>
              <w:spacing w:after="0"/>
              <w:rPr>
                <w:sz w:val="16"/>
                <w:szCs w:val="16"/>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0.02</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(0.</w:t>
            </w:r>
            <w:r>
              <w:rPr>
                <w:rFonts w:ascii="Times New Roman" w:cs="Times New Roman" w:eastAsia="Times New Roman" w:hAnsi="Times New Roman"/>
                <w:sz w:val="21"/>
                <w:szCs w:val="21"/>
                <w:u w:val="single" w:color="auto"/>
                <w:color w:val="auto"/>
              </w:rPr>
              <w:t>03)</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0.05</w:t>
            </w:r>
          </w:p>
        </w:tc>
        <w:tc>
          <w:tcPr>
            <w:tcW w:w="1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(167)%</w:t>
            </w:r>
          </w:p>
        </w:tc>
        <w:tc>
          <w:tcPr>
            <w:tcW w:w="100" w:type="dxa"/>
            <w:vAlign w:val="bottom"/>
          </w:tcPr>
          <w:p>
            <w:pPr>
              <w:spacing w:after="0"/>
              <w:rPr>
                <w:sz w:val="16"/>
                <w:szCs w:val="16"/>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21"/>
                <w:szCs w:val="21"/>
                <w:color w:val="auto"/>
                <w:w w:val="94"/>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0.</w:t>
            </w:r>
            <w:r>
              <w:rPr>
                <w:rFonts w:ascii="Times New Roman" w:cs="Times New Roman" w:eastAsia="Times New Roman" w:hAnsi="Times New Roman"/>
                <w:sz w:val="21"/>
                <w:szCs w:val="21"/>
                <w:u w:val="single" w:color="auto"/>
                <w:color w:val="auto"/>
              </w:rPr>
              <w:t>04</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(0.</w:t>
            </w:r>
            <w:r>
              <w:rPr>
                <w:rFonts w:ascii="Times New Roman" w:cs="Times New Roman" w:eastAsia="Times New Roman" w:hAnsi="Times New Roman"/>
                <w:sz w:val="21"/>
                <w:szCs w:val="21"/>
                <w:u w:val="single" w:color="auto"/>
                <w:color w:val="auto"/>
              </w:rPr>
              <w:t>13)</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0.17</w:t>
            </w:r>
          </w:p>
        </w:tc>
        <w:tc>
          <w:tcPr>
            <w:tcW w:w="1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(131)%</w:t>
            </w: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share - basic and diluted</w:t>
            </w:r>
          </w:p>
        </w:tc>
        <w:tc>
          <w:tcPr>
            <w:tcW w:w="180" w:type="dxa"/>
            <w:vAlign w:val="bottom"/>
            <w:tcBorders>
              <w:bottom w:val="single" w:sz="8" w:color="auto"/>
            </w:tcBorders>
            <w:vMerge w:val="continue"/>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900" w:type="dxa"/>
            <w:vAlign w:val="bottom"/>
            <w:gridSpan w:val="7"/>
          </w:tcPr>
          <w:p>
            <w:pPr>
              <w:spacing w:after="0"/>
              <w:rPr>
                <w:sz w:val="20"/>
                <w:szCs w:val="20"/>
                <w:color w:val="auto"/>
              </w:rPr>
            </w:pPr>
            <w:r>
              <w:rPr>
                <w:rFonts w:ascii="Times New Roman" w:cs="Times New Roman" w:eastAsia="Times New Roman" w:hAnsi="Times New Roman"/>
                <w:sz w:val="21"/>
                <w:szCs w:val="21"/>
                <w:b w:val="1"/>
                <w:bCs w:val="1"/>
                <w:color w:val="auto"/>
              </w:rPr>
              <w:t>Other Financial Information: Free Cash Flow</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5"/>
          </w:tcPr>
          <w:p>
            <w:pPr>
              <w:jc w:val="center"/>
              <w:ind w:right="280"/>
              <w:spacing w:after="0" w:line="237" w:lineRule="exact"/>
              <w:rPr>
                <w:sz w:val="20"/>
                <w:szCs w:val="20"/>
                <w:color w:val="auto"/>
              </w:rPr>
            </w:pPr>
            <w:r>
              <w:rPr>
                <w:rFonts w:ascii="Times New Roman" w:cs="Times New Roman" w:eastAsia="Times New Roman" w:hAnsi="Times New Roman"/>
                <w:sz w:val="21"/>
                <w:szCs w:val="21"/>
                <w:b w:val="1"/>
                <w:bCs w:val="1"/>
                <w:color w:val="auto"/>
              </w:rPr>
              <w:t>For the three</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5"/>
          </w:tcPr>
          <w:p>
            <w:pPr>
              <w:jc w:val="center"/>
              <w:ind w:right="220"/>
              <w:spacing w:after="0" w:line="237" w:lineRule="exact"/>
              <w:rPr>
                <w:sz w:val="20"/>
                <w:szCs w:val="20"/>
                <w:color w:val="auto"/>
              </w:rPr>
            </w:pPr>
            <w:r>
              <w:rPr>
                <w:rFonts w:ascii="Times New Roman" w:cs="Times New Roman" w:eastAsia="Times New Roman" w:hAnsi="Times New Roman"/>
                <w:sz w:val="21"/>
                <w:szCs w:val="21"/>
                <w:b w:val="1"/>
                <w:bCs w:val="1"/>
                <w:color w:val="auto"/>
              </w:rPr>
              <w:t>For the nine</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00" w:type="dxa"/>
            <w:vAlign w:val="bottom"/>
            <w:gridSpan w:val="5"/>
          </w:tcPr>
          <w:p>
            <w:pPr>
              <w:jc w:val="center"/>
              <w:ind w:right="280"/>
              <w:spacing w:after="0"/>
              <w:rPr>
                <w:sz w:val="20"/>
                <w:szCs w:val="20"/>
                <w:color w:val="auto"/>
              </w:rPr>
            </w:pPr>
            <w:r>
              <w:rPr>
                <w:rFonts w:ascii="Times New Roman" w:cs="Times New Roman" w:eastAsia="Times New Roman" w:hAnsi="Times New Roman"/>
                <w:sz w:val="21"/>
                <w:szCs w:val="21"/>
                <w:b w:val="1"/>
                <w:bCs w:val="1"/>
                <w:color w:val="auto"/>
              </w:rPr>
              <w:t>months ended</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60" w:type="dxa"/>
            <w:vAlign w:val="bottom"/>
            <w:gridSpan w:val="5"/>
          </w:tcPr>
          <w:p>
            <w:pPr>
              <w:jc w:val="center"/>
              <w:ind w:right="240"/>
              <w:spacing w:after="0"/>
              <w:rPr>
                <w:sz w:val="20"/>
                <w:szCs w:val="20"/>
                <w:color w:val="auto"/>
              </w:rPr>
            </w:pPr>
            <w:r>
              <w:rPr>
                <w:rFonts w:ascii="Times New Roman" w:cs="Times New Roman" w:eastAsia="Times New Roman" w:hAnsi="Times New Roman"/>
                <w:sz w:val="21"/>
                <w:szCs w:val="21"/>
                <w:b w:val="1"/>
                <w:bCs w:val="1"/>
                <w:color w:val="auto"/>
                <w:w w:val="98"/>
              </w:rPr>
              <w:t>months ended</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820" w:type="dxa"/>
            <w:vAlign w:val="bottom"/>
          </w:tcPr>
          <w:p>
            <w:pPr>
              <w:spacing w:after="0"/>
              <w:rPr>
                <w:sz w:val="20"/>
                <w:szCs w:val="20"/>
                <w:color w:val="auto"/>
              </w:rPr>
            </w:pPr>
          </w:p>
        </w:tc>
        <w:tc>
          <w:tcPr>
            <w:tcW w:w="980" w:type="dxa"/>
            <w:vAlign w:val="bottom"/>
            <w:gridSpan w:val="3"/>
          </w:tcPr>
          <w:p>
            <w:pPr>
              <w:ind w:left="20"/>
              <w:spacing w:after="0" w:line="237" w:lineRule="exact"/>
              <w:rPr>
                <w:sz w:val="20"/>
                <w:szCs w:val="20"/>
                <w:color w:val="auto"/>
              </w:rPr>
            </w:pPr>
            <w:r>
              <w:rPr>
                <w:rFonts w:ascii="Times New Roman" w:cs="Times New Roman" w:eastAsia="Times New Roman" w:hAnsi="Times New Roman"/>
                <w:sz w:val="21"/>
                <w:szCs w:val="21"/>
                <w:b w:val="1"/>
                <w:bCs w:val="1"/>
                <w:color w:val="auto"/>
              </w:rPr>
              <w:t>February</w:t>
            </w:r>
          </w:p>
        </w:tc>
        <w:tc>
          <w:tcPr>
            <w:tcW w:w="1100" w:type="dxa"/>
            <w:vAlign w:val="bottom"/>
            <w:gridSpan w:val="3"/>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w w:val="98"/>
              </w:rPr>
              <w:t>February</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ind w:left="40"/>
              <w:spacing w:after="0" w:line="237" w:lineRule="exact"/>
              <w:rPr>
                <w:sz w:val="20"/>
                <w:szCs w:val="20"/>
                <w:color w:val="auto"/>
              </w:rPr>
            </w:pPr>
            <w:r>
              <w:rPr>
                <w:rFonts w:ascii="Times New Roman" w:cs="Times New Roman" w:eastAsia="Times New Roman" w:hAnsi="Times New Roman"/>
                <w:sz w:val="21"/>
                <w:szCs w:val="21"/>
                <w:b w:val="1"/>
                <w:bCs w:val="1"/>
                <w:color w:val="auto"/>
              </w:rPr>
              <w:t>February</w:t>
            </w:r>
          </w:p>
        </w:tc>
        <w:tc>
          <w:tcPr>
            <w:tcW w:w="1100" w:type="dxa"/>
            <w:vAlign w:val="bottom"/>
            <w:gridSpan w:val="3"/>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w w:val="98"/>
              </w:rPr>
              <w:t>February</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15"/>
              <w:spacing w:after="0"/>
              <w:rPr>
                <w:sz w:val="20"/>
                <w:szCs w:val="20"/>
                <w:color w:val="auto"/>
              </w:rPr>
            </w:pPr>
            <w:r>
              <w:rPr>
                <w:rFonts w:ascii="Times New Roman" w:cs="Times New Roman" w:eastAsia="Times New Roman" w:hAnsi="Times New Roman"/>
                <w:sz w:val="21"/>
                <w:szCs w:val="21"/>
                <w:b w:val="1"/>
                <w:bCs w:val="1"/>
                <w:color w:val="auto"/>
              </w:rPr>
              <w:t>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center"/>
              <w:ind w:right="35"/>
              <w:spacing w:after="0"/>
              <w:rPr>
                <w:sz w:val="20"/>
                <w:szCs w:val="20"/>
                <w:color w:val="auto"/>
              </w:rPr>
            </w:pPr>
            <w:r>
              <w:rPr>
                <w:rFonts w:ascii="Times New Roman" w:cs="Times New Roman" w:eastAsia="Times New Roman" w:hAnsi="Times New Roman"/>
                <w:sz w:val="21"/>
                <w:szCs w:val="21"/>
                <w:b w:val="1"/>
                <w:bCs w:val="1"/>
                <w:color w:val="auto"/>
                <w:w w:val="98"/>
              </w:rPr>
              <w:t>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21"/>
                <w:szCs w:val="21"/>
                <w:b w:val="1"/>
                <w:bCs w:val="1"/>
                <w:color w:val="auto"/>
              </w:rPr>
              <w:t>Change</w:t>
            </w:r>
          </w:p>
        </w:tc>
        <w:tc>
          <w:tcPr>
            <w:tcW w:w="106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 Change</w:t>
            </w:r>
          </w:p>
        </w:tc>
        <w:tc>
          <w:tcPr>
            <w:tcW w:w="140" w:type="dxa"/>
            <w:vAlign w:val="bottom"/>
          </w:tcPr>
          <w:p>
            <w:pPr>
              <w:spacing w:after="0"/>
              <w:rPr>
                <w:sz w:val="22"/>
                <w:szCs w:val="22"/>
                <w:color w:val="auto"/>
              </w:rPr>
            </w:pPr>
          </w:p>
        </w:tc>
        <w:tc>
          <w:tcPr>
            <w:tcW w:w="760" w:type="dxa"/>
            <w:vAlign w:val="bottom"/>
          </w:tcPr>
          <w:p>
            <w:pPr>
              <w:jc w:val="right"/>
              <w:ind w:right="215"/>
              <w:spacing w:after="0"/>
              <w:rPr>
                <w:sz w:val="20"/>
                <w:szCs w:val="20"/>
                <w:color w:val="auto"/>
              </w:rPr>
            </w:pPr>
            <w:r>
              <w:rPr>
                <w:rFonts w:ascii="Times New Roman" w:cs="Times New Roman" w:eastAsia="Times New Roman" w:hAnsi="Times New Roman"/>
                <w:sz w:val="21"/>
                <w:szCs w:val="21"/>
                <w:b w:val="1"/>
                <w:bCs w:val="1"/>
                <w:color w:val="auto"/>
              </w:rPr>
              <w:t>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center"/>
              <w:ind w:right="55"/>
              <w:spacing w:after="0"/>
              <w:rPr>
                <w:sz w:val="20"/>
                <w:szCs w:val="20"/>
                <w:color w:val="auto"/>
              </w:rPr>
            </w:pPr>
            <w:r>
              <w:rPr>
                <w:rFonts w:ascii="Times New Roman" w:cs="Times New Roman" w:eastAsia="Times New Roman" w:hAnsi="Times New Roman"/>
                <w:sz w:val="21"/>
                <w:szCs w:val="21"/>
                <w:b w:val="1"/>
                <w:bCs w:val="1"/>
                <w:color w:val="auto"/>
              </w:rPr>
              <w:t>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21"/>
                <w:szCs w:val="21"/>
                <w:b w:val="1"/>
                <w:bCs w:val="1"/>
                <w:color w:val="auto"/>
              </w:rPr>
              <w:t>Change</w:t>
            </w: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w w:val="98"/>
              </w:rPr>
              <w:t>% Change</w:t>
            </w:r>
          </w:p>
        </w:tc>
        <w:tc>
          <w:tcPr>
            <w:tcW w:w="0" w:type="dxa"/>
            <w:vAlign w:val="bottom"/>
          </w:tcPr>
          <w:p>
            <w:pPr>
              <w:spacing w:after="0"/>
              <w:rPr>
                <w:sz w:val="1"/>
                <w:szCs w:val="1"/>
                <w:color w:val="auto"/>
              </w:rPr>
            </w:pPr>
          </w:p>
        </w:tc>
      </w:tr>
      <w:tr>
        <w:trPr>
          <w:trHeight w:val="279"/>
        </w:trPr>
        <w:tc>
          <w:tcPr>
            <w:tcW w:w="282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(In thousands of U.S. dollars)</w:t>
            </w:r>
          </w:p>
        </w:tc>
        <w:tc>
          <w:tcPr>
            <w:tcW w:w="180" w:type="dxa"/>
            <w:vAlign w:val="bottom"/>
          </w:tcPr>
          <w:p>
            <w:pPr>
              <w:spacing w:after="0"/>
              <w:rPr>
                <w:sz w:val="24"/>
                <w:szCs w:val="24"/>
                <w:color w:val="auto"/>
              </w:rPr>
            </w:pPr>
          </w:p>
        </w:tc>
        <w:tc>
          <w:tcPr>
            <w:tcW w:w="700" w:type="dxa"/>
            <w:vAlign w:val="bottom"/>
          </w:tcPr>
          <w:p>
            <w:pPr>
              <w:jc w:val="right"/>
              <w:ind w:right="115"/>
              <w:spacing w:after="0"/>
              <w:rPr>
                <w:sz w:val="20"/>
                <w:szCs w:val="20"/>
                <w:color w:val="auto"/>
              </w:rPr>
            </w:pPr>
            <w:r>
              <w:rPr>
                <w:rFonts w:ascii="Times New Roman" w:cs="Times New Roman" w:eastAsia="Times New Roman" w:hAnsi="Times New Roman"/>
                <w:sz w:val="21"/>
                <w:szCs w:val="21"/>
                <w:b w:val="1"/>
                <w:bCs w:val="1"/>
                <w:color w:val="auto"/>
              </w:rPr>
              <w:t>2026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center"/>
              <w:ind w:right="35"/>
              <w:spacing w:after="0"/>
              <w:rPr>
                <w:sz w:val="20"/>
                <w:szCs w:val="20"/>
                <w:color w:val="auto"/>
              </w:rPr>
            </w:pPr>
            <w:r>
              <w:rPr>
                <w:rFonts w:ascii="Times New Roman" w:cs="Times New Roman" w:eastAsia="Times New Roman" w:hAnsi="Times New Roman"/>
                <w:sz w:val="21"/>
                <w:szCs w:val="21"/>
                <w:b w:val="1"/>
                <w:bCs w:val="1"/>
                <w:color w:val="auto"/>
                <w:w w:val="99"/>
              </w:rPr>
              <w:t>2025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4"/>
          </w:tcPr>
          <w:p>
            <w:pPr>
              <w:ind w:left="320"/>
              <w:spacing w:after="0"/>
              <w:rPr>
                <w:sz w:val="20"/>
                <w:szCs w:val="20"/>
                <w:color w:val="auto"/>
              </w:rPr>
            </w:pPr>
            <w:r>
              <w:rPr>
                <w:rFonts w:ascii="Times New Roman" w:cs="Times New Roman" w:eastAsia="Times New Roman" w:hAnsi="Times New Roman"/>
                <w:sz w:val="21"/>
                <w:szCs w:val="21"/>
                <w:b w:val="1"/>
                <w:bCs w:val="1"/>
                <w:color w:val="auto"/>
              </w:rPr>
              <w:t>2026 vs. 2025</w:t>
            </w:r>
          </w:p>
        </w:tc>
        <w:tc>
          <w:tcPr>
            <w:tcW w:w="140" w:type="dxa"/>
            <w:vAlign w:val="bottom"/>
          </w:tcPr>
          <w:p>
            <w:pPr>
              <w:spacing w:after="0"/>
              <w:rPr>
                <w:sz w:val="24"/>
                <w:szCs w:val="24"/>
                <w:color w:val="auto"/>
              </w:rPr>
            </w:pPr>
          </w:p>
        </w:tc>
        <w:tc>
          <w:tcPr>
            <w:tcW w:w="760" w:type="dxa"/>
            <w:vAlign w:val="bottom"/>
          </w:tcPr>
          <w:p>
            <w:pPr>
              <w:jc w:val="right"/>
              <w:ind w:right="115"/>
              <w:spacing w:after="0"/>
              <w:rPr>
                <w:sz w:val="20"/>
                <w:szCs w:val="20"/>
                <w:color w:val="auto"/>
              </w:rPr>
            </w:pPr>
            <w:r>
              <w:rPr>
                <w:rFonts w:ascii="Times New Roman" w:cs="Times New Roman" w:eastAsia="Times New Roman" w:hAnsi="Times New Roman"/>
                <w:sz w:val="21"/>
                <w:szCs w:val="21"/>
                <w:b w:val="1"/>
                <w:bCs w:val="1"/>
                <w:color w:val="auto"/>
              </w:rPr>
              <w:t>2026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center"/>
              <w:ind w:right="35"/>
              <w:spacing w:after="0"/>
              <w:rPr>
                <w:sz w:val="20"/>
                <w:szCs w:val="20"/>
                <w:color w:val="auto"/>
              </w:rPr>
            </w:pPr>
            <w:r>
              <w:rPr>
                <w:rFonts w:ascii="Times New Roman" w:cs="Times New Roman" w:eastAsia="Times New Roman" w:hAnsi="Times New Roman"/>
                <w:sz w:val="21"/>
                <w:szCs w:val="21"/>
                <w:b w:val="1"/>
                <w:bCs w:val="1"/>
                <w:color w:val="auto"/>
                <w:w w:val="99"/>
              </w:rPr>
              <w:t>2025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3"/>
          </w:tcPr>
          <w:p>
            <w:pPr>
              <w:jc w:val="right"/>
              <w:ind w:right="335"/>
              <w:spacing w:after="0"/>
              <w:rPr>
                <w:sz w:val="20"/>
                <w:szCs w:val="20"/>
                <w:color w:val="auto"/>
              </w:rPr>
            </w:pPr>
            <w:r>
              <w:rPr>
                <w:rFonts w:ascii="Times New Roman" w:cs="Times New Roman" w:eastAsia="Times New Roman" w:hAnsi="Times New Roman"/>
                <w:sz w:val="21"/>
                <w:szCs w:val="21"/>
                <w:b w:val="1"/>
                <w:bCs w:val="1"/>
                <w:color w:val="auto"/>
              </w:rPr>
              <w:t>2026 vs. 2025</w:t>
            </w:r>
          </w:p>
        </w:tc>
        <w:tc>
          <w:tcPr>
            <w:tcW w:w="0" w:type="dxa"/>
            <w:vAlign w:val="bottom"/>
          </w:tcPr>
          <w:p>
            <w:pPr>
              <w:spacing w:after="0"/>
              <w:rPr>
                <w:sz w:val="1"/>
                <w:szCs w:val="1"/>
                <w:color w:val="auto"/>
              </w:rPr>
            </w:pPr>
          </w:p>
        </w:tc>
      </w:tr>
      <w:tr>
        <w:trPr>
          <w:trHeight w:val="204"/>
        </w:trPr>
        <w:tc>
          <w:tcPr>
            <w:tcW w:w="2820" w:type="dxa"/>
            <w:vAlign w:val="bottom"/>
          </w:tcPr>
          <w:p>
            <w:pPr>
              <w:spacing w:after="0" w:line="204" w:lineRule="exact"/>
              <w:rPr>
                <w:sz w:val="20"/>
                <w:szCs w:val="20"/>
                <w:color w:val="auto"/>
              </w:rPr>
            </w:pPr>
            <w:r>
              <w:rPr>
                <w:rFonts w:ascii="Times New Roman" w:cs="Times New Roman" w:eastAsia="Times New Roman" w:hAnsi="Times New Roman"/>
                <w:sz w:val="21"/>
                <w:szCs w:val="21"/>
                <w:color w:val="auto"/>
              </w:rPr>
              <w:t>Net cash used in operating</w:t>
            </w: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activities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w w:val="99"/>
              </w:rPr>
              <w:t>$(21,942)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(5,761)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(16,181)</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281%</w:t>
            </w:r>
          </w:p>
        </w:tc>
        <w:tc>
          <w:tcPr>
            <w:tcW w:w="1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$(31,820)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(81,792)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49,972</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(61)%</w:t>
            </w:r>
          </w:p>
        </w:tc>
        <w:tc>
          <w:tcPr>
            <w:tcW w:w="0" w:type="dxa"/>
            <w:vAlign w:val="bottom"/>
          </w:tcPr>
          <w:p>
            <w:pPr>
              <w:spacing w:after="0"/>
              <w:rPr>
                <w:sz w:val="1"/>
                <w:szCs w:val="1"/>
                <w:color w:val="auto"/>
              </w:rPr>
            </w:pPr>
          </w:p>
        </w:tc>
      </w:tr>
      <w:tr>
        <w:trPr>
          <w:trHeight w:val="237"/>
        </w:trPr>
        <w:tc>
          <w:tcPr>
            <w:tcW w:w="28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Less: investments in capital and</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intangible assets, net</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(2,248)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(14,212)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11,964</w:t>
            </w:r>
          </w:p>
        </w:tc>
        <w:tc>
          <w:tcPr>
            <w:tcW w:w="12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7"/>
              </w:rPr>
              <w:t>(21,040)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(25,753)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4,713</w:t>
            </w:r>
          </w:p>
        </w:tc>
        <w:tc>
          <w:tcPr>
            <w:tcW w:w="12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(18)%</w:t>
            </w:r>
          </w:p>
        </w:tc>
        <w:tc>
          <w:tcPr>
            <w:tcW w:w="0" w:type="dxa"/>
            <w:vAlign w:val="bottom"/>
          </w:tcPr>
          <w:p>
            <w:pPr>
              <w:spacing w:after="0"/>
              <w:rPr>
                <w:sz w:val="1"/>
                <w:szCs w:val="1"/>
                <w:color w:val="auto"/>
              </w:rPr>
            </w:pP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Free cash flow</w:t>
            </w: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1"/>
                <w:szCs w:val="21"/>
                <w:u w:val="single" w:color="auto"/>
                <w:color w:val="auto"/>
                <w:w w:val="99"/>
              </w:rPr>
              <w:t>$</w:t>
            </w:r>
            <w:r>
              <w:rPr>
                <w:rFonts w:ascii="Times New Roman" w:cs="Times New Roman" w:eastAsia="Times New Roman" w:hAnsi="Times New Roman"/>
                <w:sz w:val="21"/>
                <w:szCs w:val="21"/>
                <w:color w:val="auto"/>
                <w:w w:val="99"/>
              </w:rPr>
              <w:t>(24,190)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(19,973)</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(4,217)</w:t>
            </w:r>
          </w:p>
        </w:tc>
        <w:tc>
          <w:tcPr>
            <w:tcW w:w="1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21%</w:t>
            </w:r>
          </w:p>
        </w:tc>
        <w:tc>
          <w:tcPr>
            <w:tcW w:w="100" w:type="dxa"/>
            <w:vAlign w:val="bottom"/>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(52,860)</w:t>
            </w:r>
          </w:p>
        </w:tc>
        <w:tc>
          <w:tcPr>
            <w:tcW w:w="100" w:type="dxa"/>
            <w:vAlign w:val="bottom"/>
          </w:tcPr>
          <w:p>
            <w:pPr>
              <w:spacing w:after="0"/>
              <w:rPr>
                <w:sz w:val="22"/>
                <w:szCs w:val="22"/>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(107,545)</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54,685</w:t>
            </w:r>
          </w:p>
        </w:tc>
        <w:tc>
          <w:tcPr>
            <w:tcW w:w="1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(51)%</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Add: growth CAPEX</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8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7,413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6,318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1,095</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w:t>
            </w:r>
          </w:p>
        </w:tc>
        <w:tc>
          <w:tcPr>
            <w:tcW w:w="0" w:type="dxa"/>
            <w:vAlign w:val="bottom"/>
          </w:tcPr>
          <w:p>
            <w:pPr>
              <w:spacing w:after="0"/>
              <w:rPr>
                <w:sz w:val="1"/>
                <w:szCs w:val="1"/>
                <w:color w:val="auto"/>
              </w:rPr>
            </w:pPr>
          </w:p>
        </w:tc>
      </w:tr>
      <w:tr>
        <w:trPr>
          <w:trHeight w:val="237"/>
        </w:trPr>
        <w:tc>
          <w:tcPr>
            <w:tcW w:w="28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Add: cash paid for litigation</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settlements</w:t>
            </w:r>
          </w:p>
        </w:tc>
        <w:tc>
          <w:tcPr>
            <w:tcW w:w="18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1060" w:type="dxa"/>
            <w:vAlign w:val="bottom"/>
            <w:gridSpan w:val="2"/>
          </w:tcPr>
          <w:p>
            <w:pPr>
              <w:ind w:left="500"/>
              <w:spacing w:after="0"/>
              <w:rPr>
                <w:sz w:val="20"/>
                <w:szCs w:val="20"/>
                <w:color w:val="auto"/>
              </w:rPr>
            </w:pPr>
            <w:r>
              <w:rPr>
                <w:rFonts w:ascii="Times New Roman" w:cs="Times New Roman" w:eastAsia="Times New Roman" w:hAnsi="Times New Roman"/>
                <w:sz w:val="21"/>
                <w:szCs w:val="21"/>
                <w:color w:val="auto"/>
              </w:rPr>
              <w:t>NM</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2,804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2,804</w:t>
            </w:r>
          </w:p>
        </w:tc>
        <w:tc>
          <w:tcPr>
            <w:tcW w:w="12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NM</w:t>
            </w:r>
          </w:p>
        </w:tc>
        <w:tc>
          <w:tcPr>
            <w:tcW w:w="0" w:type="dxa"/>
            <w:vAlign w:val="bottom"/>
          </w:tcPr>
          <w:p>
            <w:pPr>
              <w:spacing w:after="0"/>
              <w:rPr>
                <w:sz w:val="1"/>
                <w:szCs w:val="1"/>
                <w:color w:val="auto"/>
              </w:rPr>
            </w:pP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21"/>
                <w:szCs w:val="21"/>
                <w:color w:val="auto"/>
              </w:rPr>
              <w:t>Adjusted free cash flow</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1"/>
                <w:szCs w:val="21"/>
                <w:u w:val="single" w:color="auto"/>
                <w:color w:val="auto"/>
                <w:w w:val="99"/>
              </w:rPr>
              <w:t>$</w:t>
            </w:r>
            <w:r>
              <w:rPr>
                <w:rFonts w:ascii="Times New Roman" w:cs="Times New Roman" w:eastAsia="Times New Roman" w:hAnsi="Times New Roman"/>
                <w:sz w:val="21"/>
                <w:szCs w:val="21"/>
                <w:color w:val="auto"/>
                <w:w w:val="99"/>
              </w:rPr>
              <w:t>(22,408)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(18,165)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(4,243)</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23%</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(42,643)</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(101,227)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58,584</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(58)%</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Financial Information: Adjusted cash operating income (loss)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right"/>
              <w:ind w:right="335"/>
              <w:spacing w:after="0"/>
              <w:rPr>
                <w:sz w:val="20"/>
                <w:szCs w:val="20"/>
                <w:color w:val="auto"/>
              </w:rPr>
            </w:pPr>
            <w:r>
              <w:rPr>
                <w:rFonts w:ascii="Times New Roman" w:cs="Times New Roman" w:eastAsia="Times New Roman" w:hAnsi="Times New Roman"/>
                <w:sz w:val="21"/>
                <w:szCs w:val="21"/>
                <w:b w:val="1"/>
                <w:bCs w:val="1"/>
                <w:color w:val="auto"/>
              </w:rPr>
              <w:t>For the three</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5"/>
          </w:tcPr>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For the nine</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gridSpan w:val="3"/>
          </w:tcPr>
          <w:p>
            <w:pPr>
              <w:jc w:val="right"/>
              <w:ind w:right="295"/>
              <w:spacing w:after="0"/>
              <w:rPr>
                <w:sz w:val="20"/>
                <w:szCs w:val="20"/>
                <w:color w:val="auto"/>
              </w:rPr>
            </w:pPr>
            <w:r>
              <w:rPr>
                <w:rFonts w:ascii="Times New Roman" w:cs="Times New Roman" w:eastAsia="Times New Roman" w:hAnsi="Times New Roman"/>
                <w:sz w:val="21"/>
                <w:szCs w:val="21"/>
                <w:b w:val="1"/>
                <w:bCs w:val="1"/>
                <w:color w:val="auto"/>
              </w:rPr>
              <w:t>months ended</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00" w:type="dxa"/>
            <w:vAlign w:val="bottom"/>
            <w:gridSpan w:val="5"/>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w w:val="98"/>
              </w:rPr>
              <w:t>months ended</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800" w:type="dxa"/>
            <w:vAlign w:val="bottom"/>
          </w:tcPr>
          <w:p>
            <w:pPr>
              <w:spacing w:after="0"/>
              <w:rPr>
                <w:sz w:val="20"/>
                <w:szCs w:val="20"/>
                <w:color w:val="auto"/>
              </w:rPr>
            </w:pPr>
          </w:p>
        </w:tc>
        <w:tc>
          <w:tcPr>
            <w:tcW w:w="940" w:type="dxa"/>
            <w:vAlign w:val="bottom"/>
            <w:gridSpan w:val="2"/>
          </w:tcPr>
          <w:p>
            <w:pPr>
              <w:ind w:left="20"/>
              <w:spacing w:after="0" w:line="237" w:lineRule="exact"/>
              <w:rPr>
                <w:sz w:val="20"/>
                <w:szCs w:val="20"/>
                <w:color w:val="auto"/>
              </w:rPr>
            </w:pPr>
            <w:r>
              <w:rPr>
                <w:rFonts w:ascii="Times New Roman" w:cs="Times New Roman" w:eastAsia="Times New Roman" w:hAnsi="Times New Roman"/>
                <w:sz w:val="21"/>
                <w:szCs w:val="21"/>
                <w:b w:val="1"/>
                <w:bCs w:val="1"/>
                <w:color w:val="auto"/>
              </w:rPr>
              <w:t>February</w:t>
            </w:r>
          </w:p>
        </w:tc>
        <w:tc>
          <w:tcPr>
            <w:tcW w:w="1080" w:type="dxa"/>
            <w:vAlign w:val="bottom"/>
            <w:gridSpan w:val="2"/>
          </w:tcPr>
          <w:p>
            <w:pPr>
              <w:jc w:val="center"/>
              <w:spacing w:after="0" w:line="237" w:lineRule="exact"/>
              <w:rPr>
                <w:sz w:val="20"/>
                <w:szCs w:val="20"/>
                <w:color w:val="auto"/>
              </w:rPr>
            </w:pPr>
            <w:r>
              <w:rPr>
                <w:rFonts w:ascii="Times New Roman" w:cs="Times New Roman" w:eastAsia="Times New Roman" w:hAnsi="Times New Roman"/>
                <w:sz w:val="21"/>
                <w:szCs w:val="21"/>
                <w:b w:val="1"/>
                <w:bCs w:val="1"/>
                <w:color w:val="auto"/>
              </w:rPr>
              <w:t>February</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80"/>
              <w:spacing w:after="0" w:line="237" w:lineRule="exact"/>
              <w:rPr>
                <w:sz w:val="20"/>
                <w:szCs w:val="20"/>
                <w:color w:val="auto"/>
              </w:rPr>
            </w:pPr>
            <w:r>
              <w:rPr>
                <w:rFonts w:ascii="Times New Roman" w:cs="Times New Roman" w:eastAsia="Times New Roman" w:hAnsi="Times New Roman"/>
                <w:sz w:val="21"/>
                <w:szCs w:val="21"/>
                <w:b w:val="1"/>
                <w:bCs w:val="1"/>
                <w:color w:val="auto"/>
                <w:w w:val="98"/>
              </w:rPr>
              <w:t>February</w:t>
            </w:r>
          </w:p>
        </w:tc>
        <w:tc>
          <w:tcPr>
            <w:tcW w:w="1100" w:type="dxa"/>
            <w:vAlign w:val="bottom"/>
            <w:gridSpan w:val="3"/>
          </w:tcPr>
          <w:p>
            <w:pPr>
              <w:jc w:val="center"/>
              <w:ind w:right="100"/>
              <w:spacing w:after="0" w:line="237" w:lineRule="exact"/>
              <w:rPr>
                <w:sz w:val="20"/>
                <w:szCs w:val="20"/>
                <w:color w:val="auto"/>
              </w:rPr>
            </w:pPr>
            <w:r>
              <w:rPr>
                <w:rFonts w:ascii="Times New Roman" w:cs="Times New Roman" w:eastAsia="Times New Roman" w:hAnsi="Times New Roman"/>
                <w:sz w:val="21"/>
                <w:szCs w:val="21"/>
                <w:b w:val="1"/>
                <w:bCs w:val="1"/>
                <w:color w:val="auto"/>
                <w:w w:val="98"/>
              </w:rPr>
              <w:t>February</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255"/>
              <w:spacing w:after="0"/>
              <w:rPr>
                <w:sz w:val="20"/>
                <w:szCs w:val="20"/>
                <w:color w:val="auto"/>
              </w:rPr>
            </w:pPr>
            <w:r>
              <w:rPr>
                <w:rFonts w:ascii="Times New Roman" w:cs="Times New Roman" w:eastAsia="Times New Roman" w:hAnsi="Times New Roman"/>
                <w:sz w:val="21"/>
                <w:szCs w:val="21"/>
                <w:b w:val="1"/>
                <w:bCs w:val="1"/>
                <w:color w:val="auto"/>
              </w:rPr>
              <w:t>28,</w:t>
            </w:r>
          </w:p>
        </w:tc>
        <w:tc>
          <w:tcPr>
            <w:tcW w:w="180" w:type="dxa"/>
            <w:vAlign w:val="bottom"/>
          </w:tcPr>
          <w:p>
            <w:pPr>
              <w:spacing w:after="0"/>
              <w:rPr>
                <w:sz w:val="22"/>
                <w:szCs w:val="22"/>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21"/>
                <w:szCs w:val="21"/>
                <w:b w:val="1"/>
                <w:bCs w:val="1"/>
                <w:color w:val="auto"/>
                <w:w w:val="98"/>
              </w:rPr>
              <w:t>28,</w:t>
            </w:r>
          </w:p>
        </w:tc>
        <w:tc>
          <w:tcPr>
            <w:tcW w:w="200" w:type="dxa"/>
            <w:vAlign w:val="bottom"/>
          </w:tcPr>
          <w:p>
            <w:pPr>
              <w:spacing w:after="0"/>
              <w:rPr>
                <w:sz w:val="22"/>
                <w:szCs w:val="22"/>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21"/>
                <w:szCs w:val="21"/>
                <w:b w:val="1"/>
                <w:bCs w:val="1"/>
                <w:color w:val="auto"/>
              </w:rPr>
              <w:t>Change</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21"/>
                <w:szCs w:val="21"/>
                <w:b w:val="1"/>
                <w:bCs w:val="1"/>
                <w:color w:val="auto"/>
              </w:rPr>
              <w:t>% Change</w:t>
            </w:r>
          </w:p>
        </w:tc>
        <w:tc>
          <w:tcPr>
            <w:tcW w:w="90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center"/>
              <w:ind w:right="35"/>
              <w:spacing w:after="0"/>
              <w:rPr>
                <w:sz w:val="20"/>
                <w:szCs w:val="20"/>
                <w:color w:val="auto"/>
              </w:rPr>
            </w:pPr>
            <w:r>
              <w:rPr>
                <w:rFonts w:ascii="Times New Roman" w:cs="Times New Roman" w:eastAsia="Times New Roman" w:hAnsi="Times New Roman"/>
                <w:sz w:val="21"/>
                <w:szCs w:val="21"/>
                <w:b w:val="1"/>
                <w:bCs w:val="1"/>
                <w:color w:val="auto"/>
              </w:rPr>
              <w:t>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21"/>
                <w:szCs w:val="21"/>
                <w:b w:val="1"/>
                <w:bCs w:val="1"/>
                <w:color w:val="auto"/>
              </w:rPr>
              <w:t>Change</w:t>
            </w: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w w:val="98"/>
              </w:rPr>
              <w:t>% Change</w:t>
            </w:r>
          </w:p>
        </w:tc>
        <w:tc>
          <w:tcPr>
            <w:tcW w:w="0" w:type="dxa"/>
            <w:vAlign w:val="bottom"/>
          </w:tcPr>
          <w:p>
            <w:pPr>
              <w:spacing w:after="0"/>
              <w:rPr>
                <w:sz w:val="1"/>
                <w:szCs w:val="1"/>
                <w:color w:val="auto"/>
              </w:rPr>
            </w:pPr>
          </w:p>
        </w:tc>
      </w:tr>
      <w:tr>
        <w:trPr>
          <w:trHeight w:val="279"/>
        </w:trPr>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175"/>
              <w:spacing w:after="0"/>
              <w:rPr>
                <w:sz w:val="20"/>
                <w:szCs w:val="20"/>
                <w:color w:val="auto"/>
              </w:rPr>
            </w:pPr>
            <w:r>
              <w:rPr>
                <w:rFonts w:ascii="Times New Roman" w:cs="Times New Roman" w:eastAsia="Times New Roman" w:hAnsi="Times New Roman"/>
                <w:sz w:val="21"/>
                <w:szCs w:val="21"/>
                <w:b w:val="1"/>
                <w:bCs w:val="1"/>
                <w:color w:val="auto"/>
              </w:rPr>
              <w:t>2026</w:t>
            </w:r>
          </w:p>
        </w:tc>
        <w:tc>
          <w:tcPr>
            <w:tcW w:w="180" w:type="dxa"/>
            <w:vAlign w:val="bottom"/>
          </w:tcPr>
          <w:p>
            <w:pPr>
              <w:spacing w:after="0"/>
              <w:rPr>
                <w:sz w:val="24"/>
                <w:szCs w:val="24"/>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21"/>
                <w:szCs w:val="21"/>
                <w:b w:val="1"/>
                <w:bCs w:val="1"/>
                <w:color w:val="auto"/>
                <w:w w:val="99"/>
              </w:rPr>
              <w:t>2025</w:t>
            </w:r>
          </w:p>
        </w:tc>
        <w:tc>
          <w:tcPr>
            <w:tcW w:w="200" w:type="dxa"/>
            <w:vAlign w:val="bottom"/>
          </w:tcPr>
          <w:p>
            <w:pPr>
              <w:spacing w:after="0"/>
              <w:rPr>
                <w:sz w:val="24"/>
                <w:szCs w:val="24"/>
                <w:color w:val="auto"/>
              </w:rPr>
            </w:pPr>
          </w:p>
        </w:tc>
        <w:tc>
          <w:tcPr>
            <w:tcW w:w="2040" w:type="dxa"/>
            <w:vAlign w:val="bottom"/>
            <w:gridSpan w:val="4"/>
          </w:tcPr>
          <w:p>
            <w:pPr>
              <w:ind w:left="320"/>
              <w:spacing w:after="0"/>
              <w:rPr>
                <w:sz w:val="20"/>
                <w:szCs w:val="20"/>
                <w:color w:val="auto"/>
              </w:rPr>
            </w:pPr>
            <w:r>
              <w:rPr>
                <w:rFonts w:ascii="Times New Roman" w:cs="Times New Roman" w:eastAsia="Times New Roman" w:hAnsi="Times New Roman"/>
                <w:sz w:val="21"/>
                <w:szCs w:val="21"/>
                <w:b w:val="1"/>
                <w:bCs w:val="1"/>
                <w:color w:val="auto"/>
              </w:rPr>
              <w:t>2026 vs. 2025</w:t>
            </w:r>
          </w:p>
        </w:tc>
        <w:tc>
          <w:tcPr>
            <w:tcW w:w="90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2026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center"/>
              <w:ind w:right="15"/>
              <w:spacing w:after="0"/>
              <w:rPr>
                <w:sz w:val="20"/>
                <w:szCs w:val="20"/>
                <w:color w:val="auto"/>
              </w:rPr>
            </w:pPr>
            <w:r>
              <w:rPr>
                <w:rFonts w:ascii="Times New Roman" w:cs="Times New Roman" w:eastAsia="Times New Roman" w:hAnsi="Times New Roman"/>
                <w:sz w:val="21"/>
                <w:szCs w:val="21"/>
                <w:b w:val="1"/>
                <w:bCs w:val="1"/>
                <w:color w:val="auto"/>
                <w:w w:val="99"/>
              </w:rPr>
              <w:t>2025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3"/>
          </w:tcPr>
          <w:p>
            <w:pPr>
              <w:jc w:val="right"/>
              <w:ind w:right="335"/>
              <w:spacing w:after="0"/>
              <w:rPr>
                <w:sz w:val="20"/>
                <w:szCs w:val="20"/>
                <w:color w:val="auto"/>
              </w:rPr>
            </w:pPr>
            <w:r>
              <w:rPr>
                <w:rFonts w:ascii="Times New Roman" w:cs="Times New Roman" w:eastAsia="Times New Roman" w:hAnsi="Times New Roman"/>
                <w:sz w:val="21"/>
                <w:szCs w:val="21"/>
                <w:b w:val="1"/>
                <w:bCs w:val="1"/>
                <w:color w:val="auto"/>
              </w:rPr>
              <w:t>2026 vs. 2025</w:t>
            </w:r>
          </w:p>
        </w:tc>
        <w:tc>
          <w:tcPr>
            <w:tcW w:w="0" w:type="dxa"/>
            <w:vAlign w:val="bottom"/>
          </w:tcPr>
          <w:p>
            <w:pPr>
              <w:spacing w:after="0"/>
              <w:rPr>
                <w:sz w:val="1"/>
                <w:szCs w:val="1"/>
                <w:color w:val="auto"/>
              </w:rPr>
            </w:pPr>
          </w:p>
        </w:tc>
      </w:tr>
      <w:tr>
        <w:trPr>
          <w:trHeight w:val="244"/>
        </w:trPr>
        <w:tc>
          <w:tcPr>
            <w:tcW w:w="2800" w:type="dxa"/>
            <w:vAlign w:val="bottom"/>
          </w:tcPr>
          <w:p>
            <w:pPr>
              <w:spacing w:after="0"/>
              <w:rPr>
                <w:sz w:val="20"/>
                <w:szCs w:val="20"/>
                <w:color w:val="auto"/>
              </w:rPr>
            </w:pPr>
            <w:r>
              <w:rPr>
                <w:rFonts w:ascii="Times New Roman" w:cs="Times New Roman" w:eastAsia="Times New Roman" w:hAnsi="Times New Roman"/>
                <w:sz w:val="21"/>
                <w:szCs w:val="21"/>
                <w:color w:val="auto"/>
              </w:rPr>
              <w:t>Operating loss</w:t>
            </w: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w w:val="7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(26,386)</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7"/>
              </w:rPr>
              <w:t>(759,931)</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8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rPr>
              <w:t>733,545</w:t>
            </w: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(97)%</w:t>
            </w:r>
          </w:p>
        </w:tc>
        <w:tc>
          <w:tcPr>
            <w:tcW w:w="100" w:type="dxa"/>
            <w:vAlign w:val="bottom"/>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$(46,573)</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7"/>
              </w:rPr>
              <w:t>(838,719)</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792,146</w:t>
            </w: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(94)%</w:t>
            </w:r>
          </w:p>
        </w:tc>
        <w:tc>
          <w:tcPr>
            <w:tcW w:w="0" w:type="dxa"/>
            <w:vAlign w:val="bottom"/>
          </w:tcPr>
          <w:p>
            <w:pPr>
              <w:spacing w:after="0"/>
              <w:rPr>
                <w:sz w:val="1"/>
                <w:szCs w:val="1"/>
                <w:color w:val="auto"/>
              </w:rPr>
            </w:pPr>
          </w:p>
        </w:tc>
      </w:tr>
      <w:tr>
        <w:trPr>
          <w:trHeight w:val="237"/>
        </w:trPr>
        <w:tc>
          <w:tcPr>
            <w:tcW w:w="280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Change in fair value of</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800" w:type="dxa"/>
            <w:vAlign w:val="bottom"/>
          </w:tcPr>
          <w:p>
            <w:pPr>
              <w:spacing w:after="0"/>
              <w:rPr>
                <w:sz w:val="20"/>
                <w:szCs w:val="20"/>
                <w:color w:val="auto"/>
              </w:rPr>
            </w:pPr>
            <w:r>
              <w:rPr>
                <w:rFonts w:ascii="Times New Roman" w:cs="Times New Roman" w:eastAsia="Times New Roman" w:hAnsi="Times New Roman"/>
                <w:sz w:val="21"/>
                <w:szCs w:val="21"/>
                <w:color w:val="auto"/>
              </w:rPr>
              <w:t>contingent consideration</w:t>
            </w:r>
          </w:p>
        </w:tc>
        <w:tc>
          <w:tcPr>
            <w:tcW w:w="120" w:type="dxa"/>
            <w:vAlign w:val="bottom"/>
          </w:tcPr>
          <w:p>
            <w:pPr>
              <w:spacing w:after="0"/>
              <w:rPr>
                <w:sz w:val="22"/>
                <w:szCs w:val="22"/>
                <w:color w:val="auto"/>
              </w:rPr>
            </w:pPr>
          </w:p>
        </w:tc>
        <w:tc>
          <w:tcPr>
            <w:tcW w:w="820" w:type="dxa"/>
            <w:vAlign w:val="bottom"/>
          </w:tcPr>
          <w:p>
            <w:pPr>
              <w:jc w:val="right"/>
              <w:ind w:right="55"/>
              <w:spacing w:after="0"/>
              <w:rPr>
                <w:sz w:val="20"/>
                <w:szCs w:val="20"/>
                <w:color w:val="auto"/>
              </w:rPr>
            </w:pPr>
            <w:r>
              <w:rPr>
                <w:rFonts w:ascii="Times New Roman" w:cs="Times New Roman" w:eastAsia="Times New Roman" w:hAnsi="Times New Roman"/>
                <w:sz w:val="21"/>
                <w:szCs w:val="21"/>
                <w:color w:val="auto"/>
              </w:rPr>
              <w:t>—</w:t>
            </w:r>
          </w:p>
        </w:tc>
        <w:tc>
          <w:tcPr>
            <w:tcW w:w="180" w:type="dxa"/>
            <w:vAlign w:val="bottom"/>
          </w:tcPr>
          <w:p>
            <w:pPr>
              <w:spacing w:after="0"/>
              <w:rPr>
                <w:sz w:val="22"/>
                <w:szCs w:val="22"/>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21"/>
                <w:szCs w:val="21"/>
                <w:color w:val="auto"/>
              </w:rPr>
              <w:t>—</w:t>
            </w:r>
          </w:p>
        </w:tc>
        <w:tc>
          <w:tcPr>
            <w:tcW w:w="2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21"/>
                <w:szCs w:val="21"/>
                <w:color w:val="auto"/>
              </w:rPr>
              <w:t>0%</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(15,000)</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0%</w:t>
            </w:r>
          </w:p>
        </w:tc>
        <w:tc>
          <w:tcPr>
            <w:tcW w:w="0" w:type="dxa"/>
            <w:vAlign w:val="bottom"/>
          </w:tcPr>
          <w:p>
            <w:pPr>
              <w:spacing w:after="0"/>
              <w:rPr>
                <w:sz w:val="1"/>
                <w:szCs w:val="1"/>
                <w:color w:val="auto"/>
              </w:rPr>
            </w:pPr>
          </w:p>
        </w:tc>
      </w:tr>
      <w:tr>
        <w:trPr>
          <w:trHeight w:val="263"/>
        </w:trPr>
        <w:tc>
          <w:tcPr>
            <w:tcW w:w="2800" w:type="dxa"/>
            <w:vAlign w:val="bottom"/>
          </w:tcPr>
          <w:p>
            <w:pPr>
              <w:spacing w:after="0"/>
              <w:rPr>
                <w:sz w:val="20"/>
                <w:szCs w:val="20"/>
                <w:color w:val="auto"/>
              </w:rPr>
            </w:pPr>
            <w:r>
              <w:rPr>
                <w:rFonts w:ascii="Times New Roman" w:cs="Times New Roman" w:eastAsia="Times New Roman" w:hAnsi="Times New Roman"/>
                <w:sz w:val="21"/>
                <w:szCs w:val="21"/>
                <w:color w:val="auto"/>
              </w:rPr>
              <w:t>Impairments</w:t>
            </w:r>
          </w:p>
        </w:tc>
        <w:tc>
          <w:tcPr>
            <w:tcW w:w="120" w:type="dxa"/>
            <w:vAlign w:val="bottom"/>
          </w:tcPr>
          <w:p>
            <w:pPr>
              <w:spacing w:after="0"/>
              <w:rPr>
                <w:sz w:val="22"/>
                <w:szCs w:val="22"/>
                <w:color w:val="auto"/>
              </w:rPr>
            </w:pPr>
          </w:p>
        </w:tc>
        <w:tc>
          <w:tcPr>
            <w:tcW w:w="820" w:type="dxa"/>
            <w:vAlign w:val="bottom"/>
          </w:tcPr>
          <w:p>
            <w:pPr>
              <w:jc w:val="right"/>
              <w:ind w:right="55"/>
              <w:spacing w:after="0"/>
              <w:rPr>
                <w:sz w:val="20"/>
                <w:szCs w:val="20"/>
                <w:color w:val="auto"/>
              </w:rPr>
            </w:pPr>
            <w:r>
              <w:rPr>
                <w:rFonts w:ascii="Times New Roman" w:cs="Times New Roman" w:eastAsia="Times New Roman" w:hAnsi="Times New Roman"/>
                <w:sz w:val="21"/>
                <w:szCs w:val="21"/>
                <w:color w:val="auto"/>
              </w:rPr>
              <w:t>—</w:t>
            </w:r>
          </w:p>
        </w:tc>
        <w:tc>
          <w:tcPr>
            <w:tcW w:w="180" w:type="dxa"/>
            <w:vAlign w:val="bottom"/>
          </w:tcPr>
          <w:p>
            <w:pPr>
              <w:spacing w:after="0"/>
              <w:rPr>
                <w:sz w:val="22"/>
                <w:szCs w:val="22"/>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21"/>
                <w:szCs w:val="21"/>
                <w:color w:val="auto"/>
              </w:rPr>
              <w:t>699,235</w:t>
            </w: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7"/>
              </w:rPr>
              <w:t>(699,235)</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40" w:type="dxa"/>
            <w:vAlign w:val="bottom"/>
          </w:tcPr>
          <w:p>
            <w:pPr>
              <w:spacing w:after="0"/>
              <w:rPr>
                <w:sz w:val="22"/>
                <w:szCs w:val="22"/>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699,235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9"/>
              </w:rPr>
              <w:t>(699,235)</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0" w:type="dxa"/>
            <w:vAlign w:val="bottom"/>
          </w:tcPr>
          <w:p>
            <w:pPr>
              <w:spacing w:after="0"/>
              <w:rPr>
                <w:sz w:val="1"/>
                <w:szCs w:val="1"/>
                <w:color w:val="auto"/>
              </w:rPr>
            </w:pPr>
          </w:p>
        </w:tc>
      </w:tr>
      <w:tr>
        <w:trPr>
          <w:trHeight w:val="237"/>
        </w:trPr>
        <w:tc>
          <w:tcPr>
            <w:tcW w:w="280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Other than temporary change in</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0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fair value of convertible notes</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0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receivable, attributable to</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0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stockholders of Tilray Brands,</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800" w:type="dxa"/>
            <w:vAlign w:val="bottom"/>
          </w:tcPr>
          <w:p>
            <w:pPr>
              <w:spacing w:after="0"/>
              <w:rPr>
                <w:sz w:val="20"/>
                <w:szCs w:val="20"/>
                <w:color w:val="auto"/>
              </w:rPr>
            </w:pPr>
            <w:r>
              <w:rPr>
                <w:rFonts w:ascii="Times New Roman" w:cs="Times New Roman" w:eastAsia="Times New Roman" w:hAnsi="Times New Roman"/>
                <w:sz w:val="21"/>
                <w:szCs w:val="21"/>
                <w:color w:val="auto"/>
              </w:rPr>
              <w:t>Inc.</w:t>
            </w:r>
          </w:p>
        </w:tc>
        <w:tc>
          <w:tcPr>
            <w:tcW w:w="120" w:type="dxa"/>
            <w:vAlign w:val="bottom"/>
          </w:tcPr>
          <w:p>
            <w:pPr>
              <w:spacing w:after="0"/>
              <w:rPr>
                <w:sz w:val="22"/>
                <w:szCs w:val="22"/>
                <w:color w:val="auto"/>
              </w:rPr>
            </w:pPr>
          </w:p>
        </w:tc>
        <w:tc>
          <w:tcPr>
            <w:tcW w:w="820" w:type="dxa"/>
            <w:vAlign w:val="bottom"/>
          </w:tcPr>
          <w:p>
            <w:pPr>
              <w:jc w:val="right"/>
              <w:ind w:right="55"/>
              <w:spacing w:after="0"/>
              <w:rPr>
                <w:sz w:val="20"/>
                <w:szCs w:val="20"/>
                <w:color w:val="auto"/>
              </w:rPr>
            </w:pPr>
            <w:r>
              <w:rPr>
                <w:rFonts w:ascii="Times New Roman" w:cs="Times New Roman" w:eastAsia="Times New Roman" w:hAnsi="Times New Roman"/>
                <w:sz w:val="21"/>
                <w:szCs w:val="21"/>
                <w:color w:val="auto"/>
              </w:rPr>
              <w:t>—</w:t>
            </w:r>
          </w:p>
        </w:tc>
        <w:tc>
          <w:tcPr>
            <w:tcW w:w="180" w:type="dxa"/>
            <w:vAlign w:val="bottom"/>
          </w:tcPr>
          <w:p>
            <w:pPr>
              <w:spacing w:after="0"/>
              <w:rPr>
                <w:sz w:val="22"/>
                <w:szCs w:val="22"/>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21"/>
                <w:szCs w:val="21"/>
                <w:color w:val="auto"/>
              </w:rPr>
              <w:t>20,000</w:t>
            </w: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(20,000)</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40" w:type="dxa"/>
            <w:vAlign w:val="bottom"/>
          </w:tcPr>
          <w:p>
            <w:pPr>
              <w:spacing w:after="0"/>
              <w:rPr>
                <w:sz w:val="22"/>
                <w:szCs w:val="22"/>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20,000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(20,000)</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0" w:type="dxa"/>
            <w:vAlign w:val="bottom"/>
          </w:tcPr>
          <w:p>
            <w:pPr>
              <w:spacing w:after="0"/>
              <w:rPr>
                <w:sz w:val="1"/>
                <w:szCs w:val="1"/>
                <w:color w:val="auto"/>
              </w:rPr>
            </w:pPr>
          </w:p>
        </w:tc>
      </w:tr>
      <w:tr>
        <w:trPr>
          <w:trHeight w:val="263"/>
        </w:trPr>
        <w:tc>
          <w:tcPr>
            <w:tcW w:w="2800" w:type="dxa"/>
            <w:vAlign w:val="bottom"/>
          </w:tcPr>
          <w:p>
            <w:pPr>
              <w:spacing w:after="0"/>
              <w:rPr>
                <w:sz w:val="20"/>
                <w:szCs w:val="20"/>
                <w:color w:val="auto"/>
              </w:rPr>
            </w:pPr>
            <w:r>
              <w:rPr>
                <w:rFonts w:ascii="Times New Roman" w:cs="Times New Roman" w:eastAsia="Times New Roman" w:hAnsi="Times New Roman"/>
                <w:sz w:val="21"/>
                <w:szCs w:val="21"/>
                <w:color w:val="auto"/>
              </w:rPr>
              <w:t>Amortization</w:t>
            </w:r>
          </w:p>
        </w:tc>
        <w:tc>
          <w:tcPr>
            <w:tcW w:w="120" w:type="dxa"/>
            <w:vAlign w:val="bottom"/>
          </w:tcPr>
          <w:p>
            <w:pPr>
              <w:spacing w:after="0"/>
              <w:rPr>
                <w:sz w:val="22"/>
                <w:szCs w:val="22"/>
                <w:color w:val="auto"/>
              </w:rPr>
            </w:pPr>
          </w:p>
        </w:tc>
        <w:tc>
          <w:tcPr>
            <w:tcW w:w="820" w:type="dxa"/>
            <w:vAlign w:val="bottom"/>
          </w:tcPr>
          <w:p>
            <w:pPr>
              <w:jc w:val="right"/>
              <w:ind w:right="55"/>
              <w:spacing w:after="0"/>
              <w:rPr>
                <w:sz w:val="20"/>
                <w:szCs w:val="20"/>
                <w:color w:val="auto"/>
              </w:rPr>
            </w:pPr>
            <w:r>
              <w:rPr>
                <w:rFonts w:ascii="Times New Roman" w:cs="Times New Roman" w:eastAsia="Times New Roman" w:hAnsi="Times New Roman"/>
                <w:sz w:val="21"/>
                <w:szCs w:val="21"/>
                <w:color w:val="auto"/>
              </w:rPr>
              <w:t>16,741</w:t>
            </w:r>
          </w:p>
        </w:tc>
        <w:tc>
          <w:tcPr>
            <w:tcW w:w="180" w:type="dxa"/>
            <w:vAlign w:val="bottom"/>
          </w:tcPr>
          <w:p>
            <w:pPr>
              <w:spacing w:after="0"/>
              <w:rPr>
                <w:sz w:val="22"/>
                <w:szCs w:val="22"/>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21"/>
                <w:szCs w:val="21"/>
                <w:color w:val="auto"/>
              </w:rPr>
              <w:t>33,546</w:t>
            </w: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(16,805)</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48,260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99,410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(51,150)</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c>
          <w:tcPr>
            <w:tcW w:w="0" w:type="dxa"/>
            <w:vAlign w:val="bottom"/>
          </w:tcPr>
          <w:p>
            <w:pPr>
              <w:spacing w:after="0"/>
              <w:rPr>
                <w:sz w:val="1"/>
                <w:szCs w:val="1"/>
                <w:color w:val="auto"/>
              </w:rPr>
            </w:pPr>
          </w:p>
        </w:tc>
      </w:tr>
      <w:tr>
        <w:trPr>
          <w:trHeight w:val="275"/>
        </w:trPr>
        <w:tc>
          <w:tcPr>
            <w:tcW w:w="2800" w:type="dxa"/>
            <w:vAlign w:val="bottom"/>
          </w:tcPr>
          <w:p>
            <w:pPr>
              <w:spacing w:after="0"/>
              <w:rPr>
                <w:sz w:val="20"/>
                <w:szCs w:val="20"/>
                <w:color w:val="auto"/>
              </w:rPr>
            </w:pPr>
            <w:r>
              <w:rPr>
                <w:rFonts w:ascii="Times New Roman" w:cs="Times New Roman" w:eastAsia="Times New Roman" w:hAnsi="Times New Roman"/>
                <w:sz w:val="21"/>
                <w:szCs w:val="21"/>
                <w:color w:val="auto"/>
              </w:rPr>
              <w:t>Stock-based compensation</w:t>
            </w: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21"/>
                <w:szCs w:val="21"/>
                <w:color w:val="auto"/>
              </w:rPr>
              <w:t>13,725</w:t>
            </w: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21"/>
                <w:szCs w:val="21"/>
                <w:color w:val="auto"/>
              </w:rPr>
              <w:t>4,035</w:t>
            </w: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rPr>
              <w:t>9,690</w:t>
            </w: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21"/>
                <w:szCs w:val="21"/>
                <w:color w:val="auto"/>
              </w:rPr>
              <w:t>240%</w:t>
            </w:r>
          </w:p>
        </w:tc>
        <w:tc>
          <w:tcPr>
            <w:tcW w:w="100" w:type="dxa"/>
            <w:vAlign w:val="bottom"/>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31,060</w:t>
            </w: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rPr>
              <w:t>18,189</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12,871</w:t>
            </w:r>
          </w:p>
        </w:tc>
        <w:tc>
          <w:tcPr>
            <w:tcW w:w="12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71%</w:t>
            </w:r>
          </w:p>
        </w:tc>
        <w:tc>
          <w:tcPr>
            <w:tcW w:w="0" w:type="dxa"/>
            <w:vAlign w:val="bottom"/>
          </w:tcPr>
          <w:p>
            <w:pPr>
              <w:spacing w:after="0"/>
              <w:rPr>
                <w:sz w:val="1"/>
                <w:szCs w:val="1"/>
                <w:color w:val="auto"/>
              </w:rPr>
            </w:pPr>
          </w:p>
        </w:tc>
      </w:tr>
      <w:tr>
        <w:trPr>
          <w:trHeight w:val="200"/>
        </w:trPr>
        <w:tc>
          <w:tcPr>
            <w:tcW w:w="2800" w:type="dxa"/>
            <w:vAlign w:val="bottom"/>
          </w:tcPr>
          <w:p>
            <w:pPr>
              <w:spacing w:after="0" w:line="200" w:lineRule="exact"/>
              <w:rPr>
                <w:sz w:val="20"/>
                <w:szCs w:val="20"/>
                <w:color w:val="auto"/>
              </w:rPr>
            </w:pPr>
            <w:r>
              <w:rPr>
                <w:rFonts w:ascii="Times New Roman" w:cs="Times New Roman" w:eastAsia="Times New Roman" w:hAnsi="Times New Roman"/>
                <w:sz w:val="21"/>
                <w:szCs w:val="21"/>
                <w:b w:val="1"/>
                <w:bCs w:val="1"/>
                <w:color w:val="auto"/>
              </w:rPr>
              <w:t>Adjusted cash operating</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21"/>
                <w:szCs w:val="21"/>
                <w:color w:val="auto"/>
                <w:w w:val="75"/>
              </w:rPr>
              <w:t>$</w:t>
            </w:r>
          </w:p>
        </w:tc>
        <w:tc>
          <w:tcPr>
            <w:tcW w:w="820" w:type="dxa"/>
            <w:vAlign w:val="bottom"/>
            <w:vMerge w:val="restart"/>
          </w:tcPr>
          <w:p>
            <w:pPr>
              <w:jc w:val="right"/>
              <w:ind w:right="55"/>
              <w:spacing w:after="0"/>
              <w:rPr>
                <w:sz w:val="20"/>
                <w:szCs w:val="20"/>
                <w:color w:val="auto"/>
              </w:rPr>
            </w:pPr>
            <w:r>
              <w:rPr>
                <w:rFonts w:ascii="Times New Roman" w:cs="Times New Roman" w:eastAsia="Times New Roman" w:hAnsi="Times New Roman"/>
                <w:sz w:val="21"/>
                <w:szCs w:val="21"/>
                <w:color w:val="auto"/>
              </w:rPr>
              <w:t>4,080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(3,115)</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860" w:type="dxa"/>
            <w:vAlign w:val="bottom"/>
            <w:vMerge w:val="restart"/>
          </w:tcPr>
          <w:p>
            <w:pPr>
              <w:jc w:val="right"/>
              <w:ind w:right="15"/>
              <w:spacing w:after="0"/>
              <w:rPr>
                <w:sz w:val="20"/>
                <w:szCs w:val="20"/>
                <w:color w:val="auto"/>
              </w:rPr>
            </w:pPr>
            <w:r>
              <w:rPr>
                <w:rFonts w:ascii="Times New Roman" w:cs="Times New Roman" w:eastAsia="Times New Roman" w:hAnsi="Times New Roman"/>
                <w:sz w:val="21"/>
                <w:szCs w:val="21"/>
                <w:color w:val="auto"/>
              </w:rPr>
              <w:t>7,195</w:t>
            </w:r>
          </w:p>
        </w:tc>
        <w:tc>
          <w:tcPr>
            <w:tcW w:w="1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(231)%</w:t>
            </w:r>
          </w:p>
        </w:tc>
        <w:tc>
          <w:tcPr>
            <w:tcW w:w="1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$ 17,747</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(1,885)</w:t>
            </w:r>
          </w:p>
        </w:tc>
        <w:tc>
          <w:tcPr>
            <w:tcW w:w="1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19,632</w:t>
            </w:r>
          </w:p>
        </w:tc>
        <w:tc>
          <w:tcPr>
            <w:tcW w:w="1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(1,041)%</w:t>
            </w:r>
          </w:p>
        </w:tc>
        <w:tc>
          <w:tcPr>
            <w:tcW w:w="0" w:type="dxa"/>
            <w:vAlign w:val="bottom"/>
          </w:tcPr>
          <w:p>
            <w:pPr>
              <w:spacing w:after="0"/>
              <w:rPr>
                <w:sz w:val="1"/>
                <w:szCs w:val="1"/>
                <w:color w:val="auto"/>
              </w:rPr>
            </w:pPr>
          </w:p>
        </w:tc>
      </w:tr>
      <w:tr>
        <w:trPr>
          <w:trHeight w:val="255"/>
        </w:trPr>
        <w:tc>
          <w:tcPr>
            <w:tcW w:w="280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income (loss)</w:t>
            </w:r>
          </w:p>
        </w:tc>
        <w:tc>
          <w:tcPr>
            <w:tcW w:w="120" w:type="dxa"/>
            <w:vAlign w:val="bottom"/>
            <w:tcBorders>
              <w:bottom w:val="single" w:sz="8" w:color="auto"/>
            </w:tcBorders>
            <w:vMerge w:val="continue"/>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3"/>
      <w:numFmt w:val="bullet"/>
      <w:start w:val="1"/>
    </w:lvl>
  </w:abstractNum>
  <w:abstractNum w:abstractNumId="4">
    <w:nsid w:val="3D1B58BA"/>
    <w:multiLevelType w:val="hybridMultilevel"/>
    <w:lvl w:ilvl="0">
      <w:lvlJc w:val="left"/>
      <w:lvlText w:val="4"/>
      <w:numFmt w:val="bullet"/>
      <w:start w:val="1"/>
    </w:lvl>
  </w:abstractNum>
  <w:abstractNum w:abstractNumId="5">
    <w:nsid w:val="507ED7AB"/>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2026-04-01T06:03:33Z</dcterms:created>
  <dcterms:modified xsi:type="dcterms:W3CDTF">2026-04-01T06:03:33Z</dcterms:modified>
</cp:coreProperties>
</file>