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34373x3_defa14a.htm"/>
      <w:bookmarkStart w:id="1" w:name="ksny20034373x3_defa14a"/>
      <w:bookmarkStart w:id="2" w:name="ny20034373x3_defa14a.htm"/>
      <w:bookmarkStart w:id="3" w:name="ksny20034373x3_defa14a"/>
      <w:bookmarkEnd w:id="2"/>
      <w:bookmarkEnd w:id="3"/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UNITED STATES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SECURITIES AND EXCHANGE COMMISSION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Washington, D.C. 20549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SCHEDULE 14A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(Rule 14a-101)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INFORMATION REQUIRED IN PROXY STATEMENT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SCHEDULE 14A INFORMATION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Proxy Statement Pursuant to Section 14(a) of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the Securities Exchange Act of 1934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Filed by the Registrant ☒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Filed by a Party other than the Registrant  ☐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d396db2f10c9499c990cb398908b82db"/>
      <w:bookmarkStart w:id="5" w:name="zd396db2f10c9499c990cb398908b82db"/>
      <w:bookmarkEnd w:id="5"/>
    </w:p>
    <w:tbl>
      <w:tblPr>
        <w:tblW w:w="26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4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☐ </w:t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Preliminary Proxy Statement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6f82abfaa80c448a8cda70cff869360f"/>
      <w:bookmarkStart w:id="7" w:name="z6f82abfaa80c448a8cda70cff869360f"/>
      <w:bookmarkEnd w:id="7"/>
    </w:p>
    <w:tbl>
      <w:tblPr>
        <w:tblW w:w="69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69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b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Confidential, for Use of the Commission Only (as permitted by Rule 14a-6(e)(2))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f113cd5068a24da1ae068a90427a58cf"/>
      <w:bookmarkStart w:id="9" w:name="zf113cd5068a24da1ae068a90427a58cf"/>
      <w:bookmarkEnd w:id="9"/>
    </w:p>
    <w:tbl>
      <w:tblPr>
        <w:tblW w:w="2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22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Proxy Statement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z6267b955620b4188a18ae951034b91de"/>
      <w:bookmarkStart w:id="11" w:name="z6267b955620b4188a18ae951034b91de"/>
      <w:bookmarkEnd w:id="11"/>
    </w:p>
    <w:tbl>
      <w:tblPr>
        <w:tblW w:w="29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63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☒ 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Additional Materials 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z650bd7229352423bbcee0719916f4c99"/>
      <w:bookmarkStart w:id="13" w:name="z650bd7229352423bbcee0719916f4c99"/>
      <w:bookmarkEnd w:id="13"/>
    </w:p>
    <w:tbl>
      <w:tblPr>
        <w:tblW w:w="3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5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Soliciting Material Pursuant to § 240.14a-12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zee94bdab9a2f4da8a92df026d5067988"/>
      <w:bookmarkStart w:id="15" w:name="zee94bdab9a2f4da8a92df026d5067988"/>
      <w:bookmarkEnd w:id="15"/>
    </w:p>
    <w:tbl>
      <w:tblPr>
        <w:tblW w:w="61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"/>
        <w:gridCol w:w="5870"/>
        <w:gridCol w:w="155"/>
      </w:tblGrid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36"/>
                <w:u w:val="single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36"/>
                <w:u w:val="single"/>
              </w:rPr>
              <w:t>Tilray Brands, Inc.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  <w:u w:val="single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  <w:u w:val="single"/>
              </w:rPr>
              <w:t>(Name of Registrant as Specified in its Charter)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  <w:u w:val="single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  <w:u w:val="single"/>
              </w:rPr>
              <w:t>(Name of Person(s) Filing Proxy Statement, if Other Than the Registrant)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5791200" cy="1590675"/>
                <wp:effectExtent l="0" t="0" r="0" b="0"/>
                <wp:wrapSquare wrapText="right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590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12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40"/>
                              <w:gridCol w:w="275"/>
                              <w:gridCol w:w="140"/>
                              <w:gridCol w:w="140"/>
                              <w:gridCol w:w="8285"/>
                              <w:gridCol w:w="140"/>
                            </w:tblGrid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30" w:right="0" w:hanging="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  <w:t>No fee required.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30" w:right="0" w:hanging="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  <w:t>Fee paid previously with preliminary materials.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30" w:right="0" w:hanging="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  <w:t>Fee computed on table in exhibit required by Item 25(b) per Exchange Act Rules 14a-6(i)(1) and 0-11.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6pt;height:125.2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9120" w:type="dxa"/>
                        <w:jc w:val="left"/>
                        <w:tblInd w:w="0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40"/>
                        <w:gridCol w:w="275"/>
                        <w:gridCol w:w="140"/>
                        <w:gridCol w:w="140"/>
                        <w:gridCol w:w="8285"/>
                        <w:gridCol w:w="140"/>
                      </w:tblGrid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30" w:right="0" w:hanging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  <w:t>No fee required.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30" w:right="0" w:hanging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  <w:t>Fee paid previously with preliminary materials.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30" w:right="0" w:hanging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  <w:t>Fee computed on table in exhibit required by Item 25(b) per Exchange Act Rules 14a-6(i)(1) and 0-11.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143</Words>
  <Characters>788</Characters>
  <CharactersWithSpaces>942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