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lry20260531_10k.htm"/>
      <w:bookmarkStart w:id="1" w:name="kstlry20260531_10k"/>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UNITED STATES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10-K</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(Mark</w:t>
      </w:r>
      <w:r>
        <w:rPr>
          <w:rFonts w:ascii="Times New Roman" w:hAnsi="Times New Roman"/>
          <w:caps w:val="false"/>
          <w:smallCaps w:val="false"/>
          <w:sz w:val="20"/>
        </w:rPr>
        <w:t> </w:t>
      </w:r>
      <w:r>
        <w:rPr>
          <w:rFonts w:ascii="Times New Roman" w:hAnsi="Times New Roman"/>
          <w:b/>
          <w:caps w:val="false"/>
          <w:smallCaps w:val="false"/>
          <w:sz w:val="20"/>
        </w:rPr>
        <w:t xml:space="preserve">One) </w:t>
      </w:r>
    </w:p>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30"/>
        <w:gridCol w:w="95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REPORT PURSUANT TO SECTION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13 OR 15(d) OF THE SECURITIES EXCHANGE ACT OF</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TRANSITION REPORT PURSUANT TO SECTION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13 OR 15(d) OF THE SECURITIES EXCHANGE ACT OF</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1934 FOR THE TRANSITION PERIOD FROM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TO</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w:t>
      </w:r>
      <w:r>
        <w:rPr>
          <w:rFonts w:ascii="Times New Roman" w:hAnsi="Times New Roman"/>
          <w:caps w:val="false"/>
          <w:smallCaps w:val="false"/>
          <w:sz w:val="20"/>
        </w:rPr>
        <w:t> </w:t>
      </w:r>
      <w:r>
        <w:rPr>
          <w:rFonts w:ascii="Times New Roman" w:hAnsi="Times New Roman"/>
          <w:b/>
          <w:caps w:val="false"/>
          <w:smallCaps w:val="false"/>
          <w:sz w:val="20"/>
        </w:rPr>
        <w:t xml:space="preserve">001-38594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TILRAY BRANDS,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840"/>
        <w:gridCol w:w="1370"/>
      </w:tblGrid>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82-4310622</w:t>
            </w:r>
          </w:p>
        </w:tc>
      </w:tr>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(State or other jurisdiction of</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(I.R.S. Employer</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Identification No.)</w:t>
            </w:r>
          </w:p>
        </w:tc>
      </w:tr>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265 Talbot Street West,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Leamington, 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N8H 5L4</w:t>
            </w:r>
          </w:p>
        </w:tc>
      </w:tr>
      <w:tr>
        <w:trPr/>
        <w:tc>
          <w:tcPr>
            <w:tcW w:w="284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(844) 845-7291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3140"/>
        <w:gridCol w:w="60"/>
        <w:gridCol w:w="860"/>
        <w:gridCol w:w="60"/>
        <w:gridCol w:w="3695"/>
      </w:tblGrid>
      <w:tr>
        <w:trPr/>
        <w:tc>
          <w:tcPr>
            <w:tcW w:w="31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1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TLRY</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 xml:space="preserve">Securities registered pursuant to Section 12(g) of the Act: </w:t>
      </w:r>
      <w:r>
        <w:rPr>
          <w:rFonts w:ascii="Times New Roman" w:hAnsi="Times New Roman"/>
          <w:b/>
          <w:caps w:val="false"/>
          <w:smallCaps w:val="false"/>
          <w:sz w:val="18"/>
        </w:rPr>
        <w:t xml:space="preserve">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355" w:type="dxa"/>
            <w:gridSpan w:val="4"/>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355" w:type="dxa"/>
            <w:gridSpan w:val="4"/>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aggregate market value of the voting and non-voting common equity held by non-affiliates of the Registrant, based on the closing price of the shares of the Registrant’s Common Stock on The Nasdaq Global Select Stock Market on November 28, 2025, was approximately $0.9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As of July 24, 2026, there were 136,203,579 shares of the Registrant’s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Part III incorporates certain information by reference from the definitive proxy statement to be filed by the registrant in connection with the 2026 Annual Meeting of Stockholders (the “Proxy Statement”) with the Securities and Exchange Commission pursuant to Regulation 14A not later than 120 days after the end of the year ended May 31, 2026, provided that if such Proxy Statement is not filed within such period, such information will be included in an amendment to this Form 10</w:t>
        <w:noBreakHyphen/>
        <w:t>K to be filed within such 120-day period.</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
        <w:gridCol w:w="8744"/>
        <w:gridCol w:w="441"/>
      </w:tblGrid>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10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744"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u w:val="single"/>
                </w:rPr>
                <w:t>Business</w:t>
              </w:r>
            </w:hyperlink>
          </w:p>
        </w:tc>
        <w:tc>
          <w:tcPr>
            <w:tcW w:w="441" w:type="dxa"/>
            <w:tcBorders/>
            <w:vAlign w:val="center"/>
          </w:tcPr>
          <w:p>
            <w:pPr>
              <w:pStyle w:val="TableContents"/>
              <w:bidi w:val="0"/>
              <w:spacing w:before="0" w:after="0"/>
              <w:ind w:left="0" w:right="0" w:hanging="0"/>
              <w:jc w:val="right"/>
              <w:rPr/>
            </w:pPr>
            <w:hyperlink w:anchor="item1">
              <w:r>
                <w:rPr>
                  <w:rStyle w:val="InternetLink"/>
                  <w:rFonts w:ascii="Times New Roman" w:hAnsi="Times New Roman"/>
                  <w:caps w:val="false"/>
                  <w:smallCaps w:val="false"/>
                  <w:sz w:val="20"/>
                </w:rPr>
                <w:t>3</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744" w:type="dxa"/>
            <w:tcBorders/>
            <w:vAlign w:val="center"/>
          </w:tcPr>
          <w:p>
            <w:pPr>
              <w:pStyle w:val="TableContents"/>
              <w:bidi w:val="0"/>
              <w:spacing w:before="0" w:after="0"/>
              <w:ind w:left="0" w:right="0" w:hanging="0"/>
              <w:jc w:val="left"/>
              <w:rPr/>
            </w:pPr>
            <w:hyperlink w:anchor="item1a">
              <w:r>
                <w:rPr>
                  <w:rStyle w:val="InternetLink"/>
                  <w:rFonts w:ascii="Times New Roman" w:hAnsi="Times New Roman"/>
                  <w:caps w:val="false"/>
                  <w:smallCaps w:val="false"/>
                  <w:sz w:val="20"/>
                  <w:u w:val="single"/>
                </w:rPr>
                <w:t>Risk Factors</w:t>
              </w:r>
            </w:hyperlink>
          </w:p>
        </w:tc>
        <w:tc>
          <w:tcPr>
            <w:tcW w:w="441" w:type="dxa"/>
            <w:tcBorders/>
            <w:vAlign w:val="center"/>
          </w:tcPr>
          <w:p>
            <w:pPr>
              <w:pStyle w:val="TableContents"/>
              <w:bidi w:val="0"/>
              <w:spacing w:before="0" w:after="0"/>
              <w:ind w:left="0" w:right="0" w:hanging="0"/>
              <w:jc w:val="right"/>
              <w:rPr/>
            </w:pPr>
            <w:hyperlink w:anchor="item1a">
              <w:r>
                <w:rPr>
                  <w:rStyle w:val="InternetLink"/>
                  <w:rFonts w:ascii="Times New Roman" w:hAnsi="Times New Roman"/>
                  <w:caps w:val="false"/>
                  <w:smallCaps w:val="false"/>
                  <w:sz w:val="20"/>
                </w:rPr>
                <w:t>15</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1B.</w:t>
            </w:r>
          </w:p>
        </w:tc>
        <w:tc>
          <w:tcPr>
            <w:tcW w:w="8744" w:type="dxa"/>
            <w:tcBorders/>
            <w:vAlign w:val="center"/>
          </w:tcPr>
          <w:p>
            <w:pPr>
              <w:pStyle w:val="TableContents"/>
              <w:bidi w:val="0"/>
              <w:spacing w:before="0" w:after="0"/>
              <w:ind w:left="0" w:right="0" w:hanging="0"/>
              <w:jc w:val="left"/>
              <w:rPr/>
            </w:pPr>
            <w:hyperlink w:anchor="item1b">
              <w:r>
                <w:rPr>
                  <w:rStyle w:val="InternetLink"/>
                  <w:rFonts w:ascii="Times New Roman" w:hAnsi="Times New Roman"/>
                  <w:caps w:val="false"/>
                  <w:smallCaps w:val="false"/>
                  <w:sz w:val="20"/>
                  <w:u w:val="single"/>
                </w:rPr>
                <w:t>Unresolved Staff Comments</w:t>
              </w:r>
            </w:hyperlink>
          </w:p>
        </w:tc>
        <w:tc>
          <w:tcPr>
            <w:tcW w:w="441" w:type="dxa"/>
            <w:tcBorders/>
            <w:vAlign w:val="center"/>
          </w:tcPr>
          <w:p>
            <w:pPr>
              <w:pStyle w:val="TableContents"/>
              <w:bidi w:val="0"/>
              <w:spacing w:before="0" w:after="0"/>
              <w:ind w:left="0" w:right="0" w:hanging="0"/>
              <w:jc w:val="right"/>
              <w:rPr/>
            </w:pPr>
            <w:hyperlink w:anchor="item1b">
              <w:r>
                <w:rPr>
                  <w:rStyle w:val="InternetLink"/>
                  <w:rFonts w:ascii="Times New Roman" w:hAnsi="Times New Roman"/>
                  <w:caps w:val="false"/>
                  <w:smallCaps w:val="false"/>
                  <w:sz w:val="20"/>
                </w:rPr>
                <w:t>35</w:t>
              </w:r>
            </w:hyperlink>
          </w:p>
        </w:tc>
      </w:tr>
      <w:tr>
        <w:trPr/>
        <w:tc>
          <w:tcPr>
            <w:tcW w:w="1020" w:type="dxa"/>
            <w:tcBorders/>
            <w:vAlign w:val="center"/>
          </w:tcPr>
          <w:p>
            <w:pPr>
              <w:pStyle w:val="TableContents"/>
              <w:bidi w:val="0"/>
              <w:spacing w:before="0" w:after="283"/>
              <w:jc w:val="left"/>
              <w:rPr/>
            </w:pPr>
            <w:r>
              <w:rPr/>
              <w:t>   </w:t>
            </w:r>
            <w:r>
              <w:rPr/>
              <w:t>Item 1C.</w:t>
            </w:r>
          </w:p>
        </w:tc>
        <w:tc>
          <w:tcPr>
            <w:tcW w:w="8744" w:type="dxa"/>
            <w:tcBorders/>
            <w:vAlign w:val="center"/>
          </w:tcPr>
          <w:p>
            <w:pPr>
              <w:pStyle w:val="TableContents"/>
              <w:bidi w:val="0"/>
              <w:spacing w:before="0" w:after="283"/>
              <w:jc w:val="left"/>
              <w:rPr/>
            </w:pPr>
            <w:hyperlink w:anchor="item1b">
              <w:r>
                <w:rPr>
                  <w:rStyle w:val="InternetLink"/>
                </w:rPr>
                <w:t>Cybersecurity</w:t>
              </w:r>
            </w:hyperlink>
          </w:p>
        </w:tc>
        <w:tc>
          <w:tcPr>
            <w:tcW w:w="441" w:type="dxa"/>
            <w:tcBorders/>
            <w:vAlign w:val="center"/>
          </w:tcPr>
          <w:p>
            <w:pPr>
              <w:pStyle w:val="TableContents"/>
              <w:bidi w:val="0"/>
              <w:spacing w:before="0" w:after="283"/>
              <w:jc w:val="right"/>
              <w:rPr/>
            </w:pPr>
            <w:hyperlink w:anchor="item1b">
              <w:r>
                <w:rPr>
                  <w:rStyle w:val="InternetLink"/>
                </w:rPr>
                <w:t>35</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744"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u w:val="single"/>
                </w:rPr>
                <w:t>Properties</w:t>
              </w:r>
            </w:hyperlink>
          </w:p>
        </w:tc>
        <w:tc>
          <w:tcPr>
            <w:tcW w:w="441" w:type="dxa"/>
            <w:tcBorders/>
            <w:vAlign w:val="center"/>
          </w:tcPr>
          <w:p>
            <w:pPr>
              <w:pStyle w:val="TableContents"/>
              <w:bidi w:val="0"/>
              <w:spacing w:before="0" w:after="0"/>
              <w:ind w:left="0" w:right="0" w:hanging="0"/>
              <w:jc w:val="right"/>
              <w:rPr/>
            </w:pPr>
            <w:hyperlink w:anchor="item2">
              <w:r>
                <w:rPr>
                  <w:rStyle w:val="InternetLink"/>
                  <w:rFonts w:ascii="Times New Roman" w:hAnsi="Times New Roman"/>
                  <w:caps w:val="false"/>
                  <w:smallCaps w:val="false"/>
                  <w:sz w:val="20"/>
                </w:rPr>
                <w:t>36</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744"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u w:val="single"/>
                </w:rPr>
                <w:t>Legal Proceedings</w:t>
              </w:r>
            </w:hyperlink>
          </w:p>
        </w:tc>
        <w:tc>
          <w:tcPr>
            <w:tcW w:w="441"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38</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744"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u w:val="single"/>
                </w:rPr>
                <w:t>Mine Safety Disclosures</w:t>
              </w:r>
            </w:hyperlink>
          </w:p>
        </w:tc>
        <w:tc>
          <w:tcPr>
            <w:tcW w:w="441"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38</w:t>
              </w:r>
            </w:hyperlink>
          </w:p>
        </w:tc>
      </w:tr>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744" w:type="dxa"/>
            <w:tcBorders/>
            <w:vAlign w:val="center"/>
          </w:tcPr>
          <w:p>
            <w:pPr>
              <w:pStyle w:val="TableContents"/>
              <w:bidi w:val="0"/>
              <w:spacing w:before="0" w:after="0"/>
              <w:ind w:left="0" w:right="0" w:hanging="0"/>
              <w:jc w:val="left"/>
              <w:rPr/>
            </w:pPr>
            <w:hyperlink w:anchor="item5">
              <w:r>
                <w:rPr>
                  <w:rStyle w:val="InternetLink"/>
                  <w:rFonts w:ascii="Times New Roman" w:hAnsi="Times New Roman"/>
                  <w:caps w:val="false"/>
                  <w:smallCaps w:val="false"/>
                  <w:sz w:val="20"/>
                  <w:u w:val="single"/>
                </w:rPr>
                <w:t>Market for Registrant’s Common Equity, Related Stockholder Matters and Issuer Purchases of Equity Securities</w:t>
              </w:r>
            </w:hyperlink>
          </w:p>
        </w:tc>
        <w:tc>
          <w:tcPr>
            <w:tcW w:w="441" w:type="dxa"/>
            <w:tcBorders/>
            <w:vAlign w:val="center"/>
          </w:tcPr>
          <w:p>
            <w:pPr>
              <w:pStyle w:val="TableContents"/>
              <w:bidi w:val="0"/>
              <w:spacing w:before="0" w:after="0"/>
              <w:ind w:left="0" w:right="0" w:hanging="0"/>
              <w:jc w:val="right"/>
              <w:rPr/>
            </w:pPr>
            <w:hyperlink w:anchor="item5">
              <w:r>
                <w:rPr>
                  <w:rStyle w:val="InternetLink"/>
                  <w:rFonts w:ascii="Times New Roman" w:hAnsi="Times New Roman"/>
                  <w:caps w:val="false"/>
                  <w:smallCaps w:val="false"/>
                  <w:sz w:val="20"/>
                </w:rPr>
                <w:t>39</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744" w:type="dxa"/>
            <w:tcBorders/>
            <w:vAlign w:val="center"/>
          </w:tcPr>
          <w:p>
            <w:pPr>
              <w:pStyle w:val="TableContents"/>
              <w:bidi w:val="0"/>
              <w:spacing w:before="0" w:after="0"/>
              <w:ind w:left="0" w:right="0" w:hanging="0"/>
              <w:jc w:val="left"/>
              <w:rPr/>
            </w:pPr>
            <w:hyperlink w:anchor="item6">
              <w:r>
                <w:rPr>
                  <w:rStyle w:val="InternetLink"/>
                  <w:rFonts w:ascii="Times New Roman" w:hAnsi="Times New Roman"/>
                  <w:caps w:val="false"/>
                  <w:smallCaps w:val="false"/>
                  <w:sz w:val="20"/>
                  <w:u w:val="single"/>
                </w:rPr>
                <w:t>[Reserved]</w:t>
              </w:r>
            </w:hyperlink>
          </w:p>
        </w:tc>
        <w:tc>
          <w:tcPr>
            <w:tcW w:w="441" w:type="dxa"/>
            <w:tcBorders/>
            <w:vAlign w:val="center"/>
          </w:tcPr>
          <w:p>
            <w:pPr>
              <w:pStyle w:val="TableContents"/>
              <w:bidi w:val="0"/>
              <w:spacing w:before="0" w:after="0"/>
              <w:ind w:left="0" w:right="0" w:hanging="0"/>
              <w:jc w:val="right"/>
              <w:rPr/>
            </w:pPr>
            <w:hyperlink w:anchor="item6">
              <w:r>
                <w:rPr>
                  <w:rStyle w:val="InternetLink"/>
                  <w:rFonts w:ascii="Times New Roman" w:hAnsi="Times New Roman"/>
                  <w:caps w:val="false"/>
                  <w:smallCaps w:val="false"/>
                  <w:sz w:val="20"/>
                </w:rPr>
                <w:t>40</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7.</w:t>
            </w:r>
          </w:p>
        </w:tc>
        <w:tc>
          <w:tcPr>
            <w:tcW w:w="8744"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41</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7A.</w:t>
            </w:r>
          </w:p>
        </w:tc>
        <w:tc>
          <w:tcPr>
            <w:tcW w:w="8744" w:type="dxa"/>
            <w:tcBorders/>
            <w:vAlign w:val="center"/>
          </w:tcPr>
          <w:p>
            <w:pPr>
              <w:pStyle w:val="TableContents"/>
              <w:bidi w:val="0"/>
              <w:spacing w:before="0" w:after="0"/>
              <w:ind w:left="0" w:right="0" w:hanging="0"/>
              <w:jc w:val="left"/>
              <w:rPr/>
            </w:pPr>
            <w:hyperlink w:anchor="item7a">
              <w:r>
                <w:rPr>
                  <w:rStyle w:val="InternetLink"/>
                  <w:rFonts w:ascii="Times New Roman" w:hAnsi="Times New Roman"/>
                  <w:caps w:val="false"/>
                  <w:smallCaps w:val="false"/>
                  <w:sz w:val="20"/>
                  <w:u w:val="single"/>
                </w:rPr>
                <w:t>Quantitative and Qualitative Disclosures About Market Risk</w:t>
              </w:r>
            </w:hyperlink>
          </w:p>
        </w:tc>
        <w:tc>
          <w:tcPr>
            <w:tcW w:w="441" w:type="dxa"/>
            <w:tcBorders/>
            <w:vAlign w:val="center"/>
          </w:tcPr>
          <w:p>
            <w:pPr>
              <w:pStyle w:val="TableContents"/>
              <w:bidi w:val="0"/>
              <w:spacing w:before="0" w:after="0"/>
              <w:ind w:left="0" w:right="0" w:hanging="0"/>
              <w:jc w:val="right"/>
              <w:rPr/>
            </w:pPr>
            <w:hyperlink w:anchor="item7a">
              <w:r>
                <w:rPr>
                  <w:rStyle w:val="InternetLink"/>
                  <w:rFonts w:ascii="Times New Roman" w:hAnsi="Times New Roman"/>
                  <w:caps w:val="false"/>
                  <w:smallCaps w:val="false"/>
                  <w:sz w:val="20"/>
                </w:rPr>
                <w:t>66</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8.</w:t>
            </w:r>
          </w:p>
        </w:tc>
        <w:tc>
          <w:tcPr>
            <w:tcW w:w="8744" w:type="dxa"/>
            <w:tcBorders/>
            <w:vAlign w:val="center"/>
          </w:tcPr>
          <w:p>
            <w:pPr>
              <w:pStyle w:val="TableContents"/>
              <w:bidi w:val="0"/>
              <w:spacing w:before="0" w:after="0"/>
              <w:ind w:left="0" w:right="0" w:hanging="0"/>
              <w:jc w:val="left"/>
              <w:rPr/>
            </w:pPr>
            <w:hyperlink w:anchor="item8">
              <w:r>
                <w:rPr>
                  <w:rStyle w:val="InternetLink"/>
                  <w:rFonts w:ascii="Times New Roman" w:hAnsi="Times New Roman"/>
                  <w:caps w:val="false"/>
                  <w:smallCaps w:val="false"/>
                  <w:sz w:val="20"/>
                  <w:u w:val="single"/>
                </w:rPr>
                <w:t>Financial Statements and Supplementary Data</w:t>
              </w:r>
            </w:hyperlink>
          </w:p>
        </w:tc>
        <w:tc>
          <w:tcPr>
            <w:tcW w:w="441" w:type="dxa"/>
            <w:tcBorders/>
            <w:vAlign w:val="center"/>
          </w:tcPr>
          <w:p>
            <w:pPr>
              <w:pStyle w:val="TableContents"/>
              <w:bidi w:val="0"/>
              <w:spacing w:before="0" w:after="0"/>
              <w:ind w:left="0" w:right="0" w:hanging="0"/>
              <w:jc w:val="right"/>
              <w:rPr/>
            </w:pPr>
            <w:hyperlink w:anchor="item8">
              <w:r>
                <w:rPr>
                  <w:rStyle w:val="InternetLink"/>
                  <w:rFonts w:ascii="Times New Roman" w:hAnsi="Times New Roman"/>
                  <w:caps w:val="false"/>
                  <w:smallCaps w:val="false"/>
                  <w:sz w:val="20"/>
                </w:rPr>
                <w:t>67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w:t>
            </w:r>
          </w:p>
        </w:tc>
        <w:tc>
          <w:tcPr>
            <w:tcW w:w="8744" w:type="dxa"/>
            <w:tcBorders/>
            <w:vAlign w:val="center"/>
          </w:tcPr>
          <w:p>
            <w:pPr>
              <w:pStyle w:val="TableContents"/>
              <w:bidi w:val="0"/>
              <w:spacing w:before="0" w:after="0"/>
              <w:ind w:left="0" w:right="0" w:hanging="0"/>
              <w:jc w:val="left"/>
              <w:rPr/>
            </w:pPr>
            <w:hyperlink w:anchor="item9">
              <w:r>
                <w:rPr>
                  <w:rStyle w:val="InternetLink"/>
                  <w:rFonts w:ascii="Times New Roman" w:hAnsi="Times New Roman"/>
                  <w:caps w:val="false"/>
                  <w:smallCaps w:val="false"/>
                  <w:sz w:val="20"/>
                  <w:u w:val="single"/>
                </w:rPr>
                <w:t>Changes in and Disagreements With Accountants on Accounting and Financial Disclosure</w:t>
              </w:r>
            </w:hyperlink>
          </w:p>
        </w:tc>
        <w:tc>
          <w:tcPr>
            <w:tcW w:w="441" w:type="dxa"/>
            <w:tcBorders/>
            <w:vAlign w:val="center"/>
          </w:tcPr>
          <w:p>
            <w:pPr>
              <w:pStyle w:val="TableContents"/>
              <w:bidi w:val="0"/>
              <w:spacing w:before="0" w:after="0"/>
              <w:ind w:left="0" w:right="0" w:hanging="0"/>
              <w:jc w:val="right"/>
              <w:rPr/>
            </w:pPr>
            <w:hyperlink w:anchor="item9">
              <w:r>
                <w:rPr>
                  <w:rStyle w:val="InternetLink"/>
                  <w:rFonts w:ascii="Times New Roman" w:hAnsi="Times New Roman"/>
                  <w:caps w:val="false"/>
                  <w:smallCaps w:val="false"/>
                  <w:sz w:val="20"/>
                </w:rPr>
                <w:t>115</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9A.</w:t>
            </w:r>
          </w:p>
        </w:tc>
        <w:tc>
          <w:tcPr>
            <w:tcW w:w="8744" w:type="dxa"/>
            <w:tcBorders/>
            <w:vAlign w:val="center"/>
          </w:tcPr>
          <w:p>
            <w:pPr>
              <w:pStyle w:val="TableContents"/>
              <w:bidi w:val="0"/>
              <w:spacing w:before="0" w:after="0"/>
              <w:ind w:left="0" w:right="0" w:hanging="0"/>
              <w:jc w:val="left"/>
              <w:rPr/>
            </w:pPr>
            <w:hyperlink w:anchor="item9a">
              <w:r>
                <w:rPr>
                  <w:rStyle w:val="InternetLink"/>
                  <w:rFonts w:ascii="Times New Roman" w:hAnsi="Times New Roman"/>
                  <w:caps w:val="false"/>
                  <w:smallCaps w:val="false"/>
                  <w:sz w:val="20"/>
                  <w:u w:val="single"/>
                </w:rPr>
                <w:t>Controls and Procedures</w:t>
              </w:r>
            </w:hyperlink>
          </w:p>
        </w:tc>
        <w:tc>
          <w:tcPr>
            <w:tcW w:w="441" w:type="dxa"/>
            <w:tcBorders/>
            <w:vAlign w:val="center"/>
          </w:tcPr>
          <w:p>
            <w:pPr>
              <w:pStyle w:val="TableContents"/>
              <w:bidi w:val="0"/>
              <w:spacing w:before="0" w:after="0"/>
              <w:ind w:left="0" w:right="0" w:hanging="0"/>
              <w:jc w:val="right"/>
              <w:rPr/>
            </w:pPr>
            <w:hyperlink w:anchor="item9a">
              <w:r>
                <w:rPr>
                  <w:rStyle w:val="InternetLink"/>
                  <w:rFonts w:ascii="Times New Roman" w:hAnsi="Times New Roman"/>
                  <w:caps w:val="false"/>
                  <w:smallCaps w:val="false"/>
                  <w:sz w:val="20"/>
                </w:rPr>
                <w:t>115</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9B.</w:t>
            </w:r>
          </w:p>
        </w:tc>
        <w:tc>
          <w:tcPr>
            <w:tcW w:w="8744" w:type="dxa"/>
            <w:tcBorders/>
            <w:vAlign w:val="center"/>
          </w:tcPr>
          <w:p>
            <w:pPr>
              <w:pStyle w:val="TableContents"/>
              <w:bidi w:val="0"/>
              <w:spacing w:before="0" w:after="0"/>
              <w:ind w:left="0" w:right="0" w:hanging="0"/>
              <w:jc w:val="left"/>
              <w:rPr/>
            </w:pPr>
            <w:hyperlink w:anchor="item9b">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0"/>
              <w:ind w:left="0" w:right="0" w:hanging="0"/>
              <w:jc w:val="right"/>
              <w:rPr/>
            </w:pPr>
            <w:hyperlink w:anchor="item9b">
              <w:r>
                <w:rPr>
                  <w:rStyle w:val="InternetLink"/>
                  <w:rFonts w:ascii="Times New Roman" w:hAnsi="Times New Roman"/>
                  <w:caps w:val="false"/>
                  <w:smallCaps w:val="false"/>
                  <w:sz w:val="20"/>
                </w:rPr>
                <w:t>116</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9C.</w:t>
            </w:r>
          </w:p>
        </w:tc>
        <w:tc>
          <w:tcPr>
            <w:tcW w:w="8744" w:type="dxa"/>
            <w:tcBorders/>
            <w:vAlign w:val="center"/>
          </w:tcPr>
          <w:p>
            <w:pPr>
              <w:pStyle w:val="TableContents"/>
              <w:bidi w:val="0"/>
              <w:spacing w:before="0" w:after="0"/>
              <w:ind w:left="0" w:right="0" w:hanging="0"/>
              <w:jc w:val="left"/>
              <w:rPr/>
            </w:pPr>
            <w:hyperlink w:anchor="item9c">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0"/>
              <w:ind w:left="0" w:right="0" w:hanging="0"/>
              <w:jc w:val="right"/>
              <w:rPr/>
            </w:pPr>
            <w:hyperlink w:anchor="item9c">
              <w:r>
                <w:rPr>
                  <w:rStyle w:val="InternetLink"/>
                  <w:rFonts w:ascii="Times New Roman" w:hAnsi="Times New Roman"/>
                  <w:caps w:val="false"/>
                  <w:smallCaps w:val="false"/>
                  <w:sz w:val="20"/>
                </w:rPr>
                <w:t>116</w:t>
              </w:r>
            </w:hyperlink>
          </w:p>
        </w:tc>
      </w:tr>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III</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10.</w:t>
            </w:r>
          </w:p>
        </w:tc>
        <w:tc>
          <w:tcPr>
            <w:tcW w:w="8744" w:type="dxa"/>
            <w:tcBorders/>
            <w:vAlign w:val="center"/>
          </w:tcPr>
          <w:p>
            <w:pPr>
              <w:pStyle w:val="TableContents"/>
              <w:bidi w:val="0"/>
              <w:spacing w:before="0" w:after="0"/>
              <w:ind w:left="0" w:right="0" w:hanging="0"/>
              <w:jc w:val="left"/>
              <w:rPr/>
            </w:pPr>
            <w:hyperlink w:anchor="item10">
              <w:r>
                <w:rPr>
                  <w:rStyle w:val="InternetLink"/>
                  <w:rFonts w:ascii="Times New Roman" w:hAnsi="Times New Roman"/>
                  <w:caps w:val="false"/>
                  <w:smallCaps w:val="false"/>
                  <w:sz w:val="20"/>
                  <w:u w:val="single"/>
                </w:rPr>
                <w:t>Directors, Executive Officers and Corporate Governance</w:t>
              </w:r>
            </w:hyperlink>
          </w:p>
        </w:tc>
        <w:tc>
          <w:tcPr>
            <w:tcW w:w="441" w:type="dxa"/>
            <w:tcBorders/>
            <w:vAlign w:val="center"/>
          </w:tcPr>
          <w:p>
            <w:pPr>
              <w:pStyle w:val="TableContents"/>
              <w:bidi w:val="0"/>
              <w:spacing w:before="0" w:after="0"/>
              <w:ind w:left="0" w:right="0" w:hanging="0"/>
              <w:jc w:val="right"/>
              <w:rPr/>
            </w:pPr>
            <w:hyperlink w:anchor="item10">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11.</w:t>
            </w:r>
          </w:p>
        </w:tc>
        <w:tc>
          <w:tcPr>
            <w:tcW w:w="8744" w:type="dxa"/>
            <w:tcBorders/>
            <w:vAlign w:val="center"/>
          </w:tcPr>
          <w:p>
            <w:pPr>
              <w:pStyle w:val="TableContents"/>
              <w:bidi w:val="0"/>
              <w:spacing w:before="0" w:after="0"/>
              <w:ind w:left="0" w:right="0" w:hanging="0"/>
              <w:jc w:val="left"/>
              <w:rPr/>
            </w:pPr>
            <w:hyperlink w:anchor="item11">
              <w:r>
                <w:rPr>
                  <w:rStyle w:val="InternetLink"/>
                  <w:rFonts w:ascii="Times New Roman" w:hAnsi="Times New Roman"/>
                  <w:caps w:val="false"/>
                  <w:smallCaps w:val="false"/>
                  <w:sz w:val="20"/>
                  <w:u w:val="single"/>
                </w:rPr>
                <w:t>Executive Compensation</w:t>
              </w:r>
            </w:hyperlink>
          </w:p>
        </w:tc>
        <w:tc>
          <w:tcPr>
            <w:tcW w:w="441" w:type="dxa"/>
            <w:tcBorders/>
            <w:vAlign w:val="center"/>
          </w:tcPr>
          <w:p>
            <w:pPr>
              <w:pStyle w:val="TableContents"/>
              <w:bidi w:val="0"/>
              <w:spacing w:before="0" w:after="0"/>
              <w:ind w:left="0" w:right="0" w:hanging="0"/>
              <w:jc w:val="right"/>
              <w:rPr/>
            </w:pPr>
            <w:hyperlink w:anchor="item11">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12.</w:t>
            </w:r>
          </w:p>
        </w:tc>
        <w:tc>
          <w:tcPr>
            <w:tcW w:w="8744" w:type="dxa"/>
            <w:tcBorders/>
            <w:vAlign w:val="center"/>
          </w:tcPr>
          <w:p>
            <w:pPr>
              <w:pStyle w:val="TableContents"/>
              <w:bidi w:val="0"/>
              <w:spacing w:before="0" w:after="0"/>
              <w:ind w:left="0" w:right="0" w:hanging="0"/>
              <w:jc w:val="left"/>
              <w:rPr/>
            </w:pPr>
            <w:hyperlink w:anchor="item12">
              <w:r>
                <w:rPr>
                  <w:rStyle w:val="InternetLink"/>
                  <w:rFonts w:ascii="Times New Roman" w:hAnsi="Times New Roman"/>
                  <w:caps w:val="false"/>
                  <w:smallCaps w:val="false"/>
                  <w:sz w:val="20"/>
                  <w:u w:val="single"/>
                </w:rPr>
                <w:t>Security Ownership of Certain Beneficial Owners and Management and Related Stockholder Matters</w:t>
              </w:r>
            </w:hyperlink>
          </w:p>
        </w:tc>
        <w:tc>
          <w:tcPr>
            <w:tcW w:w="441" w:type="dxa"/>
            <w:tcBorders/>
            <w:vAlign w:val="center"/>
          </w:tcPr>
          <w:p>
            <w:pPr>
              <w:pStyle w:val="TableContents"/>
              <w:bidi w:val="0"/>
              <w:spacing w:before="0" w:after="0"/>
              <w:ind w:left="0" w:right="0" w:hanging="0"/>
              <w:jc w:val="right"/>
              <w:rPr/>
            </w:pPr>
            <w:hyperlink w:anchor="item12">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13.</w:t>
            </w:r>
          </w:p>
        </w:tc>
        <w:tc>
          <w:tcPr>
            <w:tcW w:w="8744" w:type="dxa"/>
            <w:tcBorders/>
            <w:vAlign w:val="center"/>
          </w:tcPr>
          <w:p>
            <w:pPr>
              <w:pStyle w:val="TableContents"/>
              <w:bidi w:val="0"/>
              <w:spacing w:before="0" w:after="0"/>
              <w:ind w:left="0" w:right="0" w:hanging="0"/>
              <w:jc w:val="left"/>
              <w:rPr/>
            </w:pPr>
            <w:hyperlink w:anchor="item13">
              <w:r>
                <w:rPr>
                  <w:rStyle w:val="InternetLink"/>
                  <w:rFonts w:ascii="Times New Roman" w:hAnsi="Times New Roman"/>
                  <w:caps w:val="false"/>
                  <w:smallCaps w:val="false"/>
                  <w:sz w:val="20"/>
                  <w:u w:val="single"/>
                </w:rPr>
                <w:t>Certain Relationships and Related Transactions, and Director Independence</w:t>
              </w:r>
            </w:hyperlink>
          </w:p>
        </w:tc>
        <w:tc>
          <w:tcPr>
            <w:tcW w:w="441" w:type="dxa"/>
            <w:tcBorders/>
            <w:vAlign w:val="center"/>
          </w:tcPr>
          <w:p>
            <w:pPr>
              <w:pStyle w:val="TableContents"/>
              <w:bidi w:val="0"/>
              <w:spacing w:before="0" w:after="0"/>
              <w:ind w:left="0" w:right="0" w:hanging="0"/>
              <w:jc w:val="right"/>
              <w:rPr/>
            </w:pPr>
            <w:hyperlink w:anchor="item13">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14.</w:t>
            </w:r>
          </w:p>
        </w:tc>
        <w:tc>
          <w:tcPr>
            <w:tcW w:w="8744" w:type="dxa"/>
            <w:tcBorders/>
            <w:vAlign w:val="center"/>
          </w:tcPr>
          <w:p>
            <w:pPr>
              <w:pStyle w:val="TableContents"/>
              <w:bidi w:val="0"/>
              <w:spacing w:before="0" w:after="0"/>
              <w:ind w:left="0" w:right="0" w:hanging="0"/>
              <w:jc w:val="left"/>
              <w:rPr/>
            </w:pPr>
            <w:hyperlink w:anchor="item14">
              <w:r>
                <w:rPr>
                  <w:rStyle w:val="InternetLink"/>
                  <w:rFonts w:ascii="Times New Roman" w:hAnsi="Times New Roman"/>
                  <w:caps w:val="false"/>
                  <w:smallCaps w:val="false"/>
                  <w:sz w:val="20"/>
                  <w:u w:val="single"/>
                </w:rPr>
                <w:t>Principal Accounting Fees and Services</w:t>
              </w:r>
            </w:hyperlink>
          </w:p>
        </w:tc>
        <w:tc>
          <w:tcPr>
            <w:tcW w:w="441" w:type="dxa"/>
            <w:tcBorders/>
            <w:vAlign w:val="center"/>
          </w:tcPr>
          <w:p>
            <w:pPr>
              <w:pStyle w:val="TableContents"/>
              <w:bidi w:val="0"/>
              <w:spacing w:before="0" w:after="0"/>
              <w:ind w:left="0" w:right="0" w:hanging="0"/>
              <w:jc w:val="right"/>
              <w:rPr/>
            </w:pPr>
            <w:hyperlink w:anchor="item14">
              <w:r>
                <w:rPr>
                  <w:rStyle w:val="InternetLink"/>
                  <w:rFonts w:ascii="Times New Roman" w:hAnsi="Times New Roman"/>
                  <w:caps w:val="false"/>
                  <w:smallCaps w:val="false"/>
                  <w:sz w:val="20"/>
                </w:rPr>
                <w:t>117</w:t>
              </w:r>
            </w:hyperlink>
          </w:p>
        </w:tc>
      </w:tr>
      <w:tr>
        <w:trPr/>
        <w:tc>
          <w:tcPr>
            <w:tcW w:w="1020" w:type="dxa"/>
            <w:tcBorders/>
            <w:vAlign w:val="center"/>
          </w:tcPr>
          <w:p>
            <w:pPr>
              <w:pStyle w:val="TableContents"/>
              <w:bidi w:val="0"/>
              <w:spacing w:before="0" w:after="283"/>
              <w:jc w:val="left"/>
              <w:rPr/>
            </w:pPr>
            <w:r>
              <w:rPr/>
              <w:t> </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IV</w:t>
            </w:r>
          </w:p>
        </w:tc>
        <w:tc>
          <w:tcPr>
            <w:tcW w:w="874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15.</w:t>
            </w:r>
          </w:p>
        </w:tc>
        <w:tc>
          <w:tcPr>
            <w:tcW w:w="8744" w:type="dxa"/>
            <w:tcBorders/>
            <w:vAlign w:val="center"/>
          </w:tcPr>
          <w:p>
            <w:pPr>
              <w:pStyle w:val="TableContents"/>
              <w:bidi w:val="0"/>
              <w:spacing w:before="0" w:after="0"/>
              <w:ind w:left="0" w:right="0" w:hanging="0"/>
              <w:jc w:val="left"/>
              <w:rPr/>
            </w:pPr>
            <w:hyperlink w:anchor="item15">
              <w:r>
                <w:rPr>
                  <w:rStyle w:val="InternetLink"/>
                  <w:rFonts w:ascii="Times New Roman" w:hAnsi="Times New Roman"/>
                  <w:caps w:val="false"/>
                  <w:smallCaps w:val="false"/>
                  <w:sz w:val="20"/>
                  <w:u w:val="single"/>
                </w:rPr>
                <w:t>Exhibits, Financial Statement Schedules</w:t>
              </w:r>
            </w:hyperlink>
          </w:p>
        </w:tc>
        <w:tc>
          <w:tcPr>
            <w:tcW w:w="441" w:type="dxa"/>
            <w:tcBorders/>
            <w:vAlign w:val="center"/>
          </w:tcPr>
          <w:p>
            <w:pPr>
              <w:pStyle w:val="TableContents"/>
              <w:bidi w:val="0"/>
              <w:spacing w:before="0" w:after="0"/>
              <w:ind w:left="0" w:right="0" w:hanging="0"/>
              <w:jc w:val="right"/>
              <w:rPr/>
            </w:pPr>
            <w:hyperlink w:anchor="item15">
              <w:r>
                <w:rPr>
                  <w:rStyle w:val="InternetLink"/>
                  <w:rFonts w:ascii="Times New Roman" w:hAnsi="Times New Roman"/>
                  <w:caps w:val="false"/>
                  <w:smallCaps w:val="false"/>
                  <w:sz w:val="20"/>
                </w:rPr>
                <w:t>118</w:t>
              </w:r>
            </w:hyperlink>
          </w:p>
        </w:tc>
      </w:tr>
      <w:tr>
        <w:trPr/>
        <w:tc>
          <w:tcPr>
            <w:tcW w:w="1020" w:type="dxa"/>
            <w:tcBorders/>
            <w:vAlign w:val="center"/>
          </w:tcPr>
          <w:p>
            <w:pPr>
              <w:pStyle w:val="TableContents"/>
              <w:bidi w:val="0"/>
              <w:spacing w:before="0" w:after="0"/>
              <w:ind w:left="140" w:right="0" w:hanging="0"/>
              <w:jc w:val="left"/>
              <w:rPr>
                <w:rFonts w:ascii="Times New Roman" w:hAnsi="Times New Roman"/>
                <w:caps w:val="false"/>
                <w:smallCaps w:val="false"/>
                <w:sz w:val="20"/>
              </w:rPr>
            </w:pPr>
            <w:r>
              <w:rPr>
                <w:rFonts w:ascii="Times New Roman" w:hAnsi="Times New Roman"/>
                <w:caps w:val="false"/>
                <w:smallCaps w:val="false"/>
                <w:sz w:val="20"/>
              </w:rPr>
              <w:t>Item 16.</w:t>
            </w:r>
          </w:p>
        </w:tc>
        <w:tc>
          <w:tcPr>
            <w:tcW w:w="8744" w:type="dxa"/>
            <w:tcBorders/>
            <w:vAlign w:val="center"/>
          </w:tcPr>
          <w:p>
            <w:pPr>
              <w:pStyle w:val="TableContents"/>
              <w:bidi w:val="0"/>
              <w:spacing w:before="0" w:after="0"/>
              <w:ind w:left="0" w:right="0" w:hanging="0"/>
              <w:jc w:val="left"/>
              <w:rPr/>
            </w:pPr>
            <w:hyperlink w:anchor="item16">
              <w:r>
                <w:rPr>
                  <w:rStyle w:val="InternetLink"/>
                  <w:rFonts w:ascii="Times New Roman" w:hAnsi="Times New Roman"/>
                  <w:caps w:val="false"/>
                  <w:smallCaps w:val="false"/>
                  <w:sz w:val="20"/>
                  <w:u w:val="single"/>
                </w:rPr>
                <w:t>Form 10-K Summary</w:t>
              </w:r>
            </w:hyperlink>
          </w:p>
        </w:tc>
        <w:tc>
          <w:tcPr>
            <w:tcW w:w="441" w:type="dxa"/>
            <w:tcBorders/>
            <w:vAlign w:val="center"/>
          </w:tcPr>
          <w:p>
            <w:pPr>
              <w:pStyle w:val="TableContents"/>
              <w:bidi w:val="0"/>
              <w:spacing w:before="0" w:after="0"/>
              <w:ind w:left="0" w:right="0" w:hanging="0"/>
              <w:jc w:val="right"/>
              <w:rPr/>
            </w:pPr>
            <w:hyperlink w:anchor="item16">
              <w:r>
                <w:rPr>
                  <w:rStyle w:val="InternetLink"/>
                  <w:rFonts w:ascii="Times New Roman" w:hAnsi="Times New Roman"/>
                  <w:caps w:val="false"/>
                  <w:smallCaps w:val="false"/>
                  <w:sz w:val="20"/>
                </w:rPr>
                <w:t>122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Annual Report on Form 10-K, “we,” “our,” “us,” “Tilray,” and the “Company” refer to Tilray Brands,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parti"/>
      <w:bookmarkEnd w:id="2"/>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Cautionary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Annual Report on Form 10-K for the fiscal year ended</w:t>
      </w:r>
      <w:r>
        <w:rPr>
          <w:rFonts w:ascii="Times New Roman" w:hAnsi="Times New Roman"/>
          <w:caps w:val="false"/>
          <w:smallCaps w:val="false"/>
          <w:sz w:val="20"/>
        </w:rPr>
        <w:t> </w:t>
      </w:r>
      <w:r>
        <w:rPr>
          <w:rFonts w:ascii="Times New Roman" w:hAnsi="Times New Roman"/>
          <w:i/>
          <w:caps w:val="false"/>
          <w:smallCaps w:val="false"/>
          <w:sz w:val="20"/>
        </w:rPr>
        <w:t xml:space="preserve">May 31, 2026 (the </w:t>
      </w:r>
      <w:r>
        <w:rPr>
          <w:rFonts w:ascii="Times New Roman" w:hAnsi="Times New Roman"/>
          <w:caps w:val="false"/>
          <w:smallCaps w:val="false"/>
          <w:sz w:val="20"/>
        </w:rPr>
        <w:t>“</w:t>
      </w:r>
      <w:r>
        <w:rPr>
          <w:rFonts w:ascii="Times New Roman" w:hAnsi="Times New Roman"/>
          <w:i/>
          <w:caps w:val="false"/>
          <w:smallCaps w:val="false"/>
          <w:sz w:val="20"/>
        </w:rPr>
        <w:t>Form 10-K</w:t>
      </w:r>
      <w:r>
        <w:rPr>
          <w:rFonts w:ascii="Times New Roman" w:hAnsi="Times New Roman"/>
          <w:caps w:val="false"/>
          <w:smallCaps w:val="false"/>
          <w:sz w:val="20"/>
        </w:rPr>
        <w:t>”</w:t>
      </w:r>
      <w:r>
        <w:rPr>
          <w:rFonts w:ascii="Times New Roman" w:hAnsi="Times New Roman"/>
          <w:i/>
          <w:caps w:val="false"/>
          <w:smallCaps w:val="false"/>
          <w:sz w:val="20"/>
        </w:rPr>
        <w:t xml:space="preserve">) contains forward-looking statements under Canadian securities laws and within the meaning of Section 27A of the Securities Act of 1933, as amended, and Section 21E of the Securities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w:t>
      </w:r>
      <w:r>
        <w:rPr>
          <w:rFonts w:ascii="Times New Roman" w:hAnsi="Times New Roman"/>
          <w:caps w:val="false"/>
          <w:smallCaps w:val="false"/>
          <w:sz w:val="20"/>
        </w:rPr>
        <w:t> </w:t>
      </w:r>
      <w:r>
        <w:rPr>
          <w:rFonts w:ascii="Times New Roman" w:hAnsi="Times New Roman"/>
          <w:i/>
          <w:caps w:val="false"/>
          <w:smallCaps w:val="false"/>
          <w:sz w:val="20"/>
        </w:rPr>
        <w:t xml:space="preserve">under the Canadian securities laws and within the meaning of Section 27A of the Securities Act of 1933, as amended, and Section 21E of the Exchange Act, that are intended to be subject to the </w:t>
      </w:r>
      <w:r>
        <w:rPr>
          <w:rFonts w:ascii="Times New Roman" w:hAnsi="Times New Roman"/>
          <w:caps w:val="false"/>
          <w:smallCaps w:val="false"/>
          <w:sz w:val="20"/>
        </w:rPr>
        <w:t>“</w:t>
      </w:r>
      <w:r>
        <w:rPr>
          <w:rFonts w:ascii="Times New Roman" w:hAnsi="Times New Roman"/>
          <w:i/>
          <w:caps w:val="false"/>
          <w:smallCaps w:val="false"/>
          <w:sz w:val="20"/>
        </w:rPr>
        <w:t>safe harbor</w:t>
      </w:r>
      <w:r>
        <w:rPr>
          <w:rFonts w:ascii="Times New Roman" w:hAnsi="Times New Roman"/>
          <w:caps w:val="false"/>
          <w:smallCaps w:val="false"/>
          <w:sz w:val="20"/>
        </w:rPr>
        <w:t xml:space="preserve">” </w:t>
      </w:r>
      <w:r>
        <w:rPr>
          <w:rFonts w:ascii="Times New Roman" w:hAnsi="Times New Roman"/>
          <w:i/>
          <w:caps w:val="false"/>
          <w:smallCaps w:val="false"/>
          <w:sz w:val="20"/>
        </w:rPr>
        <w:t>created by those sections and other applicable laws.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words </w:t>
      </w:r>
      <w:r>
        <w:rPr>
          <w:rFonts w:ascii="Times New Roman" w:hAnsi="Times New Roman"/>
          <w:caps w:val="false"/>
          <w:smallCaps w:val="false"/>
          <w:sz w:val="20"/>
        </w:rPr>
        <w:t>“</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might,</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should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regarding our cost savings initiatives; our strategic initiatives, business strategy, supply chain, brand portfolio, product performance and expansion efforts; current or future macroeconomic trends and industry or regulatory trends; our statements regarding the consolidation of the Canadian cannabis industry; future corporate acquisitions and strategic transactions; and our synergies, cash savings and efficiencies anticipated from the integration of our completed acquisitions and strategic transactions.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Risks and uncertainties that may cause actual results to differ materially from forward-looking statements include, but are not limited to, those identified in this Form 10-K and those discussed in the sections titled </w:t>
      </w:r>
      <w:r>
        <w:rPr>
          <w:rFonts w:ascii="Times New Roman" w:hAnsi="Times New Roman"/>
          <w:caps w:val="false"/>
          <w:smallCaps w:val="false"/>
          <w:sz w:val="20"/>
        </w:rPr>
        <w:t>“</w:t>
      </w:r>
      <w:r>
        <w:rPr>
          <w:rFonts w:ascii="Times New Roman" w:hAnsi="Times New Roman"/>
          <w:i/>
          <w:caps w:val="false"/>
          <w:smallCaps w:val="false"/>
          <w:sz w:val="20"/>
        </w:rPr>
        <w:t>Risk Factor Summary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set forth below,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set forth in Part I, Item 1A of this Form 10-K, and</w:t>
      </w:r>
      <w:r>
        <w:rPr>
          <w:rFonts w:ascii="Times New Roman" w:hAnsi="Times New Roman"/>
          <w:caps w:val="false"/>
          <w:smallCaps w:val="false"/>
          <w:sz w:val="20"/>
        </w:rPr>
        <w:t> </w:t>
      </w:r>
      <w:r>
        <w:rPr>
          <w:rFonts w:ascii="Times New Roman" w:hAnsi="Times New Roman"/>
          <w:i/>
          <w:caps w:val="false"/>
          <w:smallCaps w:val="false"/>
          <w:sz w:val="20"/>
        </w:rPr>
        <w:t xml:space="preserve">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w:t>
      </w:r>
      <w:r>
        <w:rPr>
          <w:rFonts w:ascii="Times New Roman" w:hAnsi="Times New Roman"/>
          <w:caps w:val="false"/>
          <w:smallCaps w:val="false"/>
          <w:sz w:val="20"/>
        </w:rPr>
        <w:t xml:space="preserve">” </w:t>
      </w:r>
      <w:r>
        <w:rPr>
          <w:rFonts w:ascii="Times New Roman" w:hAnsi="Times New Roman"/>
          <w:i/>
          <w:caps w:val="false"/>
          <w:smallCaps w:val="false"/>
          <w:sz w:val="20"/>
        </w:rPr>
        <w:t>set forth in Part II, Item 7 of this Form 10-K, as well as our other filings made from time to time with the U.S. Securities and Exchange Commission and in our Canadian securities filings.</w:t>
      </w:r>
      <w:r>
        <w:rPr>
          <w:rFonts w:ascii="Times New Roman" w:hAnsi="Times New Roman"/>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Forward looking statements are based on information available to us as of the date of this Form 10-K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We undertake no obligation to update forward-looking statements to reflect actual results or changes in assumptions or circumstances, except as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Risk Factor 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The following summarizes material factors that make an investment in our securities speculative or risky. This summary does not address all risks we face. See “</w:t>
      </w:r>
      <w:r>
        <w:rPr>
          <w:rFonts w:ascii="Times New Roman" w:hAnsi="Times New Roman"/>
          <w:i/>
          <w:caps w:val="false"/>
          <w:smallCaps w:val="false"/>
          <w:sz w:val="20"/>
        </w:rPr>
        <w:t>Item 1A—Risk Factors</w:t>
      </w:r>
      <w:r>
        <w:rPr>
          <w:rFonts w:ascii="Times New Roman" w:hAnsi="Times New Roman"/>
          <w:caps w:val="false"/>
          <w:smallCaps w:val="false"/>
          <w:sz w:val="20"/>
        </w:rPr>
        <w:t>” for a more complete discussion.</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We may not realize anticipated benefits from acquisitions, including our craft beverage and BrewDog-related transactions, and may face integration challenges and operational disruption.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Our business is highly dependent on maintaining regulatory approvals, licenses and permits across multiple jurisdictions, and changes in cannabis, hemp or other applicable laws—including in the United States—could materially adversely affect our operations and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Evolving international regulations, including import/export restrictions and delays, may limit our ability to expand and operate globally.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We face significant competition across our cannabis and beverage businesses, including from illicit market participants and large, well-capitalized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Our beverage business is subject to changing consumer preferences, reliance on third-party distributors, and strong competitive pressures that could reduce sales and margins.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Our operations depend on key facilities, supply chains and agricultural production, which are subject to risks such as natural disasters, crop failure, supply disruption, and increases in input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Our products may be subject to recalls, contamination, product liability claims, or adverse health effects, and negative publicity may harm consumer demand and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We are subject to litigation, regulatory enforcement, and health, safety and environmental laws that could result in significant costs, liabilities and operational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Cybersecurity incidents, information technology failures, or data privacy breaches could disrupt operations, result in financial losses, and expose us to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Our success depends on our ability to attract and retain key personnel, manage labor costs, and avoid workforce disruptions.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We have a history of net losses and may not achieve or maintain profitability; we may also be unable to access capital, service debt, or comply with financial covenants.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Macroeconomic conditions, inflation, tariffs, foreign exchange fluctuations, and geopolitical instability may adversely affect our business,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We face risks related to internal controls, tax and accounting matters, and may incur impairments of goodwill and other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price of our common stock is highly volatile, and our capital structure, including convertible securities and future equity issuances, may result in dilution or limit our strategic flexibility.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risks include limitations on protecting our intellectual property, reliance on insurance and self-insurance, costs of being a public company, governance provisions that may limit change-of-control transactions, and emerging risks such as our cryptocurrency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item1"/>
      <w:bookmarkEnd w:id="3"/>
      <w:r>
        <w:rPr>
          <w:rFonts w:ascii="Times New Roman" w:hAnsi="Times New Roman"/>
          <w:b/>
          <w:caps w:val="false"/>
          <w:smallCaps w:val="false"/>
          <w:sz w:val="20"/>
        </w:rPr>
        <w:t xml:space="preserve">Item 1.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Our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wellness, while creating memorable experiences that bring people together.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2022, we changed our name from Tilray, Inc. to Tilray Brands, Inc, in order to reflect our consumer/patient-focused approach to sustainably growing our businesses by building brand equity and consumer/patient loyalty through the delivery of high-quality products under brands that emotionally connect with and are trusted by consumers/patients worldwide. Today, our portfolio includes some of the most well-known and beloved brands in their respective industries and markets including SweetWater Brewing, Montauk Brewing, BrewDog, Shock Top, 10 Barrell, Breckenridge Brewery, Blue Point Brewing, Breckenridge Distillery, Revolver, Terrapin, Broken Coast, Good Supply, Redecan, Solei, Tilray, ARX, XMG, Manitoba Harvest and Hi-Ball. In the U.S., we are the 4th largest craft brewer. In Canada, we continued to lead the Canadian cannabis market with the highest cannabis revenue in Canada. Our Manitoba Harvest business is a leader in the hemp-based food category in the U.S. Outside of North America, we have provided high-quality, consistent medical cannabis products to patients in over 20 countries spanning five continents through our global subsidiaries, and through agreements with established distributors. In our fiscal year ended May 31, 2026, we expanded our beverage platform from a North American business into a global platform with our acquisition of BrewDog, the only global craft beer brand, enhancing our global brewing presence and supporting the broader distribution of our beverage brands across key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Our Strategy and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overall strategy is to leverage our brands, infrastructure, expertise and capabilities to drive revenue growth in the industries and channels in which we compete, achieve industry-leading, profitability and build sustainable, long-term shareholder value. In order to ensure the long-term sustainable growth of our Company, we continue to focus on developing strong capabilities in data analytics and consumer insights to drive category management leadership and assess opportunities for the introduction of new categories, products and entries into new geographies. In addition, we are relentlessly focused on managing our cost structure and expenses in order to expand margins and maintain our strong financial position. Finally, our experienced leadership team provides a strong foundation to accelerate our growth. Our management team is complemented by experienced operators, cannabis industry experts, veteran beer and beverage industry specialists and leaders that are well-established in wellness foods, all of whom apply an innovative and consumer-centric approach to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achieve our vision of building the leading global lifestyle consumer products company that is leading as a transformative force at the nexus of cannabis, beverage, wellness, and entertainment, elevating lives through moments of connection, we are focused on achieving profitable, sustainable growth across all our segments, while leveraging our infrastructure and team to execute against the following strategies: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Build global brands that lead in their respective industries by winning the hearts and minds of our consumers</w:t>
            </w:r>
            <w:r>
              <w:rPr>
                <w:rFonts w:ascii="Times New Roman;Times;serif" w:hAnsi="Times New Roman;Times;serif"/>
                <w:caps w:val="false"/>
                <w:smallCaps w:val="false"/>
                <w:sz w:val="20"/>
              </w:rPr>
              <w:t>. We have a house of high-quality, consumer connected brands, which are beloved and trusted by our consumers. Through this extensive portfolio, we seek to continue to build loyalty and connections by providing our consumers with the experiences they crave and enhancing the occasions that bring them together, while delivering on with the value proposition they have come to expect.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Develop innovative products and form factors that change the way the world consumes cannabis.</w:t>
            </w:r>
            <w:r>
              <w:rPr>
                <w:rFonts w:ascii="Times New Roman;Times;serif" w:hAnsi="Times New Roman;Times;serif"/>
                <w:caps w:val="false"/>
                <w:smallCaps w:val="false"/>
                <w:sz w:val="20"/>
              </w:rPr>
              <w:t> In Canada, we produce, market and sell one of the most comprehensive portfolios of adult-use cannabis and medical form factors, including whole flower, pre-rolls, infused pre-rolls, vapes, topicals, edibles (gummies and chocolates) and beverages. We plan to continue to leverage consumer insights and data analytics to continue to develop innovative products that possess the most consumer demand and are truly differentiated from our competitors, while optimizing our cultivation and production facilities. Internationally, we distribute medical cannabis products to patients across multiple markets, including Germany, Portugal, the United Kingdom, Australia, and other jurisdictions where we hold the necessary regulatory approvals and licenses. We will continue to invest in research, education and drug development in order to continue to provide our patients and consumers with a differentiated portfolio of products that exceeds their expectations and meets their needs, driven by research and patient insights.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Grow and leverage our investment in beverage and hemp-based food</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Within the U.S., our strategic acquisitions of beverage businesses are the cornerstone of our longer-term U.S. strategy and an important step towards achieving our vision to lead as a transformative force at the nexus of cannabis, beverage, wellness, and entertainment, elevating lives through moments of connection. This diversification strategy not only provides us with a platform and infrastructure to enable us to access the U.S. market more quickly in the event of federal legalization, but also in advance of any federal legalization, a purposefully-built platform where we are focused on leading the beer, beverage and spirits segments, including building our ever-growing beverage portfolio by bringing new consumers into the segment, focusing on new product development and driving innovation that delights our consumers while expanding brand awareness. In March 2026, Tilray completed a series of acquisitions of certain business operations and assets from BrewDog plc and its subsidiaries, consisting of brewing and distilling operations, brewpubs and hospitality venues across the United Kingdom, Australia, and the United States as well as the worldwide rights to all of the intellectual property utilized in the business (the “BrewDog Acquisition”). In addition to driving growth in our beverage businesses, we also seek to drive growth in our Tilray Wellness platform, which currently consists of our Manitoba Harvest brand and other hemp-based foods and ingredients products. We are focused on consumer insights and consumer marketing activities, new product development, as well as educating the consumer on the benefits from hemp-based foods. Lastly, in the event of federal legalization in the U.S., we expect to be well-positioned to compete in the U.S. adult-use cannabis market given our portfolio of strong brands and distribution system in addition to our track record of growth in consumer-packaged goods and cannabis products. Until federal legalization, we intend to continue to diversify and grow our businesses while maximizing their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Expand the availability of high quality, consistent medical cannabis products for patients around the world, wherever it is legal.</w:t>
            </w:r>
            <w:r>
              <w:rPr>
                <w:rFonts w:ascii="Times New Roman;Times;serif" w:hAnsi="Times New Roman;Times;serif"/>
                <w:caps w:val="false"/>
                <w:smallCaps w:val="false"/>
                <w:sz w:val="20"/>
              </w:rPr>
              <w:t> Since 2014, we have seen an increase in the demand for medical cannabis from patients, doctors and governments in conjunction with a shift in the medical community, which is increasingly recognizing medical cannabis as a viable option for the treatment of patients suffering from a variety of health conditions. We are focused on driving the availability of high-quality medical cannabis that is accessible to all who need it. Internationally, we have made significant investments in our operations within Europe and we are well-positioned to pursue international growth opportunities with our strong medical cannabis brands, distribution network in Germany with CC Pharma, and end-to-end European Union Good Manufacturing Practices (“EU-GMP”) supply chain, which includes EU-GMP production facilities in Portugal and Germany. We intend to continue to maximize the utilization of our existing assets and investments in connection with the development and execution of our international growth plans, while leveraging our cannabis expertise and well-established medical brands as well as our Canadian brands. Through our well-positioned cultivation facilities in Canada, Portugal and Germany, we intend to fuel the demand for our EU-GMP certified medical grade cannabis internationally. Furthermore, in April 2026, the U.S. Department of Justice issued an order rescheduling FDA</w:t>
              <w:noBreakHyphen/>
              <w:t>approved cannabis products and state</w:t>
              <w:noBreakHyphen/>
              <w:t>licensed medical cannabis from Schedule I to Schedule III under the Controlled Substances Act. Concurrently, the Drug Enforcement Administration (“DEA”) is conducting an expedited administrative hearing to consider broader rescheduling, which faces legal challenges in the D.C. Circuit Court of Appeals. As a global leader in medical cannabis, we believe we are well-positioned to participate in a federally compliant U.S. medical cannabis market but we are monitoring the regulatory landscape and legal challenges that are ongoing.</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Optimize and drive efficiencies in our global operations with a relentless focus on cost reduction and cash generation.</w:t>
            </w:r>
            <w:r>
              <w:rPr>
                <w:rFonts w:ascii="Times New Roman;Times;serif" w:hAnsi="Times New Roman;Times;serif"/>
                <w:caps w:val="false"/>
                <w:smallCaps w:val="false"/>
                <w:sz w:val="20"/>
              </w:rPr>
              <w:t> In each of our pillars, we continuously evaluate our cost structure for efficiencies and synergies and eliminate cost when warranted. In cannabis, our state-of-the-art facilities are among the lowest cost production operations with the capabilities to produce a complete portfolio of form factors and products, including flower, pre-roll, capsules, vapes, edibles and beverages. In beverage, we are focused on integrating our recently acquired craft brands, improving our cost structure and scaling our international BrewDog business. This approach has permitted us to maintain a strong, flexible balance sheet, cash balance and access to capital, which we believe will assist us in accelerating growth and deliver long-term sustainable value for our stockholders.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Acquisitions and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executing our strategy as outlined above, during Fiscal 2026 we completed the following acquisitions and strategic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Carlsberg. </w:t>
      </w:r>
      <w:r>
        <w:rPr>
          <w:rFonts w:ascii="Times New Roman" w:hAnsi="Times New Roman"/>
          <w:caps w:val="false"/>
          <w:smallCaps w:val="false"/>
          <w:sz w:val="20"/>
        </w:rPr>
        <w:t>On February 5, 2026, we entered into an exclusive licensing agreement, which commences on January 1, 2027, with the Carlsberg Group, one of the world’s premier brewing organizations and among the largest globally by revenue. Under the terms of the agreement, Tilray has been granted a multi-year license to produce, market, sell and distribute Carlsberg®, Carlsberg Elephant®,1664®, and Kronenbourg 1664 Blanc® branded beers across all channels in the United States, beginning January 1, 2027. The agreement has an initial five-year term, with an automatic renewal for an additional five years subject to performance criteria. </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Panama.</w:t>
      </w:r>
      <w:r>
        <w:rPr>
          <w:rFonts w:ascii="Times New Roman" w:hAnsi="Times New Roman"/>
          <w:caps w:val="false"/>
          <w:smallCaps w:val="false"/>
          <w:sz w:val="20"/>
        </w:rPr>
        <w:t> On October 13, 2025, we entered into a strategic partnership for medical cannabis operations in Panama. Under this partnership, the Company holds a 25% equity interest in Solana Life Group, S. de R.L., a Panamanian entity. The joint venture is engaged in the importation, distribution, and commercialization of medical cannabis products in Panama. During the fiscal year ended May 31, 2026, there were no transactions with this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BrewDog.</w:t>
      </w:r>
      <w:r>
        <w:rPr>
          <w:rFonts w:ascii="Times New Roman" w:hAnsi="Times New Roman"/>
          <w:caps w:val="false"/>
          <w:smallCaps w:val="false"/>
          <w:sz w:val="20"/>
        </w:rPr>
        <w:t xml:space="preserve"> Between March and April 2026, Tilray completed the BrewDog Acquisition. As the only global craft beer brand, the BrewDog Acquisition served to transform our beverage platform from a U.S. platform to a global platform and provided us with the international presence, team and capabilities to support the broader distribution of our U.S. beverage brands across key international markets, all in line with our previously disclosed ambition.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Lyphe.</w:t>
      </w:r>
      <w:r>
        <w:rPr>
          <w:rFonts w:ascii="Times New Roman" w:hAnsi="Times New Roman"/>
          <w:caps w:val="false"/>
          <w:smallCaps w:val="false"/>
          <w:sz w:val="20"/>
        </w:rPr>
        <w:t xml:space="preserve"> On April 15 2026, Tilray acquired the Lyphe Group, a UK-based medical cannabis clinic and digital pharmacy platform (“Lyphe”). Through Lyphe’s online clinic and pharmacy platform, we will seek to enhance access to medical cannabis while accelerating its existing capabilities in dispensing traditional prescription medicines, creating a seamless, digitally enabled patient experience.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consists of four reporting segments, which are defined by the industry in which we compete, target consumers, route to market, and margins. This enables us to track and measure our performance and build processes for repeatable success in each of these categories. Our defined reporting segments align with how our Chief Operating Decision Maker (“CODM”), our CEO and Chairman of the Board, evaluates and manages our business, including resource allocation and performance assessment. We report our operating results in four reportable segments:</w:t>
      </w:r>
    </w:p>
    <w:p>
      <w:pPr>
        <w:pStyle w:val="TextBody"/>
        <w:bidi w:val="0"/>
        <w:spacing w:before="0" w:after="0"/>
        <w:ind w:left="0" w:right="0" w:firstLine="72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10"/>
        <w:gridCol w:w="46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Beverage</w:t>
            </w:r>
            <w:r>
              <w:rPr>
                <w:rFonts w:ascii="Times New Roman;Times;serif" w:hAnsi="Times New Roman;Times;serif"/>
                <w:caps w:val="false"/>
                <w:smallCaps w:val="false"/>
                <w:sz w:val="20"/>
              </w:rPr>
              <w:t> – Production, marketing and sale of beverages.</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60"/>
        <w:gridCol w:w="110"/>
        <w:gridCol w:w="8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Cannabis</w:t>
            </w:r>
            <w:r>
              <w:rPr>
                <w:rFonts w:ascii="Times New Roman;Times;serif" w:hAnsi="Times New Roman;Times;serif"/>
                <w:caps w:val="false"/>
                <w:smallCaps w:val="false"/>
                <w:sz w:val="20"/>
              </w:rPr>
              <w:t> – Cultivation, production, distribution and sale of both medical and adult-use cannabis products.</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10"/>
        <w:gridCol w:w="72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Distribution</w:t>
            </w:r>
            <w:r>
              <w:rPr>
                <w:rFonts w:ascii="Times New Roman;Times;serif" w:hAnsi="Times New Roman;Times;serif"/>
                <w:caps w:val="false"/>
                <w:smallCaps w:val="false"/>
                <w:sz w:val="20"/>
              </w:rPr>
              <w:t> – Purchase, resale and distribution of pharmaceutical and wellness products.</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10"/>
        <w:gridCol w:w="80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Wellness</w:t>
            </w:r>
            <w:r>
              <w:rPr>
                <w:rFonts w:ascii="Times New Roman;Times;serif" w:hAnsi="Times New Roman;Times;serif"/>
                <w:caps w:val="false"/>
                <w:smallCaps w:val="false"/>
                <w:sz w:val="20"/>
              </w:rPr>
              <w:t> – Production, marketing and distribution of hemp-based food and other wellness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in these four reportable business segments, and the year-over-year comparison, is as follows:</w:t>
      </w:r>
    </w:p>
    <w:p>
      <w:pPr>
        <w:pStyle w:val="TextBody"/>
        <w:bidi w:val="0"/>
        <w:spacing w:before="0" w:after="0"/>
        <w:ind w:left="0" w:right="0" w:firstLine="720"/>
        <w:jc w:val="both"/>
        <w:rPr>
          <w:caps w:val="false"/>
          <w:smallCaps w:val="false"/>
        </w:rPr>
      </w:pPr>
      <w:r>
        <w:rPr>
          <w:caps w:val="false"/>
          <w:smallCaps w:val="false"/>
        </w:rPr>
        <w:t> </w:t>
      </w:r>
    </w:p>
    <w:tbl>
      <w:tblPr>
        <w:tblW w:w="9854" w:type="dxa"/>
        <w:jc w:val="left"/>
        <w:tblInd w:w="0" w:type="dxa"/>
        <w:tblLayout w:type="fixed"/>
        <w:tblCellMar>
          <w:top w:w="0" w:type="dxa"/>
          <w:left w:w="0" w:type="dxa"/>
          <w:bottom w:w="0" w:type="dxa"/>
          <w:right w:w="0" w:type="dxa"/>
        </w:tblCellMar>
      </w:tblPr>
      <w:tblGrid>
        <w:gridCol w:w="2435"/>
        <w:gridCol w:w="60"/>
        <w:gridCol w:w="92"/>
        <w:gridCol w:w="1082"/>
        <w:gridCol w:w="60"/>
        <w:gridCol w:w="60"/>
        <w:gridCol w:w="140"/>
        <w:gridCol w:w="794"/>
        <w:gridCol w:w="185"/>
        <w:gridCol w:w="60"/>
        <w:gridCol w:w="92"/>
        <w:gridCol w:w="1082"/>
        <w:gridCol w:w="60"/>
        <w:gridCol w:w="60"/>
        <w:gridCol w:w="140"/>
        <w:gridCol w:w="794"/>
        <w:gridCol w:w="185"/>
        <w:gridCol w:w="60"/>
        <w:gridCol w:w="92"/>
        <w:gridCol w:w="1082"/>
        <w:gridCol w:w="60"/>
        <w:gridCol w:w="60"/>
        <w:gridCol w:w="140"/>
        <w:gridCol w:w="794"/>
        <w:gridCol w:w="185"/>
      </w:tblGrid>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in these four reportable business segments as reported in constant currency1, and the year-over-year comparison,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1"/>
        <w:gridCol w:w="60"/>
        <w:gridCol w:w="183"/>
        <w:gridCol w:w="2064"/>
        <w:gridCol w:w="60"/>
        <w:gridCol w:w="60"/>
        <w:gridCol w:w="219"/>
        <w:gridCol w:w="1234"/>
        <w:gridCol w:w="185"/>
        <w:gridCol w:w="60"/>
        <w:gridCol w:w="183"/>
        <w:gridCol w:w="2064"/>
        <w:gridCol w:w="60"/>
        <w:gridCol w:w="60"/>
        <w:gridCol w:w="219"/>
        <w:gridCol w:w="1234"/>
        <w:gridCol w:w="189"/>
      </w:tblGrid>
      <w:tr>
        <w:trPr/>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189" w:type="dxa"/>
            <w:tcBorders/>
            <w:shd w:fill="FFFFFF" w:val="clear"/>
            <w:vAlign w:val="center"/>
          </w:tcPr>
          <w:p>
            <w:pPr>
              <w:pStyle w:val="TableContents"/>
              <w:bidi w:val="0"/>
              <w:spacing w:before="0" w:after="283"/>
              <w:jc w:val="left"/>
              <w:rPr/>
            </w:pPr>
            <w:r>
              <w:rPr/>
              <w:t> </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2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2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2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from our cannabis operations from the following sales channels and the year-over-year comparison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4"/>
        <w:gridCol w:w="60"/>
        <w:gridCol w:w="84"/>
        <w:gridCol w:w="995"/>
        <w:gridCol w:w="80"/>
        <w:gridCol w:w="60"/>
        <w:gridCol w:w="140"/>
        <w:gridCol w:w="750"/>
        <w:gridCol w:w="231"/>
        <w:gridCol w:w="60"/>
        <w:gridCol w:w="84"/>
        <w:gridCol w:w="995"/>
        <w:gridCol w:w="80"/>
        <w:gridCol w:w="60"/>
        <w:gridCol w:w="140"/>
        <w:gridCol w:w="750"/>
        <w:gridCol w:w="231"/>
        <w:gridCol w:w="60"/>
        <w:gridCol w:w="84"/>
        <w:gridCol w:w="995"/>
        <w:gridCol w:w="80"/>
        <w:gridCol w:w="60"/>
        <w:gridCol w:w="140"/>
        <w:gridCol w:w="750"/>
        <w:gridCol w:w="242"/>
      </w:tblGrid>
      <w:tr>
        <w:trPr/>
        <w:tc>
          <w:tcPr>
            <w:tcW w:w="2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42" w:type="dxa"/>
            <w:tcBorders/>
            <w:shd w:fill="FFFFFF" w:val="clear"/>
            <w:vAlign w:val="center"/>
          </w:tcPr>
          <w:p>
            <w:pPr>
              <w:pStyle w:val="TableContents"/>
              <w:bidi w:val="0"/>
              <w:spacing w:before="0" w:after="283"/>
              <w:jc w:val="left"/>
              <w:rPr/>
            </w:pPr>
            <w:r>
              <w:rPr/>
              <w:t> </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2" w:type="dxa"/>
            <w:tcBorders/>
            <w:shd w:fill="FFFFFF" w:val="clear"/>
            <w:vAlign w:val="center"/>
          </w:tcPr>
          <w:p>
            <w:pPr>
              <w:pStyle w:val="TableContents"/>
              <w:bidi w:val="0"/>
              <w:spacing w:before="0" w:after="283"/>
              <w:jc w:val="left"/>
              <w:rPr/>
            </w:pPr>
            <w:r>
              <w:rPr/>
              <w:t> </w:t>
            </w:r>
          </w:p>
        </w:tc>
      </w:tr>
      <w:tr>
        <w:trPr/>
        <w:tc>
          <w:tcPr>
            <w:tcW w:w="2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Revenue from our cannabis operations from the following sales channels as reported in constant currency1 and the year-over-year comparison is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8"/>
        <w:gridCol w:w="60"/>
        <w:gridCol w:w="168"/>
        <w:gridCol w:w="1852"/>
        <w:gridCol w:w="80"/>
        <w:gridCol w:w="60"/>
        <w:gridCol w:w="203"/>
        <w:gridCol w:w="1140"/>
        <w:gridCol w:w="222"/>
        <w:gridCol w:w="60"/>
        <w:gridCol w:w="168"/>
        <w:gridCol w:w="1852"/>
        <w:gridCol w:w="80"/>
        <w:gridCol w:w="60"/>
        <w:gridCol w:w="203"/>
        <w:gridCol w:w="1140"/>
        <w:gridCol w:w="229"/>
      </w:tblGrid>
      <w:tr>
        <w:trPr/>
        <w:tc>
          <w:tcPr>
            <w:tcW w:w="2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r>
      <w:tr>
        <w:trPr/>
        <w:tc>
          <w:tcPr>
            <w:tcW w:w="2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Revenue</w:t>
            </w:r>
          </w:p>
        </w:tc>
        <w:tc>
          <w:tcPr>
            <w:tcW w:w="229" w:type="dxa"/>
            <w:tcBorders/>
            <w:shd w:fill="FFFFFF" w:val="clear"/>
            <w:vAlign w:val="center"/>
          </w:tcPr>
          <w:p>
            <w:pPr>
              <w:pStyle w:val="TableContents"/>
              <w:bidi w:val="0"/>
              <w:spacing w:before="0" w:after="283"/>
              <w:jc w:val="left"/>
              <w:rPr/>
            </w:pPr>
            <w:r>
              <w:rPr/>
              <w:t> </w:t>
            </w:r>
          </w:p>
        </w:tc>
      </w:tr>
      <w:tr>
        <w:trPr/>
        <w:tc>
          <w:tcPr>
            <w:tcW w:w="26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(1)</w:t>
            </w:r>
          </w:p>
        </w:tc>
        <w:tc>
          <w:tcPr>
            <w:tcW w:w="99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constant currency presentation of our Cannabis revenue based on market channel is a non-GAAP financial measure.</w:t>
            </w:r>
            <w:r>
              <w:rPr>
                <w:rFonts w:ascii="Times New Roman" w:hAnsi="Times New Roman"/>
                <w:caps w:val="false"/>
                <w:smallCaps w:val="false"/>
                <w:sz w:val="20"/>
              </w:rPr>
              <w:t> </w:t>
            </w:r>
            <w:r>
              <w:rPr>
                <w:rFonts w:ascii="Times New Roman" w:hAnsi="Times New Roman"/>
                <w:i/>
                <w:caps w:val="false"/>
                <w:smallCaps w:val="false"/>
                <w:sz w:val="20"/>
              </w:rPr>
              <w:t>See</w:t>
            </w:r>
            <w:r>
              <w:rPr>
                <w:rFonts w:ascii="Times New Roman" w:hAnsi="Times New Roman"/>
                <w:caps w:val="false"/>
                <w:smallCaps w:val="false"/>
                <w:sz w:val="20"/>
              </w:rPr>
              <w:t> “</w:t>
            </w:r>
            <w:r>
              <w:rPr>
                <w:rFonts w:ascii="Times New Roman" w:hAnsi="Times New Roman"/>
                <w:i/>
                <w:caps w:val="false"/>
                <w:smallCaps w:val="false"/>
                <w:sz w:val="20"/>
              </w:rPr>
              <w:t>Use of Non-GAAP Measures</w:t>
            </w:r>
            <w:r>
              <w:rPr>
                <w:rFonts w:ascii="Times New Roman" w:hAnsi="Times New Roman"/>
                <w:caps w:val="false"/>
                <w:smallCaps w:val="false"/>
                <w:sz w:val="20"/>
              </w:rPr>
              <w:t> –</w:t>
            </w:r>
            <w:r>
              <w:rPr>
                <w:rFonts w:ascii="Times New Roman" w:hAnsi="Times New Roman"/>
                <w:i/>
                <w:caps w:val="false"/>
                <w:smallCaps w:val="false"/>
                <w:sz w:val="20"/>
              </w:rPr>
              <w:t>Constant Currency Presentation</w:t>
            </w:r>
            <w:r>
              <w:rPr>
                <w:rFonts w:ascii="Times New Roman" w:hAnsi="Times New Roman"/>
                <w:caps w:val="false"/>
                <w:smallCaps w:val="false"/>
                <w:sz w:val="20"/>
              </w:rPr>
              <w:t>” </w:t>
            </w:r>
            <w:r>
              <w:rPr>
                <w:rFonts w:ascii="Times New Roman" w:hAnsi="Times New Roman"/>
                <w:i/>
                <w:caps w:val="false"/>
                <w:smallCaps w:val="false"/>
                <w:sz w:val="20"/>
              </w:rPr>
              <w:t>for a discussion of these Non-GAAP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Beverage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Brands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major player in the craft beverage industry with our portfolio of beloved brands and innovative products, placing us as the 4th largest craft brewer in the United States according to the Brewers Association 2025 U.S. Craft Brewing Industry Figures Report. During our fiscal year ended May 31, 2026, our beverage alcohol products were predominantly sold in the United States, with limited offerings in Canada and other international markets. The BrewDog Acquisition served to expand our beverage business into various international markets given its position as a leading craft beer brand in the United Kingdom and other international markets. The Company also participates in the craft spirits industry through Breckenridge Distillery, which was founded in 2008 in Breckenridge, Colorado, and has expanded its award-winning bourbon whiskey collection and innovative craft spirits portfolio to be distributed in all 50 states, in addition to operating two tasting rooms/retail shops and a world class restaurant.</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beverage brands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Alpine </w:t>
            </w:r>
            <w:r>
              <w:rPr>
                <w:rFonts w:ascii="Times New Roman;Times;serif" w:hAnsi="Times New Roman;Times;serif"/>
                <w:caps w:val="false"/>
                <w:smallCaps w:val="false"/>
                <w:sz w:val="20"/>
              </w:rPr>
              <w:t>– An award-winning craft brand founded in 1999, Alpine is rated a top 50 brand in the United States with highly-rated favorites including Nelson IPA, Duet IPA and Infinite Haze.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Blue Point</w:t>
            </w:r>
            <w:r>
              <w:rPr>
                <w:rFonts w:ascii="Times New Roman;Times;serif" w:hAnsi="Times New Roman;Times;serif"/>
                <w:sz w:val="20"/>
              </w:rPr>
              <w:t> – Founded in 1998, Blue Point Brewing Company has grown into one of the largest breweries in New York State, offering a lineup of quality lagers and innovative craft beers. Its product portfolio includes Toasted Lager, Long Island Light, Imperial Sunshine, Magic Hour IPA, Hoptical Illusion as well as a rotating line of Innovation Beers. Blue Point has won numerous awards over the years that highlight the quality of innovation at forums such as the World Beer Cup, the Great American Beer Festival, the New York Craft Beer Competition, the Australian International Beer Awards, and the Atlantic City Beer Festival.</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Breckenridge Brewery</w:t>
            </w:r>
            <w:r>
              <w:rPr>
                <w:rFonts w:ascii="Times New Roman;Times;serif" w:hAnsi="Times New Roman;Times;serif"/>
                <w:sz w:val="20"/>
              </w:rPr>
              <w:t xml:space="preserve"> – Since its doors opened in 1990 in the ski town of Breckenridge, Colorado, the Breckenridge brand has grown into one of the most recognized craft breweries in the U.S. Today. Breckenridge Brewery has three locations to visit – the original brewpub in Breckenridge, its renowned Farm House restaurant in Littleton, CO, outside Denver, and our newest location in Fort Collins, CO. With a focus on balanced, approachable, and interesting beers, the brand’s portfolio includes Avalanche Amber Ale, Palisade Peach Wheat, Juice Drop Hazy IPA, Funslinger Lager, Vanilla Porter, Juice Drop Imperial Hazy IPA, Cerveza, Nitro Irish Stout, and Christmas Ale (seasonal).</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Breckenridge Distillery </w:t>
            </w:r>
            <w:r>
              <w:rPr>
                <w:rFonts w:ascii="Times New Roman;Times;serif" w:hAnsi="Times New Roman;Times;serif"/>
                <w:caps w:val="false"/>
                <w:smallCaps w:val="false"/>
                <w:sz w:val="20"/>
              </w:rPr>
              <w:t>– A highly sought-after and award-winning brand widely known for its blended bourbon whiskey and its collection of artisanal spirits including vodka and gin that brings to life the best that Colorado has to offer. Breckenridge continues to be one of the most awarded craft distilleries in the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BrewDog </w:t>
            </w:r>
            <w:r>
              <w:rPr>
                <w:rFonts w:ascii="Times New Roman;Times;serif" w:hAnsi="Times New Roman;Times;serif"/>
                <w:caps w:val="false"/>
                <w:smallCaps w:val="false"/>
                <w:sz w:val="20"/>
              </w:rPr>
              <w:t>– Founded in 2007 in Scotland, BrewDog has grown into one of the most recognizable craft beer brands globally, known for its bold, hop-forward styles and distinctive branding. Today, BrewDog operates in the United Kingdom, Europe, and the United States, Australia and the Middle East with an established presence in pubs, bars, retail, and on-trade channels. With a focus on flavor-driven, innovative craft beer, the brand’s core portfolio includes flagship offerings such as Punk IPA, Blackheart, Wingman, Elvis Juice Grapefruit IPA, Hazy Jane, and Lost Lager, alongside a rotating range of seasonal, limited-edition, and non-alcoholic products.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Green Flash </w:t>
            </w:r>
            <w:r>
              <w:rPr>
                <w:rFonts w:ascii="Times New Roman;Times;serif" w:hAnsi="Times New Roman;Times;serif"/>
                <w:caps w:val="false"/>
                <w:smallCaps w:val="false"/>
                <w:sz w:val="20"/>
              </w:rPr>
              <w:t>– An award-winning craft brand founded in 2002 to bring fresh ideas and a sense of adventure to craft beer. Green Flash delivers an eclectic lineup of specialty craft beers and distributes them throughout the west. Our staple brand, West Coast IPA, as well as our newly launched Hazy West Coast IPA, continue to excite consumers across the west coast.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Hop Valley </w:t>
            </w:r>
            <w:r>
              <w:rPr>
                <w:rFonts w:ascii="Times New Roman;Times;serif" w:hAnsi="Times New Roman;Times;serif"/>
                <w:caps w:val="false"/>
                <w:smallCaps w:val="false"/>
                <w:sz w:val="20"/>
              </w:rPr>
              <w:t>– Hop Valley Brewing Co. was founded in 2009 with the mission to create high-quality craft beers that push the boundaries of flavor and innovation. Based in Oregon, Hop Valley Brewing’s award-winning beers are known for their creative approach and commitment to using the finest ingredients.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Montauk Brewing Company </w:t>
            </w:r>
            <w:r>
              <w:rPr>
                <w:rFonts w:ascii="Times New Roman;Times;serif" w:hAnsi="Times New Roman;Times;serif"/>
                <w:caps w:val="false"/>
                <w:smallCaps w:val="false"/>
                <w:sz w:val="20"/>
              </w:rPr>
              <w:t>– As the #1 craft brewer in Metro New York, Montauk Brewing Company is well-known for its easy-drinking product portfolio, its home on the Eastern end of Long Island, and premium price point. Wave Chaser IPA is a staple of Montauk Brewing and has expanded into Surf Beer, a Golden Ale, Tropical IPA, Juicy IPA and most recently NA IPA, a non-alcoholic offering. Montauk Brewing’s brand reach has predominantly been in New York City, Long Island, and northern New Jersey, but has now been expanded into Connecticut, Rhode Island, Upstate New York, Pennsylvania and the remainder of New Jersey.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Redhook Brewery </w:t>
            </w:r>
            <w:r>
              <w:rPr>
                <w:rFonts w:ascii="Times New Roman;Times;serif" w:hAnsi="Times New Roman;Times;serif"/>
                <w:sz w:val="20"/>
              </w:rPr>
              <w:t>– Founded in Seattle, Washington, the Redhook brand is one of the nation’s original craft beers, crafting better beer since 1981. Four decades later, one thing has never changed—Redhook is still brewing great beers. Its award-winning beers include Big Ballard Imperial IPA, ESB, and Long Hammer IPA.</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Revolver</w:t>
            </w:r>
            <w:r>
              <w:rPr>
                <w:rFonts w:ascii="Times New Roman;Times;serif" w:hAnsi="Times New Roman;Times;serif"/>
                <w:sz w:val="20"/>
              </w:rPr>
              <w:t> – Founded in Granbury, Texas, the Revolver brand has built its reputation on pushing boundaries while staying true to its roots. With the flagship offering of Blood &amp; Honey, Revolver continues to craft beers that embody Texas tradition with a modern twist.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Shock Top</w:t>
            </w:r>
            <w:r>
              <w:rPr>
                <w:rFonts w:ascii="Times New Roman;Times;serif" w:hAnsi="Times New Roman;Times;serif"/>
                <w:sz w:val="20"/>
              </w:rPr>
              <w:t xml:space="preserve"> – An award winning traditional Belgian-style wheat ale that was originally introduced in 2006 as a seasonal offering. After taking home the gold medal at the North American Beer Awards in the Belgian White category, it became a year-round offering. Shock Top Belgian White is a spiced wheat ale brewed with coriander spice and the peels of three different citrus fruits: orange, lemon, and lime. This uniquely crafted ale is unfiltered to create a naturally cloudy brew with a light golden color and a smooth, refreshing finish. In addition to it’s flagship Belgian White, Shock Top has a compelling seasonal lineup, including fan favorite Twisted Pretzel Wheat, as well as a newly introduced year-round extension, Shock Top High Voltage, a 9.6% imperial wheat ale.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SweetWater</w:t>
            </w:r>
            <w:r>
              <w:rPr>
                <w:rFonts w:ascii="Times New Roman;Times;serif" w:hAnsi="Times New Roman;Times;serif"/>
                <w:caps w:val="false"/>
                <w:smallCaps w:val="false"/>
                <w:sz w:val="20"/>
              </w:rPr>
              <w:t> – A craft brand with an award-winning lineup of year-round, seasonal and specialty beers under a portfolio of brands closely aligned with a cannabis lifestyle, which include the flagship 420 Extra Pale Ale, a strong supporting IPA portfolio, including newly released Day Trip IPA and Big Trip Double IPA, and various supporting legacy beers. We believe the SweetWater product offerings resonate with consumers that want to drink flavorful and refreshing products. We also continue to be innovative with our 420 Strain G13 IPA, which plays a critical role in our portfolio and resonates as a cannabis lifestyle brand. SweetWater’s G13 IPA uses plant-based terpenes and natural hemp flavors that, when combined with select hops, emulate the flavors and aromas of popular cannabis strains to appeal to a loyal consumer base.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Terrapin </w:t>
            </w:r>
            <w:r>
              <w:rPr>
                <w:rFonts w:ascii="Times New Roman;Times;serif" w:hAnsi="Times New Roman;Times;serif"/>
                <w:sz w:val="20"/>
              </w:rPr>
              <w:t>– Terrapin Beer Co. began with the ambition to create distinctive craft beers and officially launched in April 2002, introducing its inaugural brew, Rye Pale Ale, in Athens, GA. Within six months, Terrapin Beer achieved significant recognition by securing its first Gold Medal at the Great American Beer Festival in Denver. Terrapin’s flagship brand, Hopsecutioner IPA, is supported by a robust IPA portfolio and a rotating line of seasonals. Terrapin Beer Co. has a sustainability initiative called Terraprint, which aims to reduce the environmental impact of its operations. This includes minimizing waste, conserving water, and promoting recycling to ensure responsible and sustainable growth.</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Widmer </w:t>
            </w:r>
            <w:r>
              <w:rPr>
                <w:rFonts w:ascii="Times New Roman;Times;serif" w:hAnsi="Times New Roman;Times;serif"/>
                <w:sz w:val="20"/>
              </w:rPr>
              <w:t>– Founded in Portland, Oregon in 1984, Widmer Brothers is one of the largest craft brands in the Pacific Northwest. In 1986, Widmer Brothers introduced its Hefe beer, an American variant on the traditional Hefeweizen, which spread widely across the country. In the 2023 Best of Craft Beer Awards, Hefe won Gold in the American Wheat category and Widmer Brothers was awarded “Large Brewery of the Year”. Its award-winning beers include Hefe, Drop Top Amber, and Deadlift Imperial IPA.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10 Barrel </w:t>
            </w:r>
            <w:r>
              <w:rPr>
                <w:rFonts w:ascii="Times New Roman;Times;serif" w:hAnsi="Times New Roman;Times;serif"/>
                <w:sz w:val="20"/>
              </w:rPr>
              <w:t>– Founded in 2006 in Bend, Oregon, 10 Barrel Brewing Company is one of the most acclaimed breweries in the U.S., and consistently a top medal winner at the Oregon Beer Awards. Its products include Apocalypse IPA, Cloud Mentality, All Ways Down, Money Cat, Pub Beer, and Cucumber Crush. 10 Barrel took home three Gold and one Silver medal at the 2023 World Beer Cup.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we have an extensive brewery network with diverse capacities and capabilities across the country, responsible for producing 99% of a variety of year-round and seasonal specialty craft brews under our 18 craft beverage brands. Specifically, we have 7 production facilities across the U.S.: Atlanta, GA, Athens, GA, Portland, OR, Bend, OR, Littleton, CO, Patchogue, NY, and Columbus, OH, and through the continued expansion of our operational footprint, we have also broadened our production capabilities to include ciders, fermented malted beverages (“FMBs”), ready-to-drink (“RTDs”), non-alcoholic and functional beverages. Our operational footprint is supplemented by our 18 owned vibrant brewpubs including a flagship BrewDog multi</w:t>
        <w:noBreakHyphen/>
        <w:t>level brewpub located on the Las Vegas Strip and our BrewDog DogHouse hotel located in Columbus, OH. Our BrewDog brand is also supported by a franchised brewpub in Denver, CO and a licensed location in the Columbus, OH airport. In addition to our extensive brewer network, we also own Breckenridge Distillery, the world’s highest distillery, located in Breckenridge, Colorado, where our award-winning craft spirits are produced, together with our Breckenridge restaurant and tasting room.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U.K., following the BrewDog acquisition, we operate a scaled brewing and hospitality platform anchored by a leading craft beer brand with strong consumer recognition. Our operations include a flagship brewing facility located in Ellon, Scotland, as well as a network of pubs and hospitality venues across the United Kingdom, Ireland and Australia, including 19 owned and 16 franchised pubs as well as two hotels. These assets include established on</w:t>
        <w:noBreakHyphen/>
        <w:t>premise locations and a direct</w:t>
        <w:noBreakHyphen/>
        <w:t>to</w:t>
        <w:noBreakHyphen/>
        <w:t>consumer bar network, which support brand engagement and retail sales. Through the acquisition, we also obtained the BrewDog brand and related intellectual property, enhancing our international brewing presence, expanding production capacity, and enabling the broader distribution of both BrewDog and Tilray beverage brands across key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as required by the regulatory environment, the Company’s sales are predominantly made to a network of over 900 wholesalers in the United States. The distributors sell our products to retailers, such as grocery stores, club stores, convenience stores, liquor stores, bars, restaurants, stadiums and other traditional and e-commerce retail outlets, where the products are sold to consumers. Tilray’s beverage portfolio is distributed in all 50 states, with brand strongholds in the Pacific Northwest, Southwest, Southeast, Midwest and Northeast. Our distribution points include nearly 50,000 off-premises retail locations ranging from independent bottle shops to national chains. Additionally, the Company’s significant on-premises business allows consumers to enjoy its brands in more than 30,000 restaurants and bars.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U.K., BrewDog is widely distributed through a diversified route-to-market strategy that includes company-operated and franchised pubs, e-commerce channels, relationships with major retail customers, and sales through wholesale and on-premise partners. This approach provides broad consumer connection and access across both retail and hospitality channels, supporting BrewDog’s position as a leading craft beer brand in the U.K. market. We are also leveraging this extensive distribution network to distribute several of our U.S.-based beverage brands throughout the U.K. in line with our strategic rationale for the BrewDog Acquisition.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our traditional distribution footprint, our brands can be found in airports and sports venues across the U.S. with branded taprooms in the Long Island MacArthur Airport in Long Island, New York, Hartsfield-Jackson Atlanta International Airport, Denver International Airport, and Columbus Airport. We have also entered into partnerships with the New York Mets, Colorado Avalanche, Atlanta United, University of Florida, the Portland Timbers, University of Colorado, University of Denver, the University of Missouri and University of Oregon among others. Our brands can also be found aboard Delta Air Lines flights nationwide and internationally as well as on JetBlue and British Airways. Following the BrewDog Acquisition, the Company has expanded its brand reach through additional U.K.-based sports and entertainment partnerships, including naming rights to St Helens R.F.C. and designation as the official beer partner of West Ham United.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Consistent with our craft beer distribution strategy, our craft spirit brands from Breckenridge Distillery are distributed in all 50 states, and in two on-premise tasting and retail store locations. In addition to our traditional distribution, network, we also leverage partnerships with sports venues with Breckenridge Distillery being the official bourbon and vodka sponsor of the Denver Broncos. Outside of the U.S., Breckenridge is distributed globally in over 20 different countries, with the intention of further expanding our international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Beverages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beverage alcohol industry in the United States is regulated by federal, state and local governments. These regulations govern the production, sale, marketing and distribution of alcohol beverages, including permitting, licensing, marketing and advertising. To operate our production facilities and hospitality businesses, we must obtain and maintain numerous permits, licenses and approvals from various governmental agencies, including but not limited to, the Alcohol and Tobacco Tax and Trade Bureau (the “TTB”), the FDA, state alcohol regulatory agencies and state and federal environmental agencies. Our brewery and distillery operations are subject to audit and inspection by the TTB and the local regulatory agencies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alcohol industry is subject to substantial federal and state excise taxes. Excise taxes may be increased in the future by the federal government or any state government or both. In the past, increases in excise taxes on alcoholic beverages have been considered in connection with various governmental budget-balancing or funding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Beverages in the United Kingdom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beverage alcohol industry in the United Kingdom is regulated by national and local governmental authorities. These regulations govern the production, sale, distribution, marketing, and advertising of alcoholic beverages, as well as licensing, food safety, labeling, environmental compliance, and public health requirements. To operate our brewing, packaging, retail, and hospitality businesses, we are required to obtain and maintain various licenses, permits, registrations, and approvals from applicable regulatory authorities. Our operations are subject to periodic inspections, audits, and reviews by regulatory agencies to ensure compliance with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beverage alcohol industry in the United Kingdom is subject to excise duties and value added tax (“VAT”). Excise duties on alcoholic beverages are determined by the U.K. government and may be increased from time to time. Changes in excise duty rates, tax policies, or other regulatory requirements could adversely affect consumer demand, operating costs, and the financial performance of our beverage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Beverages in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beverage alcohol industry in Australia is regulated by federal, state, and territorial governments. These regulations govern the importation, sale, distribution, marketing, advertising, and labeling of alcoholic beverages, as well as licensing, food safety, and environmental compliance requirements. Our beverage operations in Australia are required to comply with applicable laws and regulations and are subject to oversight by various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beverage alcohol industry in Australia is subject to excise duties, customs duties on certain imported products, and other applicable taxes. Excise duty rates and other taxation policies may be modified by the Australian government from time to time. Changes in excise duties, tax rates, or other regulatory requirements could adversely affect consumer demand, operating costs, and the financial performance of our beverage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Competitive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Beverage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we compete in the craft beer and spirits industries, as well as in the much larger beverage alcohol market, which encompasses domestic and imported beers, flavored alcoholic beverages, spirits, hard ciders, ready to drink beverages (“RTDs”), fermented malt-based beverages (“FMBs”) and hard seltzers. With the proliferation of participants and offerings in the wider beverage market and within the craft beer and craft spirits segments, we face significant competition. Our products are not the primary brands in our distributors’ portfolios. Therefore, in addition to competing with other beverage products for share of consumers, we also compete with other beverage companies for a share of the distributor’s attention, time and selling efforts. In some states, our contracts with distributors may be impacted by laws that restrict our ability to terminate the relationship. On a macro level, consumer reports indicate that consumers are drinking less beverage alcohol products for various reasons, including economic pressures, the proliferation of GLP-1 drugs and wellness concerns.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U.K., we compete in the highly competitive beer market, which includes international brewers, national brewers, regional brewers, and a large number of independent craft brewers. The U.K. beverage alcohol market continues to evolve as consumers seek greater product variety, premium offerings, alcohol moderation options, and differentiated brand experiences. In addition, the industry has experienced cost pressures from inflation, higher input costs, increased labor expenses, and changes in consumer spending patterns, which have intensified competition across both the retail and hospitality channels. Through BrewDog’s established brand portfolio, company-owned bar network, retail presence, and e-commerce platform, we believe we are well positioned to compete within the U.K. beverage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Cannabis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Brands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Medical Cannabis Brands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were among the first companies to be permitted to cultivate and sell legal medical cannabis. To date, we have supplied high-quality medical cannabis products to patients in over 20 countries spanning five continents through our global subsidiaries, and through agreements with established pharmaceutical distributors. Tilray Medical is dedicated to transforming lives and fostering dignity for patients in need through safe and reliable access to a global portfolio of medical cannabis brands. In Canada, we supply medical cannabis to patients under the Tilray, Aphria, Broken Coast, and Symbios brands. Outside of North America, we supply medical cannabis products to patients under the Tilray Medical, Broken Coast, Redecan, Good Supply, ARX and Navcora brands. Tilray grew from being one of the first companies to become an approved licensed producer of medical cannabis in Canada to building among the first EU-GMP certified cannabis production facilities in Portugal and Germany. Today, Tilray Medical is one of the largest suppliers of medical cannabis to patients, physicians, hospitals, pharmacies, researchers and governments in countries spanning across five continents. Our medical cannabis brands consist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Tilray Medical</w:t>
            </w:r>
            <w:r>
              <w:rPr>
                <w:rFonts w:ascii="Times New Roman;Times;serif" w:hAnsi="Times New Roman;Times;serif"/>
                <w:caps w:val="false"/>
                <w:smallCaps w:val="false"/>
                <w:sz w:val="20"/>
              </w:rPr>
              <w:t> - The Tilray Medical brand was designed for prescribers and patients in the global medical market and is well-known for offering a wide range of consistent high-quality, pharmaceutical-grade medical cannabis and cannabinoid-based products. We believe patients and prescribers choose the Tilray Medical brand because of the trust they have in our rigorous quality standards and our science-based approach to our medical-grade products.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Aphria </w:t>
            </w:r>
            <w:r>
              <w:rPr>
                <w:rFonts w:ascii="Times New Roman;Times;serif" w:hAnsi="Times New Roman;Times;serif"/>
                <w:caps w:val="false"/>
                <w:smallCaps w:val="false"/>
                <w:sz w:val="20"/>
              </w:rPr>
              <w:t>- Since 2014, the Aphria brand is a leading, trusted choice for Canadian patients seeking high quality pharmaceutical-grade medical cannabis. Today, the Aphria brand continues to be a leading brand in Canada.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Broken Coast</w:t>
            </w:r>
            <w:r>
              <w:rPr>
                <w:rFonts w:ascii="Times New Roman;Times;serif" w:hAnsi="Times New Roman;Times;serif"/>
                <w:caps w:val="false"/>
                <w:smallCaps w:val="false"/>
                <w:sz w:val="20"/>
              </w:rPr>
              <w:t> - Medical cannabis products under the Broken Coast brand are grown in small batches in single-strain rooms, with a commitment to product quality in order to meet our patient expectations around the world.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Symbios</w:t>
            </w:r>
            <w:r>
              <w:rPr>
                <w:rFonts w:ascii="Times New Roman;Times;serif" w:hAnsi="Times New Roman;Times;serif"/>
                <w:caps w:val="false"/>
                <w:smallCaps w:val="false"/>
                <w:sz w:val="20"/>
              </w:rPr>
              <w:t> - Launched in 2021, Symbios was developed to provide Canadian patients with a broader spectrum of formats and unique cannabinoid ratios at a more approachable price point.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Good Supply </w:t>
            </w:r>
            <w:r>
              <w:rPr>
                <w:rFonts w:ascii="Times New Roman;Times;serif" w:hAnsi="Times New Roman;Times;serif"/>
                <w:caps w:val="false"/>
                <w:smallCaps w:val="false"/>
                <w:sz w:val="20"/>
              </w:rPr>
              <w:t>– Good Supply never misses the mark. With an established reputation for reliable, quality flower, we’re the go-to choice for thousands. By carefully selecting tried and trusted strains, you can count on us to deliver on our name: Good Supply, every time.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Redecan </w:t>
            </w:r>
            <w:r>
              <w:rPr>
                <w:rFonts w:ascii="Times New Roman;Times;serif" w:hAnsi="Times New Roman;Times;serif"/>
                <w:caps w:val="false"/>
                <w:smallCaps w:val="false"/>
                <w:sz w:val="20"/>
              </w:rPr>
              <w:t>– Redecan is more than a recognizable name. Our reputation’s built on a long legacy of trust. From day one, the love of growing has driven every decision. As growers, we never underestimate the role each harvest plays in writing the next chapter of the plant’s story. No shortcuts, the legacy lives 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ARX </w:t>
            </w:r>
            <w:r>
              <w:rPr>
                <w:rFonts w:ascii="Times New Roman;Times;serif" w:hAnsi="Times New Roman;Times;serif"/>
                <w:caps w:val="false"/>
                <w:smallCaps w:val="false"/>
                <w:sz w:val="20"/>
              </w:rPr>
              <w:t>– ARX is a premium, German</w:t>
              <w:noBreakHyphen/>
              <w:t>grown medical cannabis brand built on the belief that patients deserve consistent, high</w:t>
              <w:noBreakHyphen/>
              <w:t>quality products. It brings together Canadian craft expertise and genetics with precise, controlled cultivation in Germany to raise the standard of medical cannabis.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Tilray Medical is a leading provider of EU-GMP certified medical cannabis products with a segmented approach to our brand portfolio and a comprehensive portfolio of THC and CBD products, which delivers on the value proposition required by our patients. Each medical cannabis product that Tilray offers has been selected to ensure patients can receive both the highest product quality as well as consistency when it comes to supply of their medicinal cannabis products.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take a scientific approach to our medical-use product development, which we believe establishes credibility and trust in doctors, patients and governments. We continue to conduct extensive research and development activities in order to innovate and develop new products for medical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Adult-Use Cannabis Brands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our portfolio of brands, developed for consumers across broad demographics and targeted segments, remains unmatched in the industry. With a focus on brand building, innovation, loyalty and conversion, we seek to drive growth with our differentiated portfolio of brands and products, both in sales and market share across categories. The Company is investing capital and resources to establish a leadership position in the adult-use market in Canada. These investments are focused on building our brands with consumers through product innovation, distribution, trade marketing and cannabis education. Our strategy is to develop a brand focused portfolio that resonates with consumers in all category segments.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positioned to grow our adult-use brand portfolio to specifically meet the needs and preferences of different consumer segments of the adult-use cannabis market. We leverage our selection of strains to offer each consumer segment a different experience through its product and terpene profiles, while also focusing on the value proposition for each of these segments as it relates to price, potency and product assortment.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brand is unique to a specific consumer segment and designed to meet the needs of these targeted segments, as described below. Our portfolio of brands and products and our marketing activities have been carefully curated and structured to enable us to develop and promote our brands and product lines in an effective and compliant manner. We continue to develop additional brands and new products, such as edibles and beverages, with more innovative products in our pipeline. Our brand portfolio consists of the following: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9"/>
        <w:gridCol w:w="9306"/>
      </w:tblGrid>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ECONOMY BRANDS</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Bake Sale</w:t>
            </w:r>
          </w:p>
        </w:tc>
        <w:tc>
          <w:tcPr>
            <w:tcW w:w="93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Unlock culinary creativity with Bake Sale's perfect balance of potency and affordability. Whether you're crafting in the kitchen or sparking up, Bake Sale delivers delectable cannabis experiences that won't break the bank.</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BRANDS</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 Supply</w:t>
            </w:r>
          </w:p>
        </w:tc>
        <w:tc>
          <w:tcPr>
            <w:tcW w:w="93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Good Supply offers feel good highs for the stoner in everyone. Consistent, dependable and readily available in classic, innovative and novel formats. We’re always up for a good time—and you should be too—because cannabis is supposed to be fun. Trust Good Supply to deliver an exciting sensorial experience that you can depend on.</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Original Stash</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Keep it real with Original Stash – staying true to the essence of the cannabis culture. Crafted with care and priced just right, our high-quality weed embodies the OG spirit. It's all about enjoying the pure thrill of toking without draining your wallet. No fuss, just quality bud.</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MAINSTREAM BRANDS</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Redecan</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Quality cannabis starts with how it’s made. No shortcuts, no excuses. Redecan was founded on the belief in quality at every stage. With a purpose-built facility and hand-trimmed buds, Redecan delivers on its promise of excellence.</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PORTAL</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Tilray’s newest cannabis brand engineered specifically for seasoned, high-tolerance consumers seeking uncompromising potency, consistency, and performance. PORTAL is built around liquid diamonds, the highest potency THC-dominant cannabis concentrate, along with diamond coated flower and precision formulation. Together, these elements deliver uncompromising performance paired with a bold, sci-fi inspired identity that feels powerful, modern, and intentionally different. Designed as a ritual rather than a novelty, PORTAL is engineered for consumers who live comfortably at higher tolerances and expect consistency, intensity, and reliability every time.</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Canaca</w:t>
            </w:r>
          </w:p>
        </w:tc>
        <w:tc>
          <w:tcPr>
            <w:tcW w:w="93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Canaca brings Canadian inspiration to our technically innovative cannabis products that are potently Canadian and crafted for intensity. Prepare for your senses to be thrilled from the untamed flavors and aromas of our ultra-potent and pure products, for a homegrown experience that’s beautiful to behold – just like the country we call home.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RIFF</w:t>
            </w:r>
          </w:p>
        </w:tc>
        <w:tc>
          <w:tcPr>
            <w:tcW w:w="93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RIFF loves a joint effort. We collaborate with growers and the hottest creatives in our communities to bring you that fire. It’s all about celebrating the joy of connecting with others and encouraging our community to create something meaningful. We strive to elevate the standard for cannabis in Canada, ‘cause if it’s not expertly grown, crafted or made — it's not worth being on the shelf.</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HEXO</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the essence of Quebec with HEXO's greenhouse-grown cannabis. Cultivated amidst the landscapes of Quebec, our buds embody the region's rich heritage and natural beauty.</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Solei</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Intentionally elevate your mind and body with Solei. With thoughtfully designed cannabis products, you can curate sensorial experiences based on what you need, when you need it, entirely on your terms. Let us be your well-being guide in innovative formats, featuring varied and rare cannabinoids, curated to allow you to easily fine-tune your wellness routines. </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XMG</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XMG is the #1 cannabis beverage brand in Canada focused on delivering high intensity and full flavor. Every beverage is maxed out at 10mg of nano-emulsified THC for a powerful and fast-acting experience. XMG is bold and unapologetic – our mission is to be straight-up, bold, and rebellious in creating beverages that are unique, intense, and fun. With multiple product lines ranging from XMG+, with naturally occurring caffeine, to XMG Zero, with zero calories and zero sugar, and a range of flavors across nostalgic sodas and refreshing fruit flavors, there’s something for everyone and every occasion. Building on this success, we have extended the XMG brand into edibles, bringing the same unique, intense, and fun brand elements to the category.</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Mollo</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Mollo was one of the first cannabis-infused beverages launched in the Canadian market and has grown to be the #2 cannabis beverage brand in Canada. Mollo is dedicated to crafting beverages for every social occasion and to offer Canadians healthier alternatives to alcohol-based beverages. Mollo is inviting, easygoing, and confident in helping consumers slow down and take it all in where chilling and connecting are the focus. Mollo 10 continues to be the top beer-analogue cannabis-infused beverage in the market, and Mollo has launched Ciders and Seltzers so that Canadians can have a variety of non-alcoholic options for every season and celebration.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7"/>
        <w:gridCol w:w="9398"/>
      </w:tblGrid>
      <w:tr>
        <w:trPr/>
        <w:tc>
          <w:tcPr>
            <w:tcW w:w="8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Chowie Wowie</w:t>
            </w:r>
          </w:p>
        </w:tc>
        <w:tc>
          <w:tcPr>
            <w:tcW w:w="9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Chowie Wowie, we think edibles should be fun, safe, tasty and consistent – and most importantly, enjoyed with friends. That’s why we make delicious edibles portioned for super shareability with consistent and reliable dosing. So, whether you’re looking for a fruity explosion of gummy deliciousness or a buttery-smooth chocolate indulgence, we’ve got something right for you and your friends.</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PREMIUM BRANDS</w:t>
            </w:r>
          </w:p>
        </w:tc>
      </w:tr>
      <w:tr>
        <w:trPr/>
        <w:tc>
          <w:tcPr>
            <w:tcW w:w="807"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Broken Coast</w:t>
            </w:r>
          </w:p>
        </w:tc>
        <w:tc>
          <w:tcPr>
            <w:tcW w:w="93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Broken Coast is a heritage cannabis brand widely recognized for setting the standard for craft cannabis in Canada. We are relentlessly dedicated to producing the ultimate expression of craft cannabis by using proprietary growing practices in bespoke growing conditions for each cultivar that we diligently pheno-hunt. This means all our craft cannabis is grown indoors in small-batch, strain-specific rooms, then is slowly hang cured before being hand trimmed.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our cannabis reporting segment, we have invested in state-of-the-art facilities and infrastructure, and we believe that we maintain some of the highest-quality, lowest cost cannabis production operations in Canada, with the scale and distribution network that differentiates us from our competitors in the industry. We also made significant investments in our operations within Europe and we are well-positioned to pursue international growth opportunities with our strong medical cannabis brands, distribution network in Germany, and end-to-end European Union Good Manufacturing Practices (“EU-GMP”) supply chain, which includes EU-GMP production facilities in Portugal and Germany. During the course of our fiscal year ended May 31, 2026, we invested in upgrading the quality and consistency of our flower production in both our Cantanhede, Portugal and Neumunster, Germany facilities, which included importing some of our most desired cultivars from our Canadian operations and improving our cultivation and post-harvest processes to improve upon our yields, potencies and the overall quality of our medical flowers. We also began to import cannabis flowers from our Canadian operations in order to provide our patients with a broad and differentiated portfolio. We seek to continue to invest in the expansion of our global supply chain to address the unmet needs of patients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maintain key international operations in Portugal, Germany, Poland, Italy, United Kingdom, Luxembourg, Australia and New Zealand. While these markets are still in various stages of development, and the regulatory environment around them is either newly formed or still being formed, we are uniquely positioned to bring the knowledge and expertise gained in Canada and leverage our operational footprint in order to generate profitable growth in these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15, 2026, Tilray acquired the Lyphe Group, a UK-based medical cannabis clinic and digital pharmacy platform. The addition of Lyphe strengthens Tilray’s vertically integrated medical ecosystem by combining clinical services, patient access, and pharmaceutical distribution. Through Lyphe’s online clinic and pharmacy platform, Tilray will seek to enhance access to medical cannabis, while accelerating its existing capabilities in dispensing traditional prescription medicines, creating a seamless, digitally enabled patient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Canadian Adult-use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Canadian legislative regime, provincial, territorial and municipal governments have the authority to prescribe regulations regarding retail and distribution of adult-use cannabis. As such, the distribution model for adult-use cannabis is prescribed by provincial regulations and differs from province to province. Some provinces utilize government run retailers, while others utilize government-licensed private retailers, and some a combination of the two. All of our adult-use sales are conducted according to the applicable provincial and territorial legislation and through applicable local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our subsidiaries, Aphria and High Park Holdings Ltd. (“High Park”), we maintain supply agreements for adult-use cannabis with all the provinces and territories in Canada.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is party to a distribution agreement with Great North Distributors to provide sales force and wholesale/retail channel expertise required to efficiently distribute our adult-use products through each of the provincial/territorial cannabis control agencies, excluding Quebec where we utilize internal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Canadian Medical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Canada, Tilray Medical operates a direct to patient distribution model and online platform for patients to effectively and efficiently manage the process of registering and ordering medical products from Tilray Medical’s full portfolio of medical brands including Tilray, Aphria, Broken Coast, Symbios, and select adult-use brands. In Canada, Tilray has also partnered with a number of third-party licensed producers to carry a wider array of product offerings, specifically edibles, inhalers, and CBD vapes, through its medical platform to better serve the interests of our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International Medical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Medical currently offers broad access to medical cannabis products in legal medical markets across Europe, Australia and Latin America. Through our various distribution subsidiaries and partnerships with distributors, our medical products are available to patients on 5 continents, which include the following international distribution channels: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CC Pharma, our wholly-owned subsidiary, is a leading importer and distributor of pharmaceuticals for the German market and we are leveraging its distribution network in Germany for medical cannabis.</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110"/>
        <w:gridCol w:w="77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Italy, FL Group, our wholly-owned subsidiary, distributes medical cannabis throughout Italy.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Argentina, ABP, S.A., our wholly-owned subsidiary, distributes medical cannabis throughout Argentina under the Argentinian “Compassionate Use” national law, which allows patients with refractory epilepsy, holding a medical prescription from a neurologist, to apply for special access to imported medical cannabis products.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Panama, Tilray has entered into a joint venture with Top Tech Global Inc, creating Solana Life Group, that has received a medical cannabis license issued by the National Directorate of Pharmacy and Drugs in Panama authorizing the cultivation, manufacturing, import, export, distribution and sale of medical cannabis in the country.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products are also distributed by multiple wholesalers and directly to pharmacies in various countries throughout Europe and in Australia.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Wholesale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Canada, we are authorized to sell wholesale bulk and finished cannabis products to other licensees under the Cannabis Regulations. The bulk wholesale sales and distribution channel requires minimal selling, administrative, and fulfillment costs. Our focus on the right strain assortment, quality of flower, extraction capabilities and processing, enables us to drive wholesale channel opportunities for revenue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the Canadian market continue to result in more competitors moving towards an asset light model through the rationalization of cultivation facilities. As this transition occurs, the Company anticipates demand for its saleable flower to increase, providing new opportunities in the wholesale channel.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intend to expand our capabilities outside of saleable flower, as our quality of extraction processes continue to grow. We plan to be selective in choosing partners, with the intent to secure supply agreements to further optimize and drive efficiency within our supply chain and operations. While we intend to pursue wholesale sales channels as part of our growth strategies in Canada, these sales will continue to be used to aid in balancing inventory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Canadian Medical and Adult-Use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Medical and adult-use cannabis in Canada is regulated under the federal </w:t>
      </w:r>
      <w:r>
        <w:rPr>
          <w:rFonts w:ascii="Times New Roman" w:hAnsi="Times New Roman"/>
          <w:i/>
          <w:caps w:val="false"/>
          <w:smallCaps w:val="false"/>
          <w:sz w:val="20"/>
        </w:rPr>
        <w:t>Cannabis Act</w:t>
      </w:r>
      <w:r>
        <w:rPr>
          <w:rFonts w:ascii="Times New Roman" w:hAnsi="Times New Roman"/>
          <w:caps w:val="false"/>
          <w:smallCaps w:val="false"/>
          <w:sz w:val="20"/>
        </w:rPr>
        <w:t xml:space="preserve"> (Canada) (the “Cannabis Act”) and the Cannabis Regulations (“CR”) promulgated under the Cannabis Act. Both the Cannabis Act and CR came into force in October 2018, superseding earlier legislation that only permitted commercial distribution and home cultivation of medical cannabis. The following are the highlights of the current federal legislation: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federal license is required for companies to cultivate, process and sell cannabis for medical or non-medical purposes. Health Canada, a federal government entity, is the oversight and regulatory body for cannabis licenses in Canada;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allows individuals to purchase, possess and cultivate limited amounts of cannabis for medical purposes and, for individuals over the age of 18 years, for adult-use recreational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enables the provinces and territories to regulate other aspects associated with recreational adult-use. In particular, each province or territory may adopt its own laws governing the distribution, sale and consumption of cannabis and cannabis accessory products, and those laws may set lower maximum permitted quantities for individuals and higher age requirements;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promotion, packaging and labelling of cannabis is strictly regulated. For example, promotion is largely restricted to the place of sale and age-gated environments (</w:t>
            </w:r>
            <w:r>
              <w:rPr>
                <w:rFonts w:ascii="Times New Roman;Times;serif" w:hAnsi="Times New Roman;Times;serif"/>
                <w:i/>
                <w:caps w:val="false"/>
                <w:smallCaps w:val="false"/>
                <w:sz w:val="20"/>
              </w:rPr>
              <w:t>i.e.,</w:t>
            </w:r>
            <w:r>
              <w:rPr>
                <w:rFonts w:ascii="Times New Roman;Times;serif" w:hAnsi="Times New Roman;Times;serif"/>
                <w:caps w:val="false"/>
                <w:smallCaps w:val="false"/>
                <w:sz w:val="20"/>
              </w:rPr>
              <w:t> environments with verification measures in place to restrict access to persons of legal age). Promotions that appeal to underage individuals are prohibited;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since the current federal regime came into force on October 17, 2018, certain classes of cannabis, including dried cannabis and oils, have been permitted for sale into the medical and adult-use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following amendments to the CR that came into force on October 17, 2019 (often referred to as Cannabis 2.0 regulations), other non-combustible form-factors, including edibles, topicals, and extracts (both ingested and inhaled), are permitted in the medical and adult-use markets;</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10"/>
        <w:gridCol w:w="79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export is restricted to medical cannabis, cannabis for scientific purposes, and industrial hemp;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 of medical cannabis occurs on a direct-to-patient basis from a federally licensed provider, while sale of adult-use cannabis occurs through retail-distribution models established by provincial and territorial governments.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provincial and territorial governments have, to varying degrees, enacted regulatory regimes for the distribution and sale of recreational adult-use cannabis within their jurisdiction, including minimum age requirements. The retail-distribution models for adult-use cannabis varies nationwide: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Quebec, New Brunswick, Nova Scotia and Prince Edward Island adopted a government-run model for retail and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Ontario, British Columbia, Alberta, and Newfoundland and Labrador adopted a hybrid model with some aspects, including distribution and online retail being government-run while allowing for private licensed retail stores;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Manitoba and Saskatchewan adopted a private model, with privately-run retail stores and online sales, with distribution in Manitoba managed by the provincial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three northern territories of Yukon, Northwest Territories and Nunavut adopted a model that mirrors their government-run liquor distribution model.</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cannabis industry is subject to substantial federal and provincial excise taxes. Excise taxes may be increased in the future by the federal or any provincial government or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European Union Medical Use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country within the European Union (“EU”) has its own laws and regulations relating to medical and adult-use cannabis, with most countries only permitting the use of medical cannabis and then to varying degrees. Countries within the EU are at different stages of legalization of medical and adult-use cannabis as some countries have expressed a clear political ambition to legalize adult-use cannabis (Portugal and Luxembourg), some are engaging in an experiment for adult-use (Germany, Netherlands and Switzerland), following the medical legalization in Malta in 2021, in Germany in 2024 and in the Czech Republic in 2026. France is debating regulations for cannabinoid-based medicine and Spain was the last country legalizing medical cannabis in the EU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EU also requires adherence to EU-GMP standards for the manufacture of active substances and medicinal products, including cannabis products. The EU system for certification of EU-GMP allows a Competent Authority of any EU member state to conduct inspections of manufacturing sites and, if the strict EU-GMP standards are met, to issue a certificate of EU-GMP compliance that is also accepted in other EU member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Competitive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face intense competition from the illicit market as well as other companies, some of which may have longer operating histories and more financial resources and manufacturing and marketing experience. With potential consolidation in the cannabis industry, we could face increased competition by larger and better financed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Growers of cannabis and retailers operating in the illicit market continue to hold significant market share in Canada and are effectively competitors to our business. Illicit market participants divert consumers away through product offerings, price point, anonymity and convenience.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Outdoor cultivation also significantly reduces the barrier to entry by reducing the start-up capital required for new entrants in the cannabis industry. It may also ultimately lower prices as capital expenditure requirements related to growing outside are typically much lower than those associated with indoor growing. Further, the licensed outdoor cultivation capacity is extremely large. While outdoor cultivation is almost exclusively extraction grade, its presence in the market will have a negative effect on pricing of extraction grade wholesale cannabis.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May 31, 2026, Health Canada has issued approximately 1,000 active licenses to cannabis cultivators, processors and sellers. Health Canada licenses are limited to individual properties. As such, if a licensed producer seeks to commence production at a new site, it must apply to Health Canada for a new license. As of May 31, 2026, approximately 3,700 authorized retail cannabis stores have opened across Canada. As demand for legal cannabis increases and the number of authorized retail distribution points increases, we believe new competitors are likely to enter the Canadian cannabis market. Nevertheless, we believe our brand recognition combined with the quality, consistency, and variety of cannabis products we offer will allow us to maintain a prominent position in the Canadian adult use and medical markets.</w:t>
      </w:r>
    </w:p>
    <w:p>
      <w:pPr>
        <w:pStyle w:val="TextBody"/>
        <w:bidi w:val="0"/>
        <w:spacing w:before="0" w:after="0"/>
        <w:ind w:left="0" w:right="0" w:hanging="0"/>
        <w:jc w:val="left"/>
        <w:rPr/>
      </w:pPr>
      <w:r>
        <w:rPr/>
        <w:t> </w:t>
      </w:r>
    </w:p>
    <w:p>
      <w:pPr>
        <w:pStyle w:val="TextBody"/>
        <w:bidi w:val="0"/>
        <w:spacing w:before="0" w:after="0"/>
        <w:ind w:left="0" w:right="0" w:firstLine="780"/>
        <w:jc w:val="both"/>
        <w:rPr>
          <w:rFonts w:ascii="Times New Roman" w:hAnsi="Times New Roman"/>
          <w:caps w:val="false"/>
          <w:smallCaps w:val="false"/>
          <w:sz w:val="20"/>
        </w:rPr>
      </w:pPr>
      <w:r>
        <w:rPr>
          <w:rFonts w:ascii="Times New Roman" w:hAnsi="Times New Roman"/>
          <w:caps w:val="false"/>
          <w:smallCaps w:val="false"/>
          <w:sz w:val="20"/>
        </w:rPr>
        <w:t>Competition is also based on product innovation, product quality, price, brand recognition and loyalty, effectiveness of marketing and promotional activity, the ability to identify and satisfy consumer preferences, as well as convenience and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Internationally, cannabis companies are limited to those countries which have adopted a drug policy that has legalized various aspects of the cultivation, distribution, sale or use of medical cannabis. These disparate frameworks previously have created a barrier to entry for competitors. While navigating these regulatory frameworks remains challenging, we continue to observe more entrants into various markets, especially Germany and Australia and have resultantly experienced increased price compression.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more countries to pass regulation allowing for the use of medical and/or recreational cannabis. While expansion of the global cannabis market will provide more opportunities to grow our international business, we also expect to experience increased global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Distribution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Pharma GmbH (“CC Pharma”) founded in 1999, is one of the leading pharmaceutical importers in Germany. For more than 25 years, CC Pharma has specialized in the re-importation and parallel importation of European pharmaceuticals, providing branded medicines to the German healthcare market on a more cost-effective basis. Through these activities, CC Pharma supports the socially and economically responsible supply of medicines and contributes to reducing medicinal product costs within the German healthcare system. CC Pharma also supports our medical cannabis business in Germany by providing packaging, order fulfillment, customer service, warehousing, and logistics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Customers and Product 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customers include public pharmacies, hospital pharmacies, and specialized pharmacies as well as pharmaceutical wholesalers. Distributing roughly 1,200 product lines, we offer a wide range of medicinal productions for different indications, including anti-rheumatic, oncology, and HIV prescription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one of the leading pharmaceutical importers, we have leveraged our core expertise and years of experience in the import business to import high-quality, medical cannabis products for supply to pharmacies and pharmaceutical wholesalers. We also bring experience in the pharmacy market, especially in the areas of infrastructure, international logistics, distribution and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Stringent quality control and assurance are a top priority at CC Pharma. The basis of our quality management is the legal regulations, especially the GDP and GMP guidelines. We use the latest technological means and qualified personnel to continuously improve our company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Wellness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Brands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Tilray Wellness segment primarily consists of the Manitoba Harvest branded hemp-based food business, which develops, manufactures, markets and distributes a diverse portfolio of hemp-based food, super seeds, and wellness products under various brands, which include Manitoba Harvest and Just Hemp Foods. Manitoba Harvest products are sold in major retailers across the U.S. and Canada. Tilray Wellness also engages in business-to-business ingredient sales of hemp and other seeds. Tilray Wellness also manufactures, markets, and distributes wellness beverages, including HiBall Energy. HiBall Energy was acquired through Craft Acquisition I and is made with zero sugar, zero calories, and organic caffeine. HiBall’s products are all crafted with a proprietary energy blend, consisting of caffeine, guarana, and ginseng.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our Wellness segment, we own two BRC accredited facilities located in Manitoba, Canada that are dedicated to hemp processing and packaging Manitoba Harvest, Just Hemp Foods and private label products including hulled hemp seeds, hemp oil, and hemp protein.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Wellness sales consist of hemp and other hemp-based food products, which are sold to retailers, wholesalers, and direct to consumers. We are a leading provider of hemp seeds and related food products that are sold in over 21,000 retail locations in the United States and Canada and available globally in 18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United States Regulation of Hemp-Based CBD &amp; THC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Hemp products are subject to state and federal regulation with respect to the production, distribution and sale of products intended for human ingestion or topical application. Hemp is categorized as Cannabis sativa L., a subspecies of the cannabis genus. Numerous unique, chemical compounds are extractable from Hemp, including CBD and THC. Hemp, as defined in the Agriculture Improvement Act of 2018 (the “2018 Farm Bill”), is distinguishable from marijuana, which also comes from the Cannabis sativa L. subspecies, by its absence of more than trace amounts (0.3% or less) of the psychoactive compound delta-9 THC. This definition, as currently in effect, is subject to the federal legislative amendment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2018 Farm Bill preserves the authority and jurisdiction of the Food and Drug Administration (the “FDA”), under the Food Drug &amp; Cosmetic Act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The 2018 Farm Bill has also enabled production of hemp seed in the U.S. and the FDA issued letters of no objection to the GRAS (Generally Recognized as Safe) notifications for hulled hemp seeds, hemp seed protein, and hemp seed oil. As a producer and marketer of Hemp-derived products and hemp seed-derived food products, the Company must comply with the FDA regulations applicable to manufacturing and marketing of certain products, including food, dietary supplements, and cosmetics.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2018 Farm Bill, federal law dictates that CBD and THC derived from Hemp is not a controlled substance; however, CBD and THC derived from Hemp may still be considered a controlled substance under applicable state law. Individual states take varying approaches to regulating the production and sale of Hemp and Hemp-derived CBD and THC. Some states explicitly authorize and regulate the production and sale of Hemp-derived CBD and THC or otherwise provide legal protection for authorized individuals to engage in commercial Hemp activities. Other states, however, maintain drug laws that do not distinguish between marijuana and Hemp and/or Hemp-derived CBD or THC which results in Hemp being classified as a controlled substance under certain state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November 12, 2025, Congress enacted, and the President signed, full-year FY2026 agriculture appropriations legislation (P.L. 119-37) that amends the federal definition of hemp under 7 U.S.C. § 1639o. The legislation replaces the prior 0.3% delta-9 THC standard with a “total THC” standard (inclusive of THCA and other THC isomers) and establishes a new ceiling of no more than 0.4 milligrams of total THC per container for finished Hemp-derived products. The amended definition is scheduled to take effect on November 12, 2026, following a one-year transition period, after which Hemp-derived products exceeding these thresholds would be treated as marijuana, and therefore as controlled substances, under federal law. While the Company’s Hemp seed-derived food products—including hulled hemp seeds, hemp oil, and hemp protein—generally contain only negligible amounts of THC and are expected to remain within the amended definition, the legislation could materially affect the broader market for Hemp-derived CBD and THC products, and the Company continues to evaluate its potential impact on certain of its product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sales of craft beer and spirits generally reflect a degree of seasonality, with comparatively higher sales in the summer and the winter holiday season. Typically, the demand for cannabis is fairly consistent throughout the calendar year, with an increase in the pre-roll cannabis category in the Canadian adult-use market during the summer months. Additionally, the demand for our hemp-based food and wellness products is fairly consistent throughout the calendar year, with modestly higher demand for certain natural energy during the warmer months. Therefore, the results for any particular quarter may not be indicative of the results to be achieved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Environmental and Social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Environmental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recognizes the importance of climate change and the potential risks it poses to our business and the environment. We are committed to playing our part in mitigating climate change by monitoring our greenhouse gas (GHG) emissions, minimizing our environmental footprint, and promoting sustainable practices within our operations. We understand that climate change presents both risks and opportunities to our business. As a global lifestyle consumer products company, we recognize that climate-related risks may include changing weather patterns, water scarcity, and regulatory developments related to emissions and energy consumption. These risks can affect our supply chain, cultivation processes, and distribution networks, potentially impacting our financial performance. On the other hand, we see opportunities in adopting sustainable practices, developing innovative solutions, and embracing renewable energy sources. By proactively managing climate-related risks and identifying opportunities, we aim to enhance our resilience, reduce costs, and create long-term value for our shareholders. As such, the Company has implemented several initiatives to address climate change and promote sustainability across our operations which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GHG Emissions Monitoring: We are committed to monitoring our GHG emissions by assessing energy-efficient technologies, optimizing transportation logistics, and monitoring our energy consumption.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Supply Chain Sustainability: We are working closely with our suppliers to encourage innovative solutions to improve our environmental footprint. This includes assessing suppliers' environmental performance, promoting responsible sourcing, and supporting initiatives that enhance sustainability throughout the value chain. Specifically, in our Cannabis business we recently adopted the use of biodegradable Hemp packaging on certain products to reduce the use of single-use plastics.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Waste Management: We have implemented waste management programs to minimize waste generation and promote recycling and reuse. Through these efforts, we strive to reduce our environmental impact and contribute to the circular economy.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Environmental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cannabis, brewing and spirits operations are subject to a variety of federal, state and local environmental laws and regulations and local permitting requirements and agreements regarding, among other things, the maintenance of air and water quality standards and land reclamation. They also set forth limitations on the generation, transportation, storage and disposal of hazardous waste. In addition, any new products introduced by us are subject to a comprehensive environmental assessment by an independent third-party expert, including an assessment of how such products may create environmental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have no reason to believe the operation of our facilities violates any such regulation or requirement, including the Clean Air Act, the Clean Water Act and the Resource Conservation and Recovery Act, environmental regulation is evolving in a manner which may require stricter standards and enforcement, increased fines and penalties for non-compliance, more stringent environmental assessments of proposed projects and a heightened degree of responsibility for companies and their officers, directors and employees. If a violation were to occur, or if environmental regulations were to become more stringent in the future, we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socially responsible corporation, Tilray recognizes the importance of addressing the social dimensions of our operations and their impact on various stakeholders. We actively engage with the communities in which we operate, understanding that our success is intertwined with their well-being. Through donations to the Erie Shores Community Hospital in Leamington, support to our Canadian veterans and other compassionate use cannabis programs, and donations to the Waterkeeper Alliance from Sweetwater's 420 fest, we aim to address local needs and contribute to social development. As well, during the year the Company launched a podcast “Men’s Health on Tap” with our Beverage division and renowned doctors to spark conversations and encourage friends, family, and colleagues to discuss men’s health openly through awareness, education, and launching outreach activities aimed at increasing men’s health literacy.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commitment to social responsibility is further evident in the various wellness initiatives undertaken by Manitoba Harvest. These include environmental and community support activities for Earth Month, and partnerships with One Tree Planted and Kiss the Ground. Furthermore, we ensure the sustainability of our practices through donations of dated items to Second Harvest and maintaining the Certified Carbon Neutral status for Fresh Hemp Foods. Fresh Hemp Foods has also been a certified B Corp for 12 years, reflecting our dedication to social and environmental performance, accountability, and transparency. Additionally, our product line boasts seven Regenerative Organic Certified (ROC) SKUs, underscoring our commitment to regenerative agriculture and sustainable practices.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our facility operations, we also monitor and implement sustainability programs globally to minimize our environmental footprint. These initiatives include comprehensive recycling programs, the installation of an additional solar power plant to supplement our existing one, retrofitting greenhouse lighting from high-pressure sodium (HPS) to LED technology, and substituting natural gas-powered boilers with heat-pumps. These efforts reflect our unwavering commitment to environmental stewardship and sustainable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strive to help inspire and empower the worldwide community to live their very best life and build long-lasting relationships based on trust and mutual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Commitments and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vision and purpose unite, inform and inspire our employees to apply their talents to make a positive difference. We foster a collaborative and dynamic work environment providing all employees with the opportunity to work cross-functionally and easily gain exposure to other teams’ diverse opinions and perspectives. We strive for every employee to reach their full potential and grow with Tilray.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focus on developing a culture of compliance, which includes annual training for the Company's employees on applicable corporate policies, including our Code of Conduct, Insider Trading and Trading Window Policy, Corporate Governance Guidelines and Open Door Policy for Reporting Complaints Regarding Accounting and Auditing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Tilray, we recognize that our people are our greatest asset, and we strive to create a workplace that fosters their growth, development, and wellbeing. As of May 31, 2026, we have approximately 3,595 employees worldwide. We consider relations with our employees to be good and have never experienced work stoppages. Aside from certain of our Cantanhede, Portugal and Portland Oregon employees from the initial Craft Brand acquisition, none of our employees are represented by labor unions or are subject to collective bargaining agreements. As is common for most companies doing business in Portugal, we are subject to a government-mandated collective bargaining agreement which grants employees nominal additional benefits beyond those required by the local labor code.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human capital resource management approach is centered on the following key areas: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Talent Acquisition and Development. </w:t>
            </w:r>
            <w:r>
              <w:rPr>
                <w:rFonts w:ascii="Times New Roman;Times;serif" w:hAnsi="Times New Roman;Times;serif"/>
                <w:sz w:val="20"/>
              </w:rPr>
              <w:t>We have implemented a comprehensive talent acquisition and development program to attract, retain, and develop our employees. This includes regular performance assessments, feedback mechanisms, and opportunities for skill-building and career advancement.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Health and Safety.</w:t>
            </w:r>
            <w:r>
              <w:rPr>
                <w:rFonts w:ascii="Times New Roman;Times;serif" w:hAnsi="Times New Roman;Times;serif"/>
                <w:sz w:val="20"/>
              </w:rPr>
              <w:t xml:space="preserve"> We are committed to providing a safe and healthy workplace for all employees. We have implemented strict health and safety protocols, including regular safety training, ergonomic assessments, and mental health support.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Compensation and Benefits</w:t>
            </w:r>
            <w:r>
              <w:rPr>
                <w:rFonts w:ascii="Times New Roman;Times;serif" w:hAnsi="Times New Roman;Times;serif"/>
                <w:sz w:val="20"/>
              </w:rPr>
              <w:t>. We strive to provide competitive compensation and benefits packages that align with industry standards and reflect the value that our employees bring to the organization.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Employee Engagement.</w:t>
            </w:r>
            <w:r>
              <w:rPr>
                <w:rFonts w:ascii="Times New Roman;Times;serif" w:hAnsi="Times New Roman;Times;serif"/>
                <w:sz w:val="20"/>
              </w:rPr>
              <w:t xml:space="preserve"> We prioritize employee engagement and satisfaction, as we believe that engaged employees are more productive, innovative, and committed.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AI and Cryptocurrency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dedicated to leveraging advanced technologies to align with our shareholder interests, the consumer of tomorrow, enhancing efficiency and driving growth. We are implementing AI across our global operations to enhance our expertise, optimize processes, achieve substantial improvements, and advance our business objectives. In the cultivation sector, we are utilizing advanced horticulture automation technology throughout our global greenhouse operations. By integrating this technology with AI-driven data insights, we can manage greenhouse conditions in real-time, leading to more efficient operations, increased output, superior quality, and reduced costs for resources such as labor, water, and energy. The Company is also exploring strategic initiatives related to cryptocurrency that align with our business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website address is </w:t>
      </w:r>
      <w:r>
        <w:rPr>
          <w:rFonts w:ascii="Times New Roman" w:hAnsi="Times New Roman"/>
          <w:caps w:val="false"/>
          <w:smallCaps w:val="false"/>
          <w:sz w:val="20"/>
          <w:u w:val="single"/>
        </w:rPr>
        <w:t>www.tilray.com</w:t>
      </w:r>
      <w:r>
        <w:rPr>
          <w:rFonts w:ascii="Times New Roman" w:hAnsi="Times New Roman"/>
          <w:caps w:val="false"/>
          <w:smallCaps w:val="false"/>
          <w:sz w:val="20"/>
        </w:rPr>
        <w:t>.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our annual report are available, free of charge, on written request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have a Code of Conduct that applies to our Board of Directors (“Board”) and all of our officers and employees, including, without limitation, our Chief Executive Officer and Chief Financial Officer. You can obtain a copy of our Code of Conduct, as well as our Corporate Governance Guidelines and charters for each of the Board’s standing committees, from the Investors section of our website at: </w:t>
      </w:r>
      <w:r>
        <w:rPr>
          <w:rFonts w:ascii="Times New Roman" w:hAnsi="Times New Roman"/>
          <w:caps w:val="false"/>
          <w:smallCaps w:val="false"/>
          <w:sz w:val="20"/>
          <w:u w:val="single"/>
        </w:rPr>
        <w:t>www.tilray.com</w:t>
      </w:r>
      <w:r>
        <w:rPr>
          <w:rFonts w:ascii="Times New Roman" w:hAnsi="Times New Roman"/>
          <w:caps w:val="false"/>
          <w:smallCaps w:val="false"/>
          <w:sz w:val="20"/>
        </w:rPr>
        <w:t>. If we change or waive any portion of the Code of Conduct that applies to any of our directors, executive officers or senior financial officers, we will disclose such information. Information on our website is not incorporated by reference into this Form 10-K or any other report filed with the SEC.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item1a"/>
      <w:bookmarkEnd w:id="4"/>
      <w:r>
        <w:rPr>
          <w:rFonts w:ascii="Times New Roman" w:hAnsi="Times New Roman"/>
          <w:b/>
          <w:caps w:val="false"/>
          <w:smallCaps w:val="false"/>
          <w:sz w:val="20"/>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Cannabis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cannabis business is dependent upon regulatory approvals and licenses, ongoing compliance and reporting obligations, and timely renewals.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cultivate, process, and sell medical and adult-use cannabis, cannabis-derived extracts and derivative cannabis products in Canada is dependent on maintaining the licenses issued to our operating subsidiaries by Health Canada under the Cannabis Regulations, or CR. These licenses allow us to produce cannabis in bulk and finished forms and to sell and distribute such cannabis in Canada. They also allow us to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These CR licenses and other approvals are valid for fixed periods and we must obtain renewals on a periodic basis.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required to obtain and maintain certain permits, licenses or other approvals from regulatory agencies in countries and markets outside of Canada in which we operate or to which we export our product, including, in the case of certain countries, the ability to demonstrate compliance with EU-GMP standards. We have received certification of compliance with EU-GMP standards for cultivation and production at Tilray Portugal and Aphria RX in Germany. These GMP certified facilities are subject to extensive ongoing compliance reviews to ensure that we continue to maintain compliance with current GMP standards. There can be no assurance that we will be able to continue to comply with these standards. Additionally, we are in the process of implementing EU-GMP standards at our Quebec cultivation facility and obtaining the related certifications and approvals. There can be no assurance that such certifications, approvals, or licenses will be obtained on a timely basis, or at all. Moreover, future governmental actions in countries where we operate, or import/export products, may limit, delay or altogether restrict the import and/or export of cannabis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future cannabis production facilities that we operate in Canada or elsewhere will also be subject to separate licensing requirements under the CR or applicable local requirements. Although we believe that we will meet the requirements for future renewals of our existing licenses and obtain requisite licenses for future facilities,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 An agency’s denial of or delay in issuing or renewing a permit, license or other approval, or revocation or substantial modification of an existing permit, license or approval, could restrict or prevent us from continuing the affected operations, or limit the export and/or import of our cannabis products. In addition, the export and import of cannabis is subject to United Nations treaties establishing country-by-country national estimates and our export and import permits are subject to these estimates which could limit the amount of cannabis we can export to any particular country.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our facilities in Canada and Europe are subject to ongoing inspections by the governing regulatory authority to monitor our compliance with their licensing requirements. Our existing licenses and any new licenses that we may obtain in the future in Canada or other jurisdictions may be revoked or restricted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cannabis in Canada or other jurisdictions or to import or export cannabis products. In addition, we may be subject to enforcement proceedings resulting from a failure to comply with applicable regulatory requirements in Canada or other jurisdictions, which could result in damage awards, the suspension, withdrawal or non-renewal of our existing approvals or denial of future approvals, recall of products, the imposition of future operating restrictions on our business or operations or the imposition of fines or other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Government regulation of the cannabis industry is evolving,</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including recent regulatory developments in the United States to reschedule cannabis from Schedule I to Schedule III under the Controlled Substances Act or revise the current federal framework under the 2018 Farm Bill for hemp-derived cannabis, including Delta-9, and any unfavorable changes or lack of commercial legalization could impact our ability to carry on our business as currently conducted and the potential expansion of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in a highly regulated and rapidly evolving industry. The successful execution of our business objectives is contingent upon compliance with all applicable laws and regulatory requirements in Canada (including the Cannabis Act and CR), Europe and other jurisdictions, and obtaining all required regulatory approvals for the production, sale, import and export of our cannabis products. The laws, regulations and guidelines generally applicable to the cannabis industry domestically and internationally may change in ways currently unforeseen. Any amendment to or replacement of existing laws, regulations, guidelines or policies may cause adverse effects to our operations, financial condition, results of operations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legislative framework pertaining to the Canadian cannabis market is still very new. In addition, the governments of every Canadian province and territory have implemented different regulatory regimes for the distribution and sale of cannabis for adult-use purposes within those jurisdictions. There is no guarantee that the Canadian legislative framework regulating the cultivation, processing, distribution and sale of cannabis will not be amended or replaced or the current legislation will create the growth opportunities we currently anticipate.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the United States, despite cannabis having been legalized at the state level for medical use in many states and for adult-use in a number of states, marijuana remains subject to significant federal regulation under the Controlled Substances Act, or the CSA, and the Controlled Substances Import and Export Act, or the CSIEA. Hemp and marijuana both originate from the </w:t>
      </w:r>
      <w:r>
        <w:rPr>
          <w:rFonts w:ascii="Times New Roman" w:hAnsi="Times New Roman"/>
          <w:i/>
          <w:caps w:val="false"/>
          <w:smallCaps w:val="false"/>
          <w:sz w:val="20"/>
        </w:rPr>
        <w:t>Cannabis sativa</w:t>
      </w:r>
      <w:r>
        <w:rPr>
          <w:rFonts w:ascii="Times New Roman" w:hAnsi="Times New Roman"/>
          <w:caps w:val="false"/>
          <w:smallCaps w:val="false"/>
          <w:sz w:val="20"/>
        </w:rPr>
        <w:t xml:space="preserve"> plant and CBD is a constituent of both. In April 2026, the U.S. Department of Justice and the Drug Enforcement Administration, or DEA, issued an order placing certain FDA-approved marijuana products and certain marijuana products regulated pursuant to qualifying state-issued medical marijuana licenses into Schedule III of the CSA. At the same time, the DEA initiated an administrative process to consider whether marijuana more broadly should be transferred from Schedule I to Schedule III. As of the date of this Form 10-K, that broader rescheduling process remains ongoing, and there can be no assurance regarding its timing, outcome, implementation, scope, or ultimate impact on the cannabis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2018 Farm Bill, “hemp,” or cannabis and cannabis derivatives containing no more than 0.3% tetrahydrocannabinol, or THC, on a dry-weight basis, is excluded from the statutory definition of “marijuana” and is therefore not a Schedule I controlled substance under the CSA. However, the federal and state regulatory frameworks applicable to hemp and hemp-derived cannabinoids, including CBD, Delta-8 THC, Delta-9 THC, THCA and other cannabinoids, continue to evolve and may be amended, restricted or otherwise modified in ways that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the United States will implement broader federal legalization of cannabis or that any future rescheduling of marijuana will occur. Even if marijuana is ultimately transferred to Schedule III under the CSA, marijuana would remain subject to federal regulation and control, and such action may not result in broader commercial legalization, interstate commerce, expanded market access, changes to banking or securities regulations, or modifications to other federal or state laws affecting cannabis businesses. Any delay, modification, reversal or abandonment of rescheduling efforts, or the adoption of new restrictions applicable to hemp-derived cannabinoids, could adversely affect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expand internationally is also contingent, in part, upon compliance with applicable regulatory requirements enacted by governmental authorities and obtaining all requisite regulatory approvals. We cannot predict the impact of the compliance regime that governmental authorities may implement to regulate the adult-use or medical cannabis industry. Similarly, we cannot predict how long it will take to secure all appropriate regulatory approvals for our products, or the extent of testing and documentation that may be required by governmental authorities. The impact of the various compliance regimes, any delays in obtaining, or failure to obtain regulatory approvals may significantly delay or impact the development of markets, products and sales initiatives and could have a material adverse effect on our business, financial condition, results of operations and prospects. As the commercial cannabis industry develops in Canada and other jurisdictions, we anticipate that regulations governing cannabis in Canada and globally will continue to evolve. Further, Health Canada or the regulatory authorities in other countries in which we operate or to which we export our cannabis products may change their administration or application of the applicable regulations or their compliance or enforcement procedures at any time. There is no assurance that we will be able to comply or continue to comply with applicable regulations, which could impact our ability to continue to carry on business as currently conducted and the potential expansion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incur and will continue to incur ongoing costs and obligations related to regulatory compliance. A failure on our part to comply with regulations may result in additional costs for corrective measures, penalties or restrictions on our business or operations. In addition, changes in regulations, more vigorous enforcement thereof or other unanticipated events could require extensive changes to our operations, increased compliance costs or give rise to material liabilities, which could have a material adverse effect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Competition from the illicit cannabis market could impact our ability to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competition from illegal market operators that are unlicensed and unregulated including illegal dispensaries and illicit market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results of operations, as well as the perception of cannabis use. Furthermore, given the restrictions on regulated cannabis retail, it is possible that legal cannabis consumers revert to the illicit market as a matter of convenience.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production and processing facilities are integral to our business and adverse changes or developments affecting our facilities may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cultivation and processing facilities are integral to our business and the licenses issued by applicable regulatory authorities are specific to each of these facilities. Adverse changes or developments affecting these facilities, including, but not limited to, disease or infestation of our crops, a fire, an explosion, a power failure, a natural disaster, extreme weather conditions, water availability, an epidemic, pandemic or other public health crisis, or a material failure of our security infrastructure, could reduce or require us to entirely suspend operations at the affected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significant failure of our site security measures and other facility requirements, including failure to comply with applicable regulatory requirements, could have an impact on our ability to continue operating under our facility licenses and our prospects of renewing our licenses, and could also result in a suspension or revocation of these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intense competition, and anticipate competition will increase, which could hurt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and we expect to continue to face, intense competition from other Licensed Producers and other potential competitors, some of which have longer operating histories and more financial resources than we have. In addition, we anticipate that the cannabis industry will continue to undergo consolidation, creating larger companies with financial resources, manufacturing and marketing capabilities and product offerings that may be greater than ours. As a result of this competition, we may be unable to maintain our operations or develop them as currently proposed, on terms we consider acceptable,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Health Canada has issued approximately a thousand licenses for Licensed Producers. The number of licenses granted and the number of Licensed Producers ultimately authorized by Health Canada could have an adverse impact on our ability to compete for market share in Canada. We expect to face additional competition from new market entrants and may experience downward price pressure on our cannabis products as new entrants increase production. If the number of users of cannabis in Canada increases, the demand for products will increase and the Company expects that competition will become more intense, as current and future competitors begin to offer an increasing number of diversified products and pricing strategies.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opportunity in the medical and adult-use markets could also be impacted if our competitors produce and commercialize products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To remain competitive, we intend to continue to invest in research and development, marketing and sales and client support. We may not have sufficient resources to maintain research and development, marketing and sales and client support efforts on a competitive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foregoing, the legal landscape for medical and adult-use cannabis is changing internationally. We maintain operations outside of Canada, which may be affected as other countries develop, adopt and change their laws related to medical and adult-use cannabis. Increased international competition, including competition from suppliers in other countries who may be able to produce at lower cost, and limitations placed on us by the countries in which we participate or other regulations, might lower the demand for our cannabis products on a global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cannabis industry and market are relatively new and evolving, which could impact our ability to succeed in this industry and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operating our business in a relatively new industry and market that is expanding globally, and our success depends on our ability to attract and retain consumers and patients. There are many factors which could impact our ability to attract and retain consumers and patients, including but not limited to brand awareness, our ability to continually produce desirable and effective cannabis products and the ability to bring new consumers and patients into the category. The failure to acquire and retain consumers and patients could have a material adverse effect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remain competitive, we will continue to innovate new products, build brand awareness and make significant investments in our business strategy and production capacity. These investments include introducing new products into the markets in which we operate, adopting quality assurance protocols and procedures, building our international presence and undertaking research and development. These activities may not promote our products as effectively as intended, or at all, and we expect that our competitors will undertake similar investments to compete with us for market share. Competitive conditions, consumer preferences, regulatory conditions, patient requirements,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customers or to develop new cannabis products and produce and distribute these products in time to be effectively commercialized, or these activities may require significantly more resources than we currently anticipate in order to be successful.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Regulations constrain our ability to market and distribute our products in Canada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Canada and Europe, there are significant regulatory restrictions on the marketing, branding, product formats, product composition, packaging, and distribution of adult-use cannabis products. For instance, the CR includes a requirement for health warnings on product packaging, the limited ability to use logos and branding (only one brand name and one brand element per package), restrictions on packaging itself, and restrictions on types and avenues of marketing. Cannabis 2.0 regulations, which govern the production and sale of new classes or forms of cannabis products (including vapes and edibles), impose considerable restrictions on product composition, labeling, and packaging in addition to being subject to similar marketing restrictions as existing form factors.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each province and territory of Canada has the ability to separately regulate the distribution of cannabis within such province or territory (including the legal age), and the rules and regulations adopted vary significantly. Additional marketing and product composition restrictions have been imposed by some provinces and territories. Such federal and provincial restrictions may impair our ability to differentiate our products and develop our adult-use brands. Some provinces and territories also impose significant restrictions on our ability to merchandise products; for example, some provinces impose restrictions on investment in retailers or distributors as well as in our ability to negotiate for preferential retail space or in-store marketing. If we are unable to effectively market our products and compete for market share, our sales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regarding the health effects of cannabis is in relatively early stages and subject to further study which could impact demand for cannabis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clinical trials on the potential benefits and the short-term and long-term effects of cannabis use on human health remains in relatively early stages and there is limited standardization. As such, there are inherent risks associated with using cannabis and cannabis derivative products. Moreover, future research and clinical trials may draw opposing conclusions to statements contained in articles, reports and studies we relied on or could reach different or negative conclusions regarding the benefits, viability, safety, efficacy, dosing or other facts and perceptions related to cannabis, which could adversely affect social acceptance of cannabis and the demand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United States regulations relating to cannabinoid products, including CBD, Delta-9 THC, THCA and other cannabinoids, are rapidly evolving, and recent federal and state legislative developments may materially restrict or eliminate certain product categories and adversely affect our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participation in the market for hemp-derived cannabinoid products, including products containing CBD, Delta-9 THC, THCA and other cannabinoids, and medical cannabis products in the United States and elsewhere may require us to employ novel approaches to existing regulatory pathways. The legal and regulatory framework governing such products continues to evolve at the federal, state and local levels, and regulators may adopt interpretations, requirements or enforcement positions that differ significantly from industry expectations. We cannot predict whether future legislation, regulations, agency guidance or enforcement priorities will support, restrict or prohibit the manufacturing, distribution, marketing or sale of hemp-derived cannabinoid products. The adoption of new regulatory requirements or the expansion of enforcement activities could require significant operational changes, increase compliance costs, limit product offerings, or adversely affect our ability to compete in these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hemp plant and the cannabis/marijuana plant are both part of the same </w:t>
      </w:r>
      <w:r>
        <w:rPr>
          <w:rFonts w:ascii="Times New Roman" w:hAnsi="Times New Roman"/>
          <w:i/>
          <w:caps w:val="false"/>
          <w:smallCaps w:val="false"/>
          <w:sz w:val="20"/>
        </w:rPr>
        <w:t>Cannabis sativa</w:t>
      </w:r>
      <w:r>
        <w:rPr>
          <w:rFonts w:ascii="Times New Roman" w:hAnsi="Times New Roman"/>
          <w:caps w:val="false"/>
          <w:smallCaps w:val="false"/>
          <w:sz w:val="20"/>
        </w:rPr>
        <w:t xml:space="preserve"> species. Although hemp has historically been defined under federal law based primarily on Delta-9 THC concentration, Congress enacted legislation in 2025 that is scheduled to become effective in November 2026 and that materially revises the federal definition of hemp. Among other things, the legislation replaces the prior Delta-9 THC standard with a broader total-THC standard that includes THCA and certain other cannabinoids, imposes strict limits on THC content in finished consumable products and excludes certain synthetic or converted cannabinoids from the federal hemp framework. As a result, numerous hemp-derived cannabinoid products that are currently manufactured, marketed or sold as federally lawful hemp products, including certain Delta-9 THC, THCA and similar products, may no longer qualify as hemp under federal law after the legislation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our existing or future products will continue to qualify for sale under applicable federal, state or local laws, or that we will be able to reformulate products, modify manufacturing processes, adjust marketing practices or otherwise adapt our operations in a commercially reasonable manner. Further, the implementation, interpretation and enforcement of the new federal requirements remain uncertain and may be subject to agency rulemaking, administrative action, litigation, judicial review or additional legislative changes. These developments could create operational uncertainty, increase compliance costs, limit market access and adversely affect consumer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hemp-derived cannabinoid products remain subject to regulation by the FDA as well as state and local authorities. The FDA has previously taken the position that certain products containing CBD or THC may not be marketed as conventional foods, beverages or dietary supplements under certain circumstances and may expand or modify its enforcement activities in the future. State and local governments have adopted, and continue to adopt, widely varying requirements governing the cultivation, manufacture, distribution, sale, labeling, marketing and possession of hemp-derived cannabinoid products. Such requirements may include product registration obligations, potency limitations, age restrictions, testing requirements, licensing requirements, channel-of-trade restrictions or outright prohibitions on certain products or cannabinoids. Compliance with these evolving requirements may be costly and burdensome and may require us to discontinue, reformulate or restrict the distribution of certain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regulation of hemp-derived cannabinoid products in the United States continues to evolve rapidly, and violations of applicable federal, state or local laws could result in warning letters, product seizures, recalls, fines, penalties, injunctions, license restrictions, administrative sanctions, civil litigation or criminal enforcement actions. Unforeseen regulatory developments, compliance obligations or market restrictions may materially adversely affect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Beverage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Changes in consumer preferences or public attitudes about alcohol could decrease demand for our beverage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general consumer trends lead to a decrease in the demand for our beers and other alcohol products or Breckenridge’s whiskey products, including craft beer, our sales and results of operations in the beverage segment may be adversely affected. There is no assurance that the craft brewing segment will experience growth in future periods. If the markets for wine, spirits or flavored alcohol beverages continue to grow, this could draw consumers away from the industry in general and our beverage products specifically.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the beverage industry is subject to public concern and political attention over alcohol-related social problems, including drunk driving, underage drinking and health consequences from the misuse of alcohol. In reaction to these concerns, steps may be taken to restrict advertising, to impose additional cautionary labeling or packaging requirements, or to increase excise or other taxes on beverage products. Any such developments may have an adverse impact on the financial condition, operating results and cash flows for our beverage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Developments affecting production sites, including at our breweries or our distillery in Breckenridge, could negatively impact financial results for our beverage business segment.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Adverse changes or developments affecting our beer production sites, or our distillery in Breckenridge, including, fire, power failure, natural disaster, public health crisis, or a material failure of our security infrastructure, could reduce or require us to entirely suspend operations. Additionally, due to many factors, including seasonality and production schedules of our various products and packaging, actual production capacity may fluctuate throughout the year and may not reach full working capacity. If we experience contraction in our sales and production volumes, the excess capacity and unabsorbed overhead may have an adverse effect on gross margins, operating cash flows and overall financial performance of our beverage businesses.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ability to complete the BrewDog U.S. acquisition is subject to regulatory approvals, and we may face risks associated with integrating all of the acquired BrewDog businesses.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completion of our proposed acquisition of BrewDog’s U.S. assets is dependent on receipt of certain regulatory approvals. There can be no assurance that such approvals will be obtained on a timely basis or at all, or that they will not include conditions that could delay or otherwise adversely affect the anticipated benefits of the transaction. In addition, we will be subject to risks commonly associated with integrating acquired businesses, including difficulties integrating operations, systems and controls; challenges in retaining customers; and potential disruptions to ongoing business activities. The integration process of BrewDog’s operations may require significant management attention and financial resources and may not achieve the anticipated synergies or strategic benefits within the expected timeframes. Any of these factors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Sweetwater, Breckenridge, Montauk, BrewDog</w:t>
      </w:r>
      <w:r>
        <w:rPr>
          <w:rFonts w:ascii="Times New Roman" w:hAnsi="Times New Roman"/>
          <w:caps w:val="false"/>
          <w:smallCaps w:val="false"/>
          <w:sz w:val="20"/>
        </w:rPr>
        <w:t> </w:t>
      </w:r>
      <w:r>
        <w:rPr>
          <w:rFonts w:ascii="Times New Roman" w:hAnsi="Times New Roman"/>
          <w:b/>
          <w:i/>
          <w:caps w:val="false"/>
          <w:smallCaps w:val="false"/>
          <w:sz w:val="20"/>
        </w:rPr>
        <w:t>and our other recently-acquired craft beverage brands portfolio each face substantial competition in the beer industry and the broader market for alcoholic beverage products, which could impact our business and financial results.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 for alcoholic beverage products within the United States is highly competitive due to the increasing number of domestic and international beverage companies with similar pricing and target drinkers, the introduction and expansion of hard seltzers and ready-to-drink beverages, gains in market share achieved by domestic specialty beers and imported beers, and the acquisition of craft brewers and smaller producers by larger companies. We anticipate competition among domestic craft brewers and distillers will also remain strong as existing facilities build more capacity, expand geographically and add more products, flavors and styles. The continued growth in the sales of hard seltzers, craft-brewed domestic beers and imported beers is expected to increase competition in the market for alcoholic beverages within the United States and, as a result, prices and market share of Breckenridge’s and our other craft brands' products may fluctuate and possibly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alcohol industry has seen continued consolidation among producers in order to take advantage of cost savings opportunities for supplies, distribution and operations. Due to the increased leverage that these combined operations have in distribution and sales and marketing expenses, the costs to Breckenridge and our other craft brands of competing could increase. The potential also exists for these large competitors to increase their influence with their distributors, making it difficult for smaller producers to maintain their market presence or enter new markets. The increase in the number and availability of competing products and brands, the costs to compete and potential decrease in distribution support and opportunities may adversely affect our business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Sweetwater, Breckenridge, Montauk, BrewDog</w:t>
      </w:r>
      <w:r>
        <w:rPr>
          <w:rFonts w:ascii="Times New Roman" w:hAnsi="Times New Roman"/>
          <w:caps w:val="false"/>
          <w:smallCaps w:val="false"/>
          <w:sz w:val="20"/>
        </w:rPr>
        <w:t> </w:t>
      </w:r>
      <w:r>
        <w:rPr>
          <w:rFonts w:ascii="Times New Roman" w:hAnsi="Times New Roman"/>
          <w:b/>
          <w:i/>
          <w:caps w:val="false"/>
          <w:smallCaps w:val="false"/>
          <w:sz w:val="20"/>
        </w:rPr>
        <w:t>and our other recently-acquired craft beverage brands portfolio are each dependent on distributors to deliver sustained growth and distribute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each of SweetWater, Breckenridge, Montauk, BrewDog and our other craft brands sells its beverages to independent distributors for distribution to retailers and, ultimately, to consumers. No assurance can be given that SweetWater, Breckenridge, Montauk and our other craft brands will be able to maintain their current distribution networks or secure additional distributors on favorable terms. If existing distribution agreements are terminated, it may not be possible to enter into new distribution agreements on substantially similar terms or to timely put in place replacement distribution agreements, which may result in an impairment to distribution and an increase in the costs of distribution.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Ongoing Litigation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litigation, arbitration and demands, which could result in significant liability and costs, and impact our resources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has previously been named as a defendant in multiple class-action cases, including securities litigation claims against its predecessor (Aphria) in the U.S. that remain ongoing. In addition, legal proceedings covering a wide range of matters are pending or threatened in various U.S. and foreign jurisdictions against the Company. The types of claims that may be raised in these proceedings include derivative litigation, securities class actions, contractual disputes, product liability, unfair trade practices, antitrust, tax, contraband shipments, patent infringement, employment matters, claims for contribution and claims of competitors, shareholders or distributors. Litigation is subject to uncertainty and it is possible that there could be adverse developments in pending or future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other litigation and demands relating to business decisions, regulatory and industry changes, supply relationships, data privacy and cybersecurity incidents, product marketing and labeling practices, intellectual property rights, and acquisition, disposition and integration activities. In addition, Tilray and its subsidiaries are involved from time to time in formal and informal investigations, examinations, audits and proceedings conducted by governmental, regulatory and self-regulatory authorities in the jurisdictions in which we operate. Such matters may result in adverse judgments, settlements, fines, penalties, injunctions, consent orders, license restrictions, increased compliance obligations, operational limitations or other forms of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Litigation, investigations and regulatory proceedings are costly, time-consuming and may divert the attention of management and other personnel from the operation of our business. The outcome of legal and regulatory matters is inherently difficult to predict, and our accruals and insurance coverage may prove inadequate to cover actual liabilities. Even where we believe claims lack merit, we may nevertheless incur substantial legal fees, expert costs, settlement expenses and other expenditures. Any adverse determination, settlement or regulatory action could materially adversely affect our business, financial condition, results of operations, cash flows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incurred, and expect to continue to incur, significant legal, professional and compliance costs associated with the defense, investigation and resolution of these matters. Any adverse judgment, settlement or enforcement action, or the costs of defending such matters, could have a material adverse effect on our business, financial condition, results of operations and cash flows. For more information on our pending legal proceedings, see “</w:t>
      </w:r>
      <w:r>
        <w:rPr>
          <w:rFonts w:ascii="Times New Roman" w:hAnsi="Times New Roman"/>
          <w:i/>
          <w:caps w:val="false"/>
          <w:smallCaps w:val="false"/>
          <w:sz w:val="20"/>
        </w:rPr>
        <w:t>Part I, Item 3. Legal Proceedings</w:t>
      </w:r>
      <w:r>
        <w:rPr>
          <w:rFonts w:ascii="Times New Roman" w:hAnsi="Times New Roman"/>
          <w:caps w:val="false"/>
          <w:smallCaps w:val="false"/>
          <w:sz w:val="20"/>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General Business Risks and Risks Related to Our Financial Condition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Company</w:t>
      </w:r>
      <w:r>
        <w:rPr>
          <w:rFonts w:ascii="Times New Roman" w:hAnsi="Times New Roman"/>
          <w:caps w:val="false"/>
          <w:smallCaps w:val="false"/>
          <w:sz w:val="20"/>
        </w:rPr>
        <w:t>’</w:t>
      </w:r>
      <w:r>
        <w:rPr>
          <w:rFonts w:ascii="Times New Roman" w:hAnsi="Times New Roman"/>
          <w:b/>
          <w:i/>
          <w:caps w:val="false"/>
          <w:smallCaps w:val="false"/>
          <w:sz w:val="20"/>
        </w:rPr>
        <w:t>s business may be materially adversely affected by the imposition of duties and tariffs and other trade barriers and retaliatory countermeasures implemented by the U.S. and other governments.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Recently there have been significant changes to U.S. trade policies, sanctions, legislation, treaties and tariffs, including, but not limited to, trade policies and tariffs affecting products from outside of the U.S. For example, in early 2025, the current U.S. presidential administration announced significant new tariffs on foreign imports into the U.S., specifically from Mexico and Canada,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Any new or additional tariffs on goods imported to the U.S. from Mexico, Canada, or other countries, or products imported into the European Union or other non-U.S. markets, could also increase the cost of some of our products and reduce our margins. In response to the tariffs, the Company may seek to increase prices to its customers, which may diminish demand for its products. The imposition of additional tariffs or other trade barriers could increase our costs in certain markets and may cause our customers to find alternative sourcing or could make it more difficult for us to sell our products in some markets. Other countries where we operate or sell our products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 xml:space="preserve">Additional impairments of our goodwill, additional impairments of our intangible and other long-lived assets, and changes in the estimated useful lives of intangible assets could have a material adverse impact on our financial results.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intangible and other long-lived assets comprise a significant portion of our total assets. As of May 31, 2026 our goodwill and intangible assets totaled $752.4 million and $42.8 million, respectively. We test goodwill for impairment annually, while our other long-lived assets, including our finite-lived intangible assets, are tested for impairment when circumstances indicate that the carrying amount may not be recoverable, in accordance with Generally Accepted Accounting Principles in the U.S. (“GAAP”). A further decrease in our market capitalization or profitability, or unfavorable changes in market, economic or industry conditions could increase the risk of additional impairment. Any resulting additional impairments could have a negative impact on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continue to monitor key assumptions and other factors utilized in our goodwill, intangible and other long-lived assets impairment analysis, and if business or other market conditions develop that are materially different than we currently anticipate, we will conduct an additional impairment evaluation. Any additional reductions in or impairments of the value of goodwill, intangible assets and long-lived assets will result in an additional charge against earnings, which would have a material adverse impact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a limited operating history and a history of net losses, and we may not achieve or maintain profitability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began operating in 2014 and have yet to generate a profit. We intend to continue to expend funds to explore potential opportunities and complete strategic mergers and acquisitions, invest in research and development, expand our marketing and sales operations and meet the compliance requirements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herein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and selling cannabis and beverage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common stock may significantly decrease and our ability to raise capital, expand our business or continue our operations may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exposed to risks relating to the laws of various countries as a result of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conduct operations in multiple countries and plan to expand these international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our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if any, in the laws, regulations and policies relating to the advertising, production, sale and use of our products or in the general economic policies in these jurisdictions, or shifts in political attitude related thereto, may adversely affect the operations, or profitability of our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there is no assurance that we will be able to timely secure the requisite import and export permits for the international distribution of our products. Countries may also impose restrictions or limitations on imports that require the use of, or confer significant advantages upon, producers within that particular country. As a result, we may be required to establish facilities in one or more countries in the EU (or elsewhere) where we wish to distribute our products in order to take advantage of the favorable legislation offered to producers in these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required to comply concurrently with all applicable laws in each jurisdiction where we operate or to which we export our products, and any changes to such laws could adversely impact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Various federal, state, provincial and local laws and regulations govern our business in the jurisdictions in which we operate or propose to operate, and in which we export or propose to export our products. Such laws and regulations include those relating to health and safety, conduct of operations and the production, management, transportation, storage and disposal of our products and of certain material used in our operations. In many cases, we must concurrently comply with complex federal, provincial, state and/or local laws in multiple jurisdictions. These laws change frequently and may be difficult to interpret and apply. Compliance with these laws and regulations requires the investment of significant financial and managerial resources, and a determination that we are not in compliance with any of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strategic alliances and other third-party business relationships may not achieve the intended beneficial impact and expose us to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have, and may adjust the scope of, and may in the future enter into, strategic alliances with third parties that we believe will complement or augment our existing business.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or profitability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successfully identify and execute future acquisitions, dispositions or other equity transactions or to successfully manage the impacts of such transactions on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(vi) the loss or reduction of control over certain of our assets; and (vii) capital stock or cash to pay for the acquisition. Material acquisitions and strategic transactions have been and continue to be material to our business strategy. There can be no assurance that we will find suitable opportunities for strategic transactions at acceptable prices, have sufficient capital resources to pursue such transactions, be successful in negotiating required agreements, or successfully close transactions after signing such agreements. There is no guarantee that any acquisitions will be accretive, or that past or future acquisitions will not result in additional impairments or write downs.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inherent in an agricultural business, including the risk of crop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grow cannabis, which is an agricultural process. As such, our business is subject to the risks inherent in the agricultural business, including risks of crop failure presented by weather, climate change, forest fires, insects, plant diseases and similar agricultural risks. Although we primarily grow our products indoors under climate-controlled conditions, we also have certain outdoor cultivation capacity and there can be no assurance that natural elements, such as insects, climate change and plant diseases, will not interrupt our production activities or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on significant customers for a substantial portion of our revenue. If we fail to retain or expand our customer relationships or significant customers reduce their purchases, our revenue could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derive a significant portion of revenue from the supply contracts we have with 12 Canadian provinces and territories for adult-use cannabis products. There are many factors which could impact our contractual agreements with the provinces and territories, including but not limited to availability of supply, product selection and the popularity of our products with retail customers. If our supply agreements with certain Canadian provinces and territories are amended, terminated or otherwise altered, our sales and results of operations could be adversely affected,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not all of our supply contracts with the Canadian provinces and territories contain purchase commitments or otherwise obligate the provincial or territorial wholesaler to buy a minimum or fixed volume of cannabis products from us. The amount of cannabis that the provincial or territorial wholesalers may purchase under the supply contracts may therefore vary from what we expect or planned for. As a result, our revenues could fluctuate materially in the future and could be materially and disproportionately impacted by the purchasing decisions of the provincial or territorial wholesalers. In the future, these customers may decide to purchase less product from us than they have in the past, may alter purchasing patterns or return inventory, or may decide not to continue to purchase our products, any of which could cause our revenue to decline materially and materially harm our financial condition and results of operations. If we are unable to diversify our customer base, we will continue to be susceptible to risks associated with customer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attract or retain key personnel, and we may be unable to attract, develop and retain additional employees required for our development and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officers, directors, and certain key personnel at each of our facilities that are licensed by Health Canada are subject to the requirement to 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 also requires us to designate a qualified individual in charge who is responsible for supervising activities relating to the production of study drugs for clinical trials, which individual must meet certain educational and security clearance requirements. If our current designated qualified person in charge fails to maintain their security clearance, or leaves us and we are unable to find a suitable replacement who meets these requirements, we may no longer be able to continue our clinical trial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Increased labor costs, potential organization of our workforce, employee strikes, work stoppages, and other labor-related disruption may adversely affect our business, financial conditions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Outside Portugal and Portland, Oregon, none of our employees are represented by a labor union or subject to a collective bargaining agreement. In Portugal, none of our employees are represented by a labor union or subject to any workforce-initiated labor agreement. As with other companies carrying on business in Portugal, we are subject to a government-mandated collective bargaining agreement, which grants employees nominal additional benefits beyond those required by the local labor code. We cannot assure that our labor costs going forward will remain competitive based on various factors, such as: (i) our 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 In Portland, Oregon , employees voted to ratify a three-year collective bargaining agreement that covers approximately 50 full-time and part-time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unionized workforces could adversely impact our competitiveness and therefore adversely affect our business, financial condition, results of operations and cash flows. The further unionization of a greater portion of our workforce could also negatively impact our ability to run our business in the most efficient manner to remain competitive.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interruptions in our access to certain supply chains for key inputs such as raw materials, aluminum, supplies, electricity, water and other utilities may impair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key inputs and their related costs (certain of which are sourced in other countries and on different continents), including raw materials, aluminum, supplies and equipment related to our operations, as well as electricity, water and other utilities. We operate global manufacturing facilities, and have dispersed suppliers and customers. Governments may regulate or restrict the flow of labor or products, and the Company's operations, suppliers, customers and distribution channels could be severely impacted. While we have not experienced any material supply chain disruptions,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compete is dependent on us having access, at a reasonable cost and in a timely manner, to skilled labor, equipment, parts and components. No assurances can be given that we will be successful in maintaining our required supply of labor, equipment, parts and components. In addition, the invasion of Ukraine by Russia, the hostilities in Iran, and the resulting measures that have been taken, and could be taken in the future, have and may continue to have a negative impact on our costs, including for input materials, energy and transportation.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negatively impacted by volatility in the political and economic environment, and a period of sustained inflation across the markets in which we operate could result in higher operating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 monetary and fiscal policies, and political and economic conditions may substantially change, and credit markets may experience periods of constriction and variability. These conditions may impact our business. Further rising inflation may negatively impact our business, raise cost and reduce profitability. While we would take actions, wherever possible, to reduce the impact of the effects of inflation, in the case of sustained inflation across several of the markets in which we operate, it could become increasingly difficult to effectively mitigate the increases to our costs. In addition, the effects of inflation on consumers’ budgets could result in the reduction of our customers’ spending habits. If we are unable to take actions to effectively mitigate the effect of the resulting higher costs, our profitability and financial position could be negatively impacted.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risks associated with the transportation of our products to consumers in a safe and efficient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depend on fast, cost-effective, and efficient courier services to distribute our products to both wholesale and retail customers. Any prolonged disruption of third-party transportation services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 Further, geopolitical events and regional instability, including in the Middle East, may result in increased freight costs, shipping delays, and supply chain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products could also have an impact on our ability to continue supplying provinces and territories, to continue operating under our existing licenses, to renew or receive amendments to our existing licenses or to obtain new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products may be subject to recalls for a variety of reasons, which could require us to expend significant management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Manufacturers and distributors of cannabis, hemp and beverage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products, there can be no assurance that any quality, potency or contamination problems will be detected in time to avoid unforeseen product recalls, regulatory action or lawsuits, whether frivolous or otherwise. If any of the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cannabis industry more broadly, whether or not involving us, could also lead consumers to lose confidence in the safety and security of cannabis products generally, including products sold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product liability claims or regulatory action. This risk is exacerbated by the fact that cannabis use may increase the risk of serious adverse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Furthermore, we are as of the date of this Form 10-K offering an expanded assortment of form factors, some of which may have additional adverse side effects, such as vaping products. See also Risk Factor “</w:t>
      </w:r>
      <w:r>
        <w:rPr>
          <w:rFonts w:ascii="Times New Roman" w:hAnsi="Times New Roman"/>
          <w:i/>
          <w:caps w:val="false"/>
          <w:smallCaps w:val="false"/>
          <w:sz w:val="20"/>
        </w:rPr>
        <w:t>Our vape business is subject to uncertainty in the evolving vape market due to negative public sentiment and regulatory scrutiny.</w:t>
      </w:r>
      <w:r>
        <w:rPr>
          <w:rFonts w:ascii="Times New Roman" w:hAnsi="Times New Roman"/>
          <w:caps w:val="false"/>
          <w:smallCaps w:val="false"/>
          <w:sz w:val="20"/>
        </w:rPr>
        <w:t>” Previously unknown adverse reactions resulting from human consumption of cannabis or beverage products alone or in combination with other medications or substances could also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manufacture and sale of our products, like the manufacture and sale of any ingested product, involves a risk of injury to consumers due to tampering by unauthorized third parties or product contamination. We have in the past recalled, and may again in the future have to recall, certain products as a result of potential contamination and quality assurance concerns. A product liability claim or regulatory action against us could result in increased costs and could adversely affect our reputation and goodwill with our customers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adversely affect our commercial arrangements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or the cannabis industry more generally, may receive unfavorable publicity or become subject to negative consumer or investor perception.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 to comply with safety, health and environmental regulations applicable to our operations and industry may expose us to liability and impact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Compliance with GMP requires satisfying additional standards for the conduct of our operations and subjects us to ongoing compliance inspections in respect of these standards in connection with our GMP certified facilities.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government environmental approvals and permits are currently, and may in the future be required in connection with our operations. To the extent such approvals are required and not obtained, we may be curtailed or prohibited from its proposed business activities or from proceeding with the development of our operations as currently proposed. Failure to comply with applicable environmental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We may be required to compensate those suffering loss or damage due to our operations and may have civil or criminal fines or penalties imposed for violations of applicable environmental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experience breaches of security at our facilities, which could result in product loss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risks related to our information technology systems, including service interruption, cyber-attacks and misappropriation of data, which could disrupt operations and may result in financial losses and reputational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We are increasingly reliant on Cloud-based systems for economies of scale and our mobile workforce, which could result in increased attack vectors or other significant disruptions to our work processes.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a number of laws protecting the confidentiality of personal information and patient health information, and restricting the use and disclosure of that protected information. In particular, the privacy rules under the Personal Information Protection and Electronics Documents Act (Canada), or PIPEDA, the European Unions’ General Data Protection Regulation, or the GDPR, and similar laws in other jurisdictions, protect personal information, including medical records of individuals. We collect and store personal information about our employees and customers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 litigation and civil or criminal penalties, which could increase our liabilities and harm our reputation.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cannabis industry continues to face significant funding challenges, and we may not be able to secure adequate or reliable sources of funding, which may impact our operations and potential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continued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There can be no assurance that additional capital or other types of equity or debt financing will be available if needed or that, if available, the terms of such financing will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from time to time, we may enter into transactions to acquire assets or the capital stock or other equity interests of other entities. Our continued growth may be financed, wholly or partially, with debt, which may increase our debt levels above industry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existing and future debt agreements may contain covenant restrictions that limit our ability to operate our business and pursue beneficial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existing debt agreements and future debt agreements may contain, covenant restrictions that limit our ability to operate our business, including restrictions on our ability to invest in our existing facilities, incur additional debt or issue guarantees, create additional liens, repurchase stock or make other restricted payments. As a result of these covenants, our ability to respond to changes in business and economic conditions and engage in beneficial transactions, including to obtain additional financing and pursue business opportunities, may be restricted. Furthermore, our failure to comply with our debt covenants could result in a default under our debt agreements, which could permit the holders to accelerate our obligation to repay the debt and to enforce security over our assets. If any of our debt is accelerated, we may not have sufficient funds available to repay it or be able to obtain new financing to refinance the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Servicing our debt will require a significant amount of cash, and we may not have sufficient cash flow from our business to pay our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indebtedness (refer to the consolidated financial statements included elsewhere in this Form 10-K)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including rising interest rates. Our business has not generated 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Management may not be able to successfully establish and maintain effective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(“GAAP”). Due to the work around integration and modification to internal control over financial reporting and other policies and procedures,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not expected that our disclosure controls and procedures and internal controls over financial reporting will prevent all error or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Due to inherent limitations, our internal control over financial reporting may not prevent or detect all misstatements. The inherent limitations include the realities that judgments in decision-making can be faulty, and that breakdowns can occur because of simple errors or mistakes. Controls can also be circumvented by individual acts of certain persons, by collusion of two or more people or by management override of the controls. Due to the inherent limitations in a cost-effective control system, misstatements due to error or fraud may occur and may not be detected in a timely manner or at all. We cannot guarantee that we will not have a material weakness in our internal controls in the future. If we experience any material weakness in our internal controls in the future, our financial statements may contain misstatements and we could be required to restate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Since a significant portion of our sales are generated in Canada and other countries outside the United States, fluctuations in foreign currency exchange rates could harm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reporting currency for our financial statements is the United States dollar. We derive a significant portion of our revenue and incur a significant portion of our operating costs in Canada and Europe, as well as other countries outside the United States, including Australia. As a result, changes in the exchange rate in these jurisdictions relative to the United States dollar, may have a significant, and potentially adverse, effect on our results of operations. Our primary risk of loss regarding foreign currency exchange rate risk is caused by fluctuations in the exchange rates between the United States dollar against the Canadian dollar and the Euro, although as we expand internationally, we will be subject to additional foreign currency exchange risks. Because we recognize revenue in Canada in Canadian dollars and revenue in Europe in Euros, if either or both of these currencies weaken against the United States dollar it would have a negative impact on our Canadian and/or European operating results upon the translation of those results into United States dollars for the purposes of consolidation. In addition, a weakening of these foreign currencies against the United States dollar would make it more difficult for us to meet our obligations under the convertible securities we have issued.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have exposure to greater than anticipated tax liabilities,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all of which could increase our worldwide effective tax rate and the amount of taxes that we pay and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regular review and audit by federal, state, provincial and local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 Furthermore, due to shifting economic and political conditions, tax policies, laws, or rates in various jurisdictions, we may be subject to significant changes in ways that impair our financial results. Our results of operations and cash flows could be adversely affected by additional taxes imposed on us prospectively or retroactively or additional taxes or penalties resulting from the failure to comply with any collection obligations or failure to provide information for tax reporting purposes to various government agencies.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be able to utilize our net operating loss carryforwards which could result in greater than anticipated tax liabilities.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accumulated net operating loss carryforwards in the United States, Canada and other jurisdictions. Our ability to use our net operating loss carryforwards is dependent upon our ability to generate taxable income in future periods. In addition, these net operating loss carryforwards could expire unused or be subject to limitations which impact our ability to offset future income tax liabilities. U.S. federal net operating losses incurred in 2018 and in future years may be carried forward indefinitely. However, our Canadian net operating loss carryforwards begin to expire in 2028, and limited carryforward periods also exist in other jurisdictions. As a result, we may not be able realize the full benefit of our net operating loss carryforwards in Canada and other jurisdictions, which could result in increased future tax liability to us. Further, our ability to utilize net operating loss carryforwards in the United States and other jurisdictions could be limited from ownership changes in the current and/or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self-insured for certain losses, which may expose us to significant unexpected costs and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self-insure for certain losses, including, but not limited to, employee health, workers’ compensation, property in Canada and other claims. As a result, we may be subject to exposure for claims that are not covered by insurance, and our reserves may not be adequate to cover future losses. If the number or severity of claims increases, we may be required to record additional expenses,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Ownership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in public markets has experienced and may continue to experience severe volatility and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 price for our common stock, and the market price of stock of other companies operating in the cannabis industry, has been extremely volatile. For example, during the 2026 fiscal year, the trading price of our common stock ranged between a low sales price of $3.60 and a high sales price of $21.00, which reflects the Reverse Stock Split, which became effective on December 2, 2025. The market price of our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(vi) sales or perceived sales, or the expectation of future sales, of our common stock; (vii) significant acquisitions or business combinations, strategic partnerships, joint ventures or capital commitments by or involving us or our competitors; (viii) news reports or social media relating to trends, concerns, technological or competitive developments, regulatory changes and other related issues in the cannabis industry or our target markets; and (ix) the increase in the number of retail investors and their participation in social media platforms targeted at speculative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volatility of our stock and the stockholder base may hinder or prevent us from engaging in beneficial corporate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stockholder base is comprised of a large number of retail (or non-institutional) investors, which creates more volatility since stock changes hands frequently. In accordance with our governing documents and applicable laws, there are a number of initiatives that require the approval of stockholders at the annual or a special meeting. To hold a valid meeting, a quorum comprised of stockholders representing one-third of the voting power of our outstanding shares of common stock is necessary. A record date is established to determine which stockholders are eligible to vote at the meeting, which record date must be 30 – 60 days prior to the meeting. Since our stocks change hands frequently, there can be a significant turnover of stockholders between the record date and the meeting date which makes it harder to get stockholders to vote. While we make every effort to engage retail investors, such efforts can be expensive and the frequent turnover creates logistical issues. Further retail investors tend to be less likely to vote in comparison to institutional investors. Failure to secure sufficient votes or to achieve the minimum quorum needed for a meeting to happen may impede our ability to move forward with initiatives that are intended to grow the business and create stockholder value or prevent us from engaging in such initiatives at all. If we find it necessary to delay or adjourn meetings or to seek approval again, it will be time consuming and we will incur additional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have the ability to raise the funds necessary to settle conversions of the Convertible Securities in cash or to repurchase the Convertible Securities upon a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issued various securities convertible into shares of our common stock, or “Convertible Securities”. Holders of certain Convertible Securities have the right to require us to repurchase their Convertible Securities upon the occurrence of a fundamental change. In addition, upon conversion, unless we deliver solely shares of our common stock to settle such conversion (other than paying cash in lieu of delivering any fractional share), we will be required to make cash payments in respect of the Convertible Securities being converted. However, we may not have enough available cash or be able to obtain financing at the time we are required to make repurchases of Convertible Securities surrendered. In addition, our ability to repurchase the Convertible Securities or to pay cash upon conversions of the Convertible Securities may be limited by law, by regulatory authority or by agreements governing our future indebtedness. Our failure to repurchase Convertible Securities at a time when the repurchase is required by the indenture or to pay any cash payable on future conversions of the Convertible Securities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Securities or make cash payments upon conversions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conditional conversion feature of the Convertible Securities, if triggered, may adversely affect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a conditional conversion feature of the Convertible Securities is triggered, holders of Convertible Securities will be entitled to convert the Convertible Securities at any time during specified periods at their option. If one or more holders elect to convert their Convertible Securities,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Convertible Securities do not elect to convert their Convertible Securities, we could be required under applicable accounting rules to reclassify all or a portion of the outstanding principal of the Convertible Securities as a current rather than long-term liability, which would result in a material reduction of our net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Conversion of the Convertible Securities may dilute the ownership interest of our stockholders or may otherwise depress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conversion of some or all of the Convertible Securities may dilute the ownership interests of our stockholders. Upon conversion of the Convertible Securities,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Securities may encourage short selling by market participants because the conversion of the Convertible Securities could be used to satisfy short positions, or anticipated conversion of the Convertible Securities into shares of our common stock could depress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Certain provisions in the indentures governing the Convertible Securities may delay or prevent an otherwise beneficial takeover attempt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provisions in the indentures governing the Convertible Securities may make it more difficult or expensive for a third party to acquire us. For example, we may be required to repurchase certain Convertible Securities for cash upon the occurrence of a fundamental change and, in certain circumstances, to increase the relevant conversion rate for a holder that converts its Convertible Securities in connection with a make-whole fundamental change. A takeover of us may trigger the requirement that we repurchase the Convertible Securities and/or increase the conversion rate, which could make it more costly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stockholders may be subject to dilution resulting from future offerings of common stock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Provisions in our corporate charter documents could make an acquisition of us more difficult and may prevent attempts by our stockholders to replace or remove our current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board of directors is divided into three classes with staggered three-year terms which may delay or prevent a change of our management or a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Except in limited circumstances, 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certificate of incorporation prohibits cumulative voting in the election of directors, which limits the ability of minority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Cryptocurrency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cryptocurrency strategy faces high risk and uncertainty in light of market volatility and an evolving regulatory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decision to invest in and hold digital assets – including Bitcoin and other cryptocurrencies—as an addition to our treasury management strategy poses considerable risks that could materially harm our operating results and financial condition. The inherent volatility in cryptocurrency markets can lead to rapid and substantial fluctuations in the value of our digital asset holdings; such volatility may force us to liquidate positions at unfavorable prices, thereby significantly impairing our liquidity and overall financial 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cryptocurrency strategy is being implemented amid a continuously changing and uncertain regulatory environment. Evolving cryptocurrency regulations and varying interpretations and enforcement policies of existing laws in the United States and internationally may impose new compliance burdens, disrupt our operations, or necessitate significant modifications to our existing business practices. Any adverse regulatory action or delay in clarity could escalate our operational costs, materially harm the value of our digital asset holdings, restrict our flexibility in managing these assets, and damage our reputation with investors and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unique audit, accounting, and internal control challenges associated with managing digital assets add further complexity to our risk profile. As current financial reporting standards may not fully capture the nuances of digital asset investments, future modifications to these standards could require substantial changes in our accounting policies and internal controls. Our reliance on third-party custodial, trading and transaction platforms for the storage and processing of these assets also exposes us to increased cybersecurity threats, operational disruptions, and risks stemming from third-party service providers, each of which could result in significant financial inaccuracies, legal liabilities, or reputational damage. Relatedly, digital asset custodial accounts do not benefit from customary regulatory, insurance and safeguard regimes available to traditional brokerage and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nascent and rapidly evolving nature of digital asset markets, any unfavorable developments in market conditions, regulatory frameworks, or technological vulnerabilities could severely undermine our ability to execute our digital asset strategy effectively. Any significant adverse developments in the digital asset space may have a material negative impact on our long-term performance and strategic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adequately protect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long as cannabis remains illegal under U.S. federal law as a scheduled controlled substance under the CSA, the benefit of certain federal laws and protections that may be available to most businesses, such as federal trademark and patent protection, may not be available to us. As a result, our intellectual property may not be adequately or sufficiently protected against the use or misappropriation by third parties under such U.S. laws. In addition, since the regulatory framework of the cannabis industry is in a state of flux, we can provide no assurance that we will obtain protection for our intellectual property, whether on a federal, state or local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realize the full benefit of the clinical trials or studies that we participate in if we are unable to secure ownership or the exclusive right to use the resulting intellectual property on commercially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Times New Roman" w:hAnsi="Times New Roman"/>
          <w:i/>
          <w:caps w:val="false"/>
          <w:smallCaps w:val="false"/>
          <w:sz w:val="20"/>
        </w:rPr>
        <w:t>e.g.</w:t>
      </w:r>
      <w:r>
        <w:rPr>
          <w:rFonts w:ascii="Times New Roman" w:hAnsi="Times New Roman"/>
          <w:caps w:val="false"/>
          <w:smallCaps w:val="false"/>
          <w:sz w:val="20"/>
        </w:rPr>
        <w:t xml:space="preserve"> intellectual property relating to use of the study drug),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maintain adequate insurance coverage, the premiums may not continue to be commercially justifiable, and coverage limitations or exclusions may leave us exposed to uninsured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maintain insurance coverage, including product liability insurance, protecting many, but not all, of our assets and operations. Our insurance coverage is subject to coverage limits and exclusions and may not be available for all of the risks and hazards to which we are exposed, or the coverage limits may not be sufficient to protect against the full amount of loss.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diminish our liquidity, profitability or 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financial reporting obligations of being a public company and maintaining a dual listing on NASDAQ and on the TSX requires significant company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subject to the public company reporting obligations under the </w:t>
      </w:r>
      <w:r>
        <w:rPr>
          <w:rFonts w:ascii="Times New Roman" w:hAnsi="Times New Roman"/>
          <w:i/>
          <w:caps w:val="false"/>
          <w:smallCaps w:val="false"/>
          <w:sz w:val="20"/>
        </w:rPr>
        <w:t>Exchange Act</w:t>
      </w:r>
      <w:r>
        <w:rPr>
          <w:rFonts w:ascii="Times New Roman" w:hAnsi="Times New Roman"/>
          <w:caps w:val="false"/>
          <w:smallCaps w:val="false"/>
          <w:sz w:val="20"/>
        </w:rPr>
        <w:t xml:space="preserve"> and the rules and regulations regarding corporate governance practices, including those under the Sarbanes-Oxley Act, the Dodd-Frank Act, and the listing requirements of Nasdaq Global Select Market (“NASDAQ”) and the Toronto Stock Exchange (“TSX”). We incur significant legal, accounting, reporting and other expenses in order to maintain a dual listing on both the TSX and NASDAQ. Moreover, our listing on both the TSX and NASDAQ may increase price volatility due to various factors, including the ability to buy or sell common shares, different market conditions in different capital markets and different trading volumes. In addition, low trading volume may increase the price volatility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As a cannabis company, we may be subject to heightened scrutiny in Canada and the United States that could materially adversely impact the liquidity of our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existing operations in the United States, and any future operations, may become the subject of heightened scrutiny by regulators, stock exchanges and other authorities in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heightened risk profile associated with cannabis in the United States, the Canadian Depository for Securities Ltd., or CDS, may implement procedures or protocols that would prohibit or significantly impair the ability of CDS to settle trades for companies that have cannabis businesses or assets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8, 2018, following discussions with the Canadian Securities Administrators and recognized Canadian securities exchanges, the TMX Group, the parent company of CDS, announced the signing of a Memorandum of Understanding (the “TMX MOU”) with Aequitas NEO Exchange Inc., the CSE, the Toronto Stock Exchange, and the TSX Venture Exchange. The TMX MOU outlines the parties’ understanding of Canada’s regulatory framework applicable to the rules, procedures, and regulatory oversight of the exchanges and CDS as it relates to issuers with cannabis-related activities in the United States. The TMX MOU confirms, with respect to the clearing of listed securities, that CDS relies on the exchanges to review the conduct of listed issuers. As a result, there is no CDS ban on the clearing of securities of issuers with cannabis-related activities in the United States. However, there can be no assurances given that this approach to regulation will continue in the future. If such a ban were to be implemented, it could have a material adverse effect on the ability of holders of the common stock to settle trades. In particular, the shares of common stock would become highly illiquid until an alternative was implemented, and investors would have no ability to effect a trade of the common stock through the facilities of a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Tax and accounting requirements may change in ways that are unforeseen to us and we may face difficulty or be unable to implement or comply with any such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maintain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fail to comply.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Geopolitical instability involving the conflict in Iran could increase fuel and energy costs in Europe and adversely affect our operations and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Ongoing geopolitical instability in the Middle East, including the conflict involving Iran, has contributed to volatility in global oil and natural gas markets. Disruptions or perceived risks to energy supply routes, including shipping through key transit points, have resulted in increased fuel and energy prices in Europe and could continue to do so for an extended period. Europe remains exposed to global energy price fluctuations, and increases in fuel, transportation, and utility costs could adversely affect our operating expenses, supply chain costs, margins, and the cost of energy</w:t>
        <w:noBreakHyphen/>
        <w:t>intensive activities, including our brewing and cannabis cultivation operations, particularly within our European businesses. The duration and severity of the conflict remain uncertain, and any escalation or prolongation could exacerbate these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5" w:name="item1b"/>
      <w:bookmarkEnd w:id="5"/>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bookmarkStart w:id="6" w:name="Item_1c"/>
      <w:bookmarkEnd w:id="6"/>
      <w:r>
        <w:rPr>
          <w:rFonts w:ascii="Times New Roman" w:hAnsi="Times New Roman"/>
          <w:b/>
          <w:caps w:val="false"/>
          <w:smallCaps w:val="false"/>
          <w:sz w:val="20"/>
        </w:rPr>
        <w:t>Item 1C. 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Cybersecurity risk, management, and strategy</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recognizes that cybersecurity is critical to protecting our systems, data, and operations. We are committed to addressing the significant risks posed by cyber threats by proactively managing the evolving landscape through a comprehensive, enterprise wide approach. Our enterprise risk management framework considers cybersecurity risk alongside other company risks as part of our overall risk assessment process and shares common methodologies, reporting channels and governance processes that apply across the enterprise risk management framework to other legal, compliance, operational, and financial risk areas. The Company is committed to maintaining robust processes to assess, identify and mitigate material risks from cybersecurity threats and to protect against, detect and respond to cybersecurity incidents.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Our business is subject to various cybersecurity risks, including but not limited to, unauthorized access to sensitive data, including customer information and medical information, disruption of operations or supply chain due to cyberattacks, theft or manipulation of intellectual property, such as proprietary strains or cultivation techniques, regulatory non-compliance resulting from cybersecurity breaches, including violations of data privacy laws. To address these risks, we have implemented a comprehensive cybersecurity program, which includes, regular risk assessments and vulnerability testing to identify and remediate potential weaknesses in our infrastructure, deployment of advanced access controls, encryption, and endpoint protection to safeguard sensitive data such as customer and medical information, mandatory annual cybersecurity training and awareness programs for all employees to reduce the risk of social engineering and phishing attacks, and continual monitoring and incident response protocols to detect, contain and respond to cybersecurity incidents in a timely and effective manner. We also have information security and data privacy policies and procedures in place applicable to our directors, officers, employees, contractors and suppliers. Third parties service providers also contribute to our overall cybersecurity. We engage third parties that are cybersecurity experts to support in the design, implementation and continuous improvement of our cybersecurity program.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the date of this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we do not believe any risks from cybersecurity threats, including as a result of any previous cybersecurity incidents, have materially affected or are reasonably likely to materially affect us, including our business strategy, results of operations or financial condition. See “Item </w:t>
      </w:r>
      <w:r>
        <w:rPr>
          <w:rStyle w:val="Emphasis"/>
          <w:rFonts w:ascii="Times New Roman" w:hAnsi="Times New Roman"/>
          <w:caps w:val="false"/>
          <w:smallCaps w:val="false"/>
          <w:sz w:val="20"/>
        </w:rPr>
        <w:t>1A.</w:t>
      </w:r>
      <w:r>
        <w:rPr>
          <w:rFonts w:ascii="Times New Roman" w:hAnsi="Times New Roman"/>
          <w:caps w:val="false"/>
          <w:smallCaps w:val="false"/>
          <w:sz w:val="20"/>
        </w:rPr>
        <w:t xml:space="preserve"> Risk Factors” for further information about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Cybersecurity governance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Cybersecurity is an important part of our risk management processes and is an area of focus for our Board, Chief Information Officer ("CIO") whom reports directly to the Chief Executive Officer, and management team. Our CIO plays a pivotal role in assessing and managing material risks stemming from cybersecurity threats and is primarily responsible for the oversight of our overall cybersecurity risk management program, and coordinates with our external cybersecurity consultants. Additionally, given that cybersecurity risks can impact various areas of responsibility of the Committees of the Board, our Board of Directors oversees cybersecurity risk management and regularly reviews our cybersecurity strategy and initiatives. The Board receives quarterly and as needed updates on cybersecurity matters from the CIO and management on topics including threat landscape developments, incident response readiness, and program enhancements.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is dedicated to maintaining a robust cybersecurity program to safeguard our assets, data, and stakeholders’ interests. We remain vigilant in our efforts to identify, assess, and mitigate cybersecurity risks and are committed to transparency and accountability in our cybersecurity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7" w:name="item2"/>
      <w:bookmarkEnd w:id="7"/>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outlines our principal cultivation, manufacturing, storage facilities and brewpubs by reporting segment as of May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3710"/>
        <w:gridCol w:w="2440"/>
        <w:gridCol w:w="1273"/>
        <w:gridCol w:w="1058"/>
        <w:gridCol w:w="1724"/>
      </w:tblGrid>
      <w:tr>
        <w:trPr/>
        <w:tc>
          <w:tcPr>
            <w:tcW w:w="3710"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Facility and Primary Use</w:t>
            </w:r>
          </w:p>
        </w:tc>
        <w:tc>
          <w:tcPr>
            <w:tcW w:w="2440"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Location</w:t>
            </w:r>
          </w:p>
        </w:tc>
        <w:tc>
          <w:tcPr>
            <w:tcW w:w="1273"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 Segment</w:t>
            </w:r>
          </w:p>
        </w:tc>
        <w:tc>
          <w:tcPr>
            <w:tcW w:w="1058"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Owned/ Leased </w:t>
            </w:r>
          </w:p>
        </w:tc>
        <w:tc>
          <w:tcPr>
            <w:tcW w:w="1724"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Approximate Square Footage</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Canada:</w:t>
            </w:r>
          </w:p>
        </w:tc>
        <w:tc>
          <w:tcPr>
            <w:tcW w:w="2440" w:type="dxa"/>
            <w:tcBorders/>
            <w:shd w:fill="CCEEFF" w:val="clear"/>
            <w:tcMar>
              <w:top w:w="0" w:type="dxa"/>
              <w:bottom w:w="0" w:type="dxa"/>
            </w:tcMar>
            <w:vAlign w:val="center"/>
          </w:tcPr>
          <w:p>
            <w:pPr>
              <w:pStyle w:val="TableContents"/>
              <w:bidi w:val="0"/>
              <w:spacing w:before="0" w:after="283"/>
              <w:jc w:val="left"/>
              <w:rPr/>
            </w:pPr>
            <w:r>
              <w:rPr/>
              <w:t> </w:t>
            </w:r>
          </w:p>
        </w:tc>
        <w:tc>
          <w:tcPr>
            <w:tcW w:w="1273" w:type="dxa"/>
            <w:tcBorders/>
            <w:shd w:fill="CCEEFF" w:val="clear"/>
            <w:tcMar>
              <w:top w:w="0" w:type="dxa"/>
              <w:bottom w:w="0" w:type="dxa"/>
            </w:tcMar>
            <w:vAlign w:val="center"/>
          </w:tcPr>
          <w:p>
            <w:pPr>
              <w:pStyle w:val="TableContents"/>
              <w:bidi w:val="0"/>
              <w:spacing w:before="0" w:after="283"/>
              <w:jc w:val="left"/>
              <w:rPr/>
            </w:pPr>
            <w:r>
              <w:rPr/>
              <w:t> </w:t>
            </w:r>
          </w:p>
        </w:tc>
        <w:tc>
          <w:tcPr>
            <w:tcW w:w="1058" w:type="dxa"/>
            <w:tcBorders/>
            <w:shd w:fill="CCEEFF" w:val="clear"/>
            <w:tcMar>
              <w:top w:w="0" w:type="dxa"/>
              <w:bottom w:w="0" w:type="dxa"/>
            </w:tcMar>
            <w:vAlign w:val="center"/>
          </w:tcPr>
          <w:p>
            <w:pPr>
              <w:pStyle w:val="TableContents"/>
              <w:bidi w:val="0"/>
              <w:spacing w:before="0" w:after="283"/>
              <w:jc w:val="left"/>
              <w:rPr/>
            </w:pPr>
            <w:r>
              <w:rPr/>
              <w:t> </w:t>
            </w:r>
          </w:p>
        </w:tc>
        <w:tc>
          <w:tcPr>
            <w:tcW w:w="1724" w:type="dxa"/>
            <w:tcBorders/>
            <w:shd w:fill="CCEEFF" w:val="clear"/>
            <w:tcMar>
              <w:top w:w="0" w:type="dxa"/>
              <w:bottom w:w="0" w:type="dxa"/>
            </w:tcMar>
            <w:vAlign w:val="center"/>
          </w:tcPr>
          <w:p>
            <w:pPr>
              <w:pStyle w:val="TableContents"/>
              <w:bidi w:val="0"/>
              <w:spacing w:before="0" w:after="283"/>
              <w:jc w:val="left"/>
              <w:rPr/>
            </w:pPr>
            <w:r>
              <w:rPr/>
              <w:t> </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Aphria One (Cannabis Cultivation and Processing)</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Leamington, ON</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1,400,000</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Aphria Diamond Ltd. (Cannabis Cultivation)</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Leamington, ON</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CCEEFF" w:val="clear"/>
            <w:tcMar>
              <w:top w:w="0" w:type="dxa"/>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Owned1</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Broken Coast (Cannabis Cultivation)</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Nanaimo, BC</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60,000</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 Park Holdings (Cannabis 2.0 Processing)</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London, ON</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134,000</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Manitoba Harvest (Hemp Processing)</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Winnipeg, MB</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w:t>
            </w:r>
          </w:p>
        </w:tc>
        <w:tc>
          <w:tcPr>
            <w:tcW w:w="105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15,000</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Manitoba Harvest (Hemp Processing)</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 Agathe, MB</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w:t>
            </w:r>
          </w:p>
        </w:tc>
        <w:tc>
          <w:tcPr>
            <w:tcW w:w="105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Hexo Operations Inc. (Cannabis Cultivation and Processing)</w:t>
            </w:r>
          </w:p>
        </w:tc>
        <w:tc>
          <w:tcPr>
            <w:tcW w:w="2440" w:type="dxa"/>
            <w:tcBorders/>
            <w:shd w:fill="FFFFFF" w:val="clear"/>
            <w:tcMar>
              <w:top w:w="0" w:type="dxa"/>
              <w:bottom w:w="0" w:type="dxa"/>
            </w:tcMar>
            <w:vAlign w:val="center"/>
          </w:tcPr>
          <w:p>
            <w:pPr>
              <w:pStyle w:val="TableContents"/>
              <w:bidi w:val="0"/>
              <w:spacing w:before="0" w:after="283"/>
              <w:jc w:val="left"/>
              <w:rPr/>
            </w:pPr>
            <w:r>
              <w:rPr/>
              <w:t>Gatineau, QC</w:t>
            </w:r>
          </w:p>
        </w:tc>
        <w:tc>
          <w:tcPr>
            <w:tcW w:w="1273" w:type="dxa"/>
            <w:tcBorders/>
            <w:shd w:fill="FFFFFF" w:val="clear"/>
            <w:tcMar>
              <w:top w:w="0" w:type="dxa"/>
              <w:bottom w:w="0" w:type="dxa"/>
            </w:tcMar>
            <w:vAlign w:val="center"/>
          </w:tcPr>
          <w:p>
            <w:pPr>
              <w:pStyle w:val="TableContents"/>
              <w:bidi w:val="0"/>
              <w:spacing w:before="0" w:after="283"/>
              <w:jc w:val="left"/>
              <w:rPr/>
            </w:pPr>
            <w:r>
              <w:rPr/>
              <w:t>Cannabis</w:t>
            </w:r>
          </w:p>
        </w:tc>
        <w:tc>
          <w:tcPr>
            <w:tcW w:w="1058" w:type="dxa"/>
            <w:tcBorders/>
            <w:shd w:fill="FFFFFF" w:val="clear"/>
            <w:tcMar>
              <w:top w:w="0" w:type="dxa"/>
              <w:bottom w:w="0" w:type="dxa"/>
            </w:tcMar>
            <w:vAlign w:val="center"/>
          </w:tcPr>
          <w:p>
            <w:pPr>
              <w:pStyle w:val="TableContents"/>
              <w:bidi w:val="0"/>
              <w:spacing w:before="0" w:after="283"/>
              <w:jc w:val="left"/>
              <w:rPr/>
            </w:pPr>
            <w:r>
              <w:rPr/>
              <w:t>Owned</w:t>
            </w:r>
          </w:p>
        </w:tc>
        <w:tc>
          <w:tcPr>
            <w:tcW w:w="1724" w:type="dxa"/>
            <w:tcBorders/>
            <w:shd w:fill="FFFFFF" w:val="clear"/>
            <w:tcMar>
              <w:top w:w="0" w:type="dxa"/>
              <w:bottom w:w="0" w:type="dxa"/>
            </w:tcMar>
            <w:vAlign w:val="center"/>
          </w:tcPr>
          <w:p>
            <w:pPr>
              <w:pStyle w:val="TableContents"/>
              <w:bidi w:val="0"/>
              <w:spacing w:before="0" w:after="283"/>
              <w:jc w:val="right"/>
              <w:rPr/>
            </w:pPr>
            <w:r>
              <w:rPr/>
              <w:t>1,292,000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Redecan (Cannabis Cultivation and Processing)</w:t>
            </w:r>
          </w:p>
        </w:tc>
        <w:tc>
          <w:tcPr>
            <w:tcW w:w="2440" w:type="dxa"/>
            <w:tcBorders/>
            <w:shd w:fill="CCEEFF" w:val="clear"/>
            <w:tcMar>
              <w:top w:w="0" w:type="dxa"/>
              <w:bottom w:w="0" w:type="dxa"/>
            </w:tcMar>
            <w:vAlign w:val="center"/>
          </w:tcPr>
          <w:p>
            <w:pPr>
              <w:pStyle w:val="TableContents"/>
              <w:bidi w:val="0"/>
              <w:spacing w:before="0" w:after="283"/>
              <w:jc w:val="left"/>
              <w:rPr/>
            </w:pPr>
            <w:r>
              <w:rPr/>
              <w:t>Fenwick, ON</w:t>
            </w:r>
          </w:p>
        </w:tc>
        <w:tc>
          <w:tcPr>
            <w:tcW w:w="1273" w:type="dxa"/>
            <w:tcBorders/>
            <w:shd w:fill="CCEEFF" w:val="clear"/>
            <w:tcMar>
              <w:top w:w="0" w:type="dxa"/>
              <w:bottom w:w="0" w:type="dxa"/>
            </w:tcMar>
            <w:vAlign w:val="center"/>
          </w:tcPr>
          <w:p>
            <w:pPr>
              <w:pStyle w:val="TableContents"/>
              <w:bidi w:val="0"/>
              <w:spacing w:before="0" w:after="283"/>
              <w:jc w:val="left"/>
              <w:rPr/>
            </w:pPr>
            <w:r>
              <w:rPr/>
              <w:t>Cannabis</w:t>
            </w:r>
          </w:p>
        </w:tc>
        <w:tc>
          <w:tcPr>
            <w:tcW w:w="1058" w:type="dxa"/>
            <w:tcBorders/>
            <w:shd w:fill="CCEEFF" w:val="clear"/>
            <w:tcMar>
              <w:top w:w="0" w:type="dxa"/>
              <w:bottom w:w="0" w:type="dxa"/>
            </w:tcMar>
            <w:vAlign w:val="center"/>
          </w:tcPr>
          <w:p>
            <w:pPr>
              <w:pStyle w:val="TableContents"/>
              <w:bidi w:val="0"/>
              <w:spacing w:before="0" w:after="283"/>
              <w:jc w:val="left"/>
              <w:rPr/>
            </w:pPr>
            <w:r>
              <w:rPr/>
              <w:t>Owned</w:t>
            </w:r>
          </w:p>
        </w:tc>
        <w:tc>
          <w:tcPr>
            <w:tcW w:w="1724" w:type="dxa"/>
            <w:tcBorders/>
            <w:shd w:fill="CCEEFF" w:val="clear"/>
            <w:tcMar>
              <w:top w:w="0" w:type="dxa"/>
              <w:bottom w:w="0" w:type="dxa"/>
            </w:tcMar>
            <w:vAlign w:val="center"/>
          </w:tcPr>
          <w:p>
            <w:pPr>
              <w:pStyle w:val="TableContents"/>
              <w:bidi w:val="0"/>
              <w:spacing w:before="0" w:after="283"/>
              <w:jc w:val="right"/>
              <w:rPr/>
            </w:pPr>
            <w:r>
              <w:rPr/>
              <w:t>400,000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Redecan (Cannabis Cultivation and Processing)</w:t>
            </w:r>
          </w:p>
        </w:tc>
        <w:tc>
          <w:tcPr>
            <w:tcW w:w="2440" w:type="dxa"/>
            <w:tcBorders/>
            <w:shd w:fill="FFFFFF" w:val="clear"/>
            <w:tcMar>
              <w:top w:w="0" w:type="dxa"/>
              <w:bottom w:w="0" w:type="dxa"/>
            </w:tcMar>
            <w:vAlign w:val="center"/>
          </w:tcPr>
          <w:p>
            <w:pPr>
              <w:pStyle w:val="TableContents"/>
              <w:bidi w:val="0"/>
              <w:spacing w:before="0" w:after="283"/>
              <w:jc w:val="left"/>
              <w:rPr/>
            </w:pPr>
            <w:r>
              <w:rPr/>
              <w:t>Cayuga, ON</w:t>
            </w:r>
          </w:p>
        </w:tc>
        <w:tc>
          <w:tcPr>
            <w:tcW w:w="1273" w:type="dxa"/>
            <w:tcBorders/>
            <w:shd w:fill="FFFFFF" w:val="clear"/>
            <w:tcMar>
              <w:top w:w="0" w:type="dxa"/>
              <w:bottom w:w="0" w:type="dxa"/>
            </w:tcMar>
            <w:vAlign w:val="center"/>
          </w:tcPr>
          <w:p>
            <w:pPr>
              <w:pStyle w:val="TableContents"/>
              <w:bidi w:val="0"/>
              <w:spacing w:before="0" w:after="283"/>
              <w:jc w:val="left"/>
              <w:rPr/>
            </w:pPr>
            <w:r>
              <w:rPr/>
              <w:t>Cannabis</w:t>
            </w:r>
          </w:p>
        </w:tc>
        <w:tc>
          <w:tcPr>
            <w:tcW w:w="1058" w:type="dxa"/>
            <w:tcBorders/>
            <w:shd w:fill="FFFFFF" w:val="clear"/>
            <w:tcMar>
              <w:top w:w="0" w:type="dxa"/>
              <w:bottom w:w="0" w:type="dxa"/>
            </w:tcMar>
            <w:vAlign w:val="center"/>
          </w:tcPr>
          <w:p>
            <w:pPr>
              <w:pStyle w:val="TableContents"/>
              <w:bidi w:val="0"/>
              <w:spacing w:lineRule="auto" w:line="288" w:before="0" w:after="283"/>
              <w:jc w:val="left"/>
              <w:rPr/>
            </w:pPr>
            <w:r>
              <w:rPr/>
              <w:t>Owned4</w:t>
            </w:r>
          </w:p>
        </w:tc>
        <w:tc>
          <w:tcPr>
            <w:tcW w:w="1724" w:type="dxa"/>
            <w:tcBorders/>
            <w:shd w:fill="FFFFFF" w:val="clear"/>
            <w:tcMar>
              <w:top w:w="0" w:type="dxa"/>
              <w:bottom w:w="0" w:type="dxa"/>
            </w:tcMar>
            <w:vAlign w:val="center"/>
          </w:tcPr>
          <w:p>
            <w:pPr>
              <w:pStyle w:val="TableContents"/>
              <w:bidi w:val="0"/>
              <w:spacing w:before="0" w:after="283"/>
              <w:jc w:val="right"/>
              <w:rPr/>
            </w:pPr>
            <w:r>
              <w:rPr/>
              <w:t>1,644,000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 </w:t>
            </w:r>
          </w:p>
        </w:tc>
        <w:tc>
          <w:tcPr>
            <w:tcW w:w="2440" w:type="dxa"/>
            <w:tcBorders/>
            <w:shd w:fill="CCEEFF" w:val="clear"/>
            <w:tcMar>
              <w:top w:w="0" w:type="dxa"/>
              <w:bottom w:w="0" w:type="dxa"/>
            </w:tcMar>
            <w:vAlign w:val="center"/>
          </w:tcPr>
          <w:p>
            <w:pPr>
              <w:pStyle w:val="TableContents"/>
              <w:bidi w:val="0"/>
              <w:spacing w:before="0" w:after="283"/>
              <w:jc w:val="left"/>
              <w:rPr/>
            </w:pPr>
            <w:r>
              <w:rPr/>
              <w:t> </w:t>
            </w:r>
          </w:p>
        </w:tc>
        <w:tc>
          <w:tcPr>
            <w:tcW w:w="1273" w:type="dxa"/>
            <w:tcBorders/>
            <w:shd w:fill="CCEEFF" w:val="clear"/>
            <w:tcMar>
              <w:top w:w="0" w:type="dxa"/>
              <w:bottom w:w="0" w:type="dxa"/>
            </w:tcMar>
            <w:vAlign w:val="center"/>
          </w:tcPr>
          <w:p>
            <w:pPr>
              <w:pStyle w:val="TableContents"/>
              <w:bidi w:val="0"/>
              <w:spacing w:before="0" w:after="283"/>
              <w:jc w:val="left"/>
              <w:rPr/>
            </w:pPr>
            <w:r>
              <w:rPr/>
              <w:t> </w:t>
            </w:r>
          </w:p>
        </w:tc>
        <w:tc>
          <w:tcPr>
            <w:tcW w:w="1058" w:type="dxa"/>
            <w:tcBorders/>
            <w:shd w:fill="CCEEFF" w:val="clear"/>
            <w:tcMar>
              <w:top w:w="0" w:type="dxa"/>
              <w:bottom w:w="0" w:type="dxa"/>
            </w:tcMar>
            <w:vAlign w:val="center"/>
          </w:tcPr>
          <w:p>
            <w:pPr>
              <w:pStyle w:val="TableContents"/>
              <w:bidi w:val="0"/>
              <w:spacing w:before="0" w:after="283"/>
              <w:jc w:val="left"/>
              <w:rPr/>
            </w:pPr>
            <w:r>
              <w:rPr/>
              <w:t> </w:t>
            </w:r>
          </w:p>
        </w:tc>
        <w:tc>
          <w:tcPr>
            <w:tcW w:w="1724" w:type="dxa"/>
            <w:tcBorders/>
            <w:shd w:fill="CCEEFF" w:val="clear"/>
            <w:tcMar>
              <w:top w:w="0" w:type="dxa"/>
              <w:bottom w:w="0" w:type="dxa"/>
            </w:tcMar>
            <w:vAlign w:val="center"/>
          </w:tcPr>
          <w:p>
            <w:pPr>
              <w:pStyle w:val="TableContents"/>
              <w:bidi w:val="0"/>
              <w:spacing w:before="0" w:after="283"/>
              <w:jc w:val="left"/>
              <w:rPr/>
            </w:pPr>
            <w:r>
              <w:rPr/>
              <w:t> </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United States: </w:t>
            </w:r>
          </w:p>
        </w:tc>
        <w:tc>
          <w:tcPr>
            <w:tcW w:w="2440" w:type="dxa"/>
            <w:tcBorders/>
            <w:shd w:fill="FFFFFF" w:val="clear"/>
            <w:tcMar>
              <w:top w:w="0" w:type="dxa"/>
              <w:bottom w:w="0" w:type="dxa"/>
            </w:tcMar>
            <w:vAlign w:val="center"/>
          </w:tcPr>
          <w:p>
            <w:pPr>
              <w:pStyle w:val="TableContents"/>
              <w:bidi w:val="0"/>
              <w:spacing w:before="0" w:after="283"/>
              <w:jc w:val="left"/>
              <w:rPr/>
            </w:pPr>
            <w:r>
              <w:rPr/>
              <w:t> </w:t>
            </w:r>
          </w:p>
        </w:tc>
        <w:tc>
          <w:tcPr>
            <w:tcW w:w="1273" w:type="dxa"/>
            <w:tcBorders/>
            <w:shd w:fill="FFFFFF" w:val="clear"/>
            <w:tcMar>
              <w:top w:w="0" w:type="dxa"/>
              <w:bottom w:w="0" w:type="dxa"/>
            </w:tcMar>
            <w:vAlign w:val="center"/>
          </w:tcPr>
          <w:p>
            <w:pPr>
              <w:pStyle w:val="TableContents"/>
              <w:bidi w:val="0"/>
              <w:spacing w:before="0" w:after="283"/>
              <w:jc w:val="left"/>
              <w:rPr/>
            </w:pPr>
            <w:r>
              <w:rPr/>
              <w:t> </w:t>
            </w:r>
          </w:p>
        </w:tc>
        <w:tc>
          <w:tcPr>
            <w:tcW w:w="1058" w:type="dxa"/>
            <w:tcBorders/>
            <w:shd w:fill="FFFFFF" w:val="clear"/>
            <w:tcMar>
              <w:top w:w="0" w:type="dxa"/>
              <w:bottom w:w="0" w:type="dxa"/>
            </w:tcMar>
            <w:vAlign w:val="center"/>
          </w:tcPr>
          <w:p>
            <w:pPr>
              <w:pStyle w:val="TableContents"/>
              <w:bidi w:val="0"/>
              <w:spacing w:before="0" w:after="283"/>
              <w:jc w:val="left"/>
              <w:rPr/>
            </w:pPr>
            <w:r>
              <w:rPr/>
              <w:t> </w:t>
            </w:r>
          </w:p>
        </w:tc>
        <w:tc>
          <w:tcPr>
            <w:tcW w:w="1724" w:type="dxa"/>
            <w:tcBorders/>
            <w:shd w:fill="FFFFFF" w:val="clear"/>
            <w:tcMar>
              <w:top w:w="0" w:type="dxa"/>
              <w:bottom w:w="0" w:type="dxa"/>
            </w:tcMar>
            <w:vAlign w:val="center"/>
          </w:tcPr>
          <w:p>
            <w:pPr>
              <w:pStyle w:val="TableContents"/>
              <w:bidi w:val="0"/>
              <w:spacing w:before="0" w:after="283"/>
              <w:jc w:val="left"/>
              <w:rPr/>
            </w:pPr>
            <w:r>
              <w:rPr/>
              <w:t> </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SweetWater Brewery (Craft Brewery)</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Atlanta, GA</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w:t>
            </w:r>
          </w:p>
        </w:tc>
        <w:tc>
          <w:tcPr>
            <w:tcW w:w="105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158,000</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Breckenridge Brewery (Craft Brewery)</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Collins, CO</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w:t>
            </w:r>
          </w:p>
        </w:tc>
        <w:tc>
          <w:tcPr>
            <w:tcW w:w="105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33,000</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Breckenridge Distillery (Craft Distillery)</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Breckenridge, CO</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w:t>
            </w:r>
          </w:p>
        </w:tc>
        <w:tc>
          <w:tcPr>
            <w:tcW w:w="105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Breckenridge Distillery Warehouse (Storage)</w:t>
            </w:r>
          </w:p>
        </w:tc>
        <w:tc>
          <w:tcPr>
            <w:tcW w:w="2440" w:type="dxa"/>
            <w:tcBorders/>
            <w:shd w:fill="FFFFFF" w:val="clear"/>
            <w:tcMar>
              <w:top w:w="0" w:type="dxa"/>
              <w:bottom w:w="0" w:type="dxa"/>
            </w:tcMar>
            <w:vAlign w:val="center"/>
          </w:tcPr>
          <w:p>
            <w:pPr>
              <w:pStyle w:val="TableContents"/>
              <w:bidi w:val="0"/>
              <w:spacing w:before="0" w:after="283"/>
              <w:jc w:val="left"/>
              <w:rPr/>
            </w:pPr>
            <w:r>
              <w:rPr/>
              <w:t>Denver, CO</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Owned</w:t>
            </w:r>
          </w:p>
        </w:tc>
        <w:tc>
          <w:tcPr>
            <w:tcW w:w="1724" w:type="dxa"/>
            <w:tcBorders/>
            <w:shd w:fill="FFFFFF" w:val="clear"/>
            <w:tcMar>
              <w:top w:w="0" w:type="dxa"/>
              <w:bottom w:w="0" w:type="dxa"/>
            </w:tcMar>
            <w:vAlign w:val="center"/>
          </w:tcPr>
          <w:p>
            <w:pPr>
              <w:pStyle w:val="TableContents"/>
              <w:bidi w:val="0"/>
              <w:spacing w:before="0" w:after="283"/>
              <w:jc w:val="right"/>
              <w:rPr/>
            </w:pPr>
            <w:r>
              <w:rPr/>
              <w:t>75,000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Montauk Brewing Company (Brewery/Pub facility)</w:t>
            </w:r>
          </w:p>
        </w:tc>
        <w:tc>
          <w:tcPr>
            <w:tcW w:w="2440" w:type="dxa"/>
            <w:tcBorders/>
            <w:shd w:fill="CCEEFF" w:val="clear"/>
            <w:tcMar>
              <w:top w:w="0" w:type="dxa"/>
              <w:bottom w:w="0" w:type="dxa"/>
            </w:tcMar>
            <w:vAlign w:val="center"/>
          </w:tcPr>
          <w:p>
            <w:pPr>
              <w:pStyle w:val="TableContents"/>
              <w:bidi w:val="0"/>
              <w:spacing w:before="0" w:after="283"/>
              <w:jc w:val="left"/>
              <w:rPr/>
            </w:pPr>
            <w:r>
              <w:rPr/>
              <w:t>Montauk, NY</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4,000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Fort Collins (Warehouse - Inactive)</w:t>
            </w:r>
          </w:p>
        </w:tc>
        <w:tc>
          <w:tcPr>
            <w:tcW w:w="2440" w:type="dxa"/>
            <w:tcBorders/>
            <w:shd w:fill="FFFFFF" w:val="clear"/>
            <w:tcMar>
              <w:top w:w="0" w:type="dxa"/>
              <w:bottom w:w="0" w:type="dxa"/>
            </w:tcMar>
            <w:vAlign w:val="center"/>
          </w:tcPr>
          <w:p>
            <w:pPr>
              <w:pStyle w:val="TableContents"/>
              <w:bidi w:val="0"/>
              <w:spacing w:before="0" w:after="283"/>
              <w:jc w:val="left"/>
              <w:rPr/>
            </w:pPr>
            <w:r>
              <w:rPr/>
              <w:t>Fort Collins, CO</w:t>
            </w:r>
          </w:p>
        </w:tc>
        <w:tc>
          <w:tcPr>
            <w:tcW w:w="1273" w:type="dxa"/>
            <w:tcBorders/>
            <w:shd w:fill="FFFFFF" w:val="clear"/>
            <w:tcMar>
              <w:top w:w="0" w:type="dxa"/>
              <w:bottom w:w="0" w:type="dxa"/>
            </w:tcMar>
            <w:vAlign w:val="center"/>
          </w:tcPr>
          <w:p>
            <w:pPr>
              <w:pStyle w:val="TableContents"/>
              <w:bidi w:val="0"/>
              <w:spacing w:before="0" w:after="283"/>
              <w:jc w:val="left"/>
              <w:rPr/>
            </w:pPr>
            <w:r>
              <w:rPr/>
              <w:t>N/A</w:t>
            </w:r>
          </w:p>
        </w:tc>
        <w:tc>
          <w:tcPr>
            <w:tcW w:w="1058" w:type="dxa"/>
            <w:tcBorders/>
            <w:shd w:fill="FFFFFF" w:val="clear"/>
            <w:tcMar>
              <w:top w:w="0" w:type="dxa"/>
              <w:bottom w:w="0" w:type="dxa"/>
            </w:tcMar>
            <w:vAlign w:val="center"/>
          </w:tcPr>
          <w:p>
            <w:pPr>
              <w:pStyle w:val="TableContents"/>
              <w:bidi w:val="0"/>
              <w:spacing w:lineRule="auto" w:line="288" w:before="0" w:after="283"/>
              <w:jc w:val="left"/>
              <w:rPr/>
            </w:pPr>
            <w:r>
              <w:rPr/>
              <w:t>Owned</w:t>
            </w:r>
            <w:r>
              <w:rPr>
                <w:i/>
                <w:sz w:val="17"/>
              </w:rPr>
              <w:t>5</w:t>
            </w:r>
          </w:p>
        </w:tc>
        <w:tc>
          <w:tcPr>
            <w:tcW w:w="1724" w:type="dxa"/>
            <w:tcBorders/>
            <w:shd w:fill="FFFFFF" w:val="clear"/>
            <w:tcMar>
              <w:top w:w="0" w:type="dxa"/>
              <w:bottom w:w="0" w:type="dxa"/>
            </w:tcMar>
            <w:vAlign w:val="center"/>
          </w:tcPr>
          <w:p>
            <w:pPr>
              <w:pStyle w:val="TableContents"/>
              <w:bidi w:val="0"/>
              <w:spacing w:before="0" w:after="283"/>
              <w:jc w:val="right"/>
              <w:rPr/>
            </w:pPr>
            <w:r>
              <w:rPr/>
              <w:t>50,000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Breckenridge Brewery, LLC (Brewery/Pub facility)</w:t>
            </w:r>
          </w:p>
        </w:tc>
        <w:tc>
          <w:tcPr>
            <w:tcW w:w="2440" w:type="dxa"/>
            <w:tcBorders/>
            <w:shd w:fill="CCEEFF" w:val="clear"/>
            <w:tcMar>
              <w:top w:w="0" w:type="dxa"/>
              <w:bottom w:w="0" w:type="dxa"/>
            </w:tcMar>
            <w:vAlign w:val="center"/>
          </w:tcPr>
          <w:p>
            <w:pPr>
              <w:pStyle w:val="TableContents"/>
              <w:bidi w:val="0"/>
              <w:spacing w:before="0" w:after="283"/>
              <w:jc w:val="left"/>
              <w:rPr/>
            </w:pPr>
            <w:r>
              <w:rPr/>
              <w:t>Littleton, CO</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Owned</w:t>
            </w:r>
          </w:p>
        </w:tc>
        <w:tc>
          <w:tcPr>
            <w:tcW w:w="1724" w:type="dxa"/>
            <w:tcBorders/>
            <w:shd w:fill="CCEEFF" w:val="clear"/>
            <w:tcMar>
              <w:top w:w="0" w:type="dxa"/>
              <w:bottom w:w="0" w:type="dxa"/>
            </w:tcMar>
            <w:vAlign w:val="center"/>
          </w:tcPr>
          <w:p>
            <w:pPr>
              <w:pStyle w:val="TableContents"/>
              <w:bidi w:val="0"/>
              <w:spacing w:before="0" w:after="283"/>
              <w:jc w:val="right"/>
              <w:rPr/>
            </w:pPr>
            <w:r>
              <w:rPr/>
              <w:t>450,000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Breckenridge Brewery, LLC (Brewpub)</w:t>
            </w:r>
          </w:p>
        </w:tc>
        <w:tc>
          <w:tcPr>
            <w:tcW w:w="2440" w:type="dxa"/>
            <w:tcBorders/>
            <w:shd w:fill="FFFFFF" w:val="clear"/>
            <w:tcMar>
              <w:top w:w="0" w:type="dxa"/>
              <w:bottom w:w="0" w:type="dxa"/>
            </w:tcMar>
            <w:vAlign w:val="center"/>
          </w:tcPr>
          <w:p>
            <w:pPr>
              <w:pStyle w:val="TableContents"/>
              <w:bidi w:val="0"/>
              <w:spacing w:before="0" w:after="283"/>
              <w:jc w:val="left"/>
              <w:rPr/>
            </w:pPr>
            <w:r>
              <w:rPr/>
              <w:t>Littleton, CO</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Owned</w:t>
            </w:r>
          </w:p>
        </w:tc>
        <w:tc>
          <w:tcPr>
            <w:tcW w:w="1724" w:type="dxa"/>
            <w:tcBorders/>
            <w:shd w:fill="FFFFFF" w:val="clear"/>
            <w:tcMar>
              <w:top w:w="0" w:type="dxa"/>
              <w:bottom w:w="0" w:type="dxa"/>
            </w:tcMar>
            <w:vAlign w:val="center"/>
          </w:tcPr>
          <w:p>
            <w:pPr>
              <w:pStyle w:val="TableContents"/>
              <w:bidi w:val="0"/>
              <w:spacing w:before="0" w:after="283"/>
              <w:jc w:val="right"/>
              <w:rPr/>
            </w:pPr>
            <w:r>
              <w:rPr/>
              <w:t>2,500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Craft Brew Alliance, Inc. (Craft Brewery)</w:t>
            </w:r>
          </w:p>
        </w:tc>
        <w:tc>
          <w:tcPr>
            <w:tcW w:w="2440" w:type="dxa"/>
            <w:tcBorders/>
            <w:shd w:fill="CCEEFF" w:val="clear"/>
            <w:tcMar>
              <w:top w:w="0" w:type="dxa"/>
              <w:bottom w:w="0" w:type="dxa"/>
            </w:tcMar>
            <w:vAlign w:val="center"/>
          </w:tcPr>
          <w:p>
            <w:pPr>
              <w:pStyle w:val="TableContents"/>
              <w:bidi w:val="0"/>
              <w:spacing w:before="0" w:after="283"/>
              <w:jc w:val="left"/>
              <w:rPr/>
            </w:pPr>
            <w:r>
              <w:rPr/>
              <w:t>Portland, OR</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Owned</w:t>
            </w:r>
          </w:p>
        </w:tc>
        <w:tc>
          <w:tcPr>
            <w:tcW w:w="1724" w:type="dxa"/>
            <w:tcBorders/>
            <w:shd w:fill="CCEEFF" w:val="clear"/>
            <w:tcMar>
              <w:top w:w="0" w:type="dxa"/>
              <w:bottom w:w="0" w:type="dxa"/>
            </w:tcMar>
            <w:vAlign w:val="center"/>
          </w:tcPr>
          <w:p>
            <w:pPr>
              <w:pStyle w:val="TableContents"/>
              <w:bidi w:val="0"/>
              <w:spacing w:before="0" w:after="283"/>
              <w:jc w:val="right"/>
              <w:rPr/>
            </w:pPr>
            <w:r>
              <w:rPr/>
              <w:t>82,000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BBI Acquisition Co. (Brewpub)</w:t>
            </w:r>
          </w:p>
        </w:tc>
        <w:tc>
          <w:tcPr>
            <w:tcW w:w="2440" w:type="dxa"/>
            <w:tcBorders/>
            <w:shd w:fill="FFFFFF" w:val="clear"/>
            <w:tcMar>
              <w:top w:w="0" w:type="dxa"/>
              <w:bottom w:w="0" w:type="dxa"/>
            </w:tcMar>
            <w:vAlign w:val="center"/>
          </w:tcPr>
          <w:p>
            <w:pPr>
              <w:pStyle w:val="TableContents"/>
              <w:bidi w:val="0"/>
              <w:spacing w:before="0" w:after="283"/>
              <w:jc w:val="left"/>
              <w:rPr/>
            </w:pPr>
            <w:r>
              <w:rPr/>
              <w:t>Breckenridge, CO</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8,000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Blue Point Brewing Company, Inc. (Distribution)</w:t>
            </w:r>
          </w:p>
        </w:tc>
        <w:tc>
          <w:tcPr>
            <w:tcW w:w="2440" w:type="dxa"/>
            <w:tcBorders/>
            <w:shd w:fill="CCEEFF" w:val="clear"/>
            <w:tcMar>
              <w:top w:w="0" w:type="dxa"/>
              <w:bottom w:w="0" w:type="dxa"/>
            </w:tcMar>
            <w:vAlign w:val="center"/>
          </w:tcPr>
          <w:p>
            <w:pPr>
              <w:pStyle w:val="TableContents"/>
              <w:bidi w:val="0"/>
              <w:spacing w:before="0" w:after="283"/>
              <w:jc w:val="left"/>
              <w:rPr/>
            </w:pPr>
            <w:r>
              <w:rPr/>
              <w:t>Patchogue, NY</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54,000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Blue Point Brewing Company, Inc. (Storage)</w:t>
            </w:r>
          </w:p>
        </w:tc>
        <w:tc>
          <w:tcPr>
            <w:tcW w:w="2440" w:type="dxa"/>
            <w:tcBorders/>
            <w:shd w:fill="FFFFFF" w:val="clear"/>
            <w:tcMar>
              <w:top w:w="0" w:type="dxa"/>
              <w:bottom w:w="0" w:type="dxa"/>
            </w:tcMar>
            <w:vAlign w:val="center"/>
          </w:tcPr>
          <w:p>
            <w:pPr>
              <w:pStyle w:val="TableContents"/>
              <w:bidi w:val="0"/>
              <w:spacing w:before="0" w:after="283"/>
              <w:jc w:val="left"/>
              <w:rPr/>
            </w:pPr>
            <w:r>
              <w:rPr/>
              <w:t>Patchogue, NY</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20,000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10 Barrel Brewing (Brewpub)</w:t>
            </w:r>
          </w:p>
        </w:tc>
        <w:tc>
          <w:tcPr>
            <w:tcW w:w="2440" w:type="dxa"/>
            <w:tcBorders/>
            <w:shd w:fill="CCEEFF" w:val="clear"/>
            <w:tcMar>
              <w:top w:w="0" w:type="dxa"/>
              <w:bottom w:w="0" w:type="dxa"/>
            </w:tcMar>
            <w:vAlign w:val="center"/>
          </w:tcPr>
          <w:p>
            <w:pPr>
              <w:pStyle w:val="TableContents"/>
              <w:bidi w:val="0"/>
              <w:spacing w:before="0" w:after="283"/>
              <w:jc w:val="left"/>
              <w:rPr/>
            </w:pPr>
            <w:r>
              <w:rPr/>
              <w:t>Bend, OR</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4,000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10 Barrel Brewing, LLC (Brewpub)</w:t>
            </w:r>
          </w:p>
        </w:tc>
        <w:tc>
          <w:tcPr>
            <w:tcW w:w="2440" w:type="dxa"/>
            <w:tcBorders/>
            <w:shd w:fill="FFFFFF" w:val="clear"/>
            <w:tcMar>
              <w:top w:w="0" w:type="dxa"/>
              <w:bottom w:w="0" w:type="dxa"/>
            </w:tcMar>
            <w:vAlign w:val="center"/>
          </w:tcPr>
          <w:p>
            <w:pPr>
              <w:pStyle w:val="TableContents"/>
              <w:bidi w:val="0"/>
              <w:spacing w:before="0" w:after="283"/>
              <w:jc w:val="left"/>
              <w:rPr/>
            </w:pPr>
            <w:r>
              <w:rPr/>
              <w:t>Portland, OR</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8,000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10 Barrel Brewing, LLC (Storage)</w:t>
            </w:r>
          </w:p>
        </w:tc>
        <w:tc>
          <w:tcPr>
            <w:tcW w:w="2440" w:type="dxa"/>
            <w:tcBorders/>
            <w:shd w:fill="CCEEFF" w:val="clear"/>
            <w:tcMar>
              <w:top w:w="0" w:type="dxa"/>
              <w:bottom w:w="0" w:type="dxa"/>
            </w:tcMar>
            <w:vAlign w:val="center"/>
          </w:tcPr>
          <w:p>
            <w:pPr>
              <w:pStyle w:val="TableContents"/>
              <w:bidi w:val="0"/>
              <w:spacing w:before="0" w:after="283"/>
              <w:jc w:val="left"/>
              <w:rPr/>
            </w:pPr>
            <w:r>
              <w:rPr/>
              <w:t>Bend, OR</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4,000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10 Barrel Brewing, LLC (Storage)</w:t>
            </w:r>
          </w:p>
        </w:tc>
        <w:tc>
          <w:tcPr>
            <w:tcW w:w="2440" w:type="dxa"/>
            <w:tcBorders/>
            <w:shd w:fill="FFFFFF" w:val="clear"/>
            <w:tcMar>
              <w:top w:w="0" w:type="dxa"/>
              <w:bottom w:w="0" w:type="dxa"/>
            </w:tcMar>
            <w:vAlign w:val="center"/>
          </w:tcPr>
          <w:p>
            <w:pPr>
              <w:pStyle w:val="TableContents"/>
              <w:bidi w:val="0"/>
              <w:spacing w:before="0" w:after="283"/>
              <w:jc w:val="left"/>
              <w:rPr/>
            </w:pPr>
            <w:r>
              <w:rPr/>
              <w:t>Bend, OR</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1,930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10 Barrel Brewing, LLC (Processing / Pub facility)</w:t>
            </w:r>
          </w:p>
        </w:tc>
        <w:tc>
          <w:tcPr>
            <w:tcW w:w="2440" w:type="dxa"/>
            <w:tcBorders/>
            <w:shd w:fill="CCEEFF" w:val="clear"/>
            <w:tcMar>
              <w:top w:w="0" w:type="dxa"/>
              <w:bottom w:w="0" w:type="dxa"/>
            </w:tcMar>
            <w:vAlign w:val="center"/>
          </w:tcPr>
          <w:p>
            <w:pPr>
              <w:pStyle w:val="TableContents"/>
              <w:bidi w:val="0"/>
              <w:spacing w:before="0" w:after="283"/>
              <w:jc w:val="left"/>
              <w:rPr/>
            </w:pPr>
            <w:r>
              <w:rPr/>
              <w:t>Bend, OR</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69,000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10 Barrel Brewing, LLC (Craft Brewery)</w:t>
            </w:r>
          </w:p>
        </w:tc>
        <w:tc>
          <w:tcPr>
            <w:tcW w:w="2440" w:type="dxa"/>
            <w:tcBorders/>
            <w:shd w:fill="FFFFFF" w:val="clear"/>
            <w:tcMar>
              <w:top w:w="0" w:type="dxa"/>
              <w:bottom w:w="0" w:type="dxa"/>
            </w:tcMar>
            <w:vAlign w:val="center"/>
          </w:tcPr>
          <w:p>
            <w:pPr>
              <w:pStyle w:val="TableContents"/>
              <w:bidi w:val="0"/>
              <w:spacing w:before="0" w:after="283"/>
              <w:jc w:val="left"/>
              <w:rPr/>
            </w:pPr>
            <w:r>
              <w:rPr/>
              <w:t>Bend, OR</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25,000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10 Barrel Brewing Idaho, LLC (Brewpub)</w:t>
            </w:r>
          </w:p>
        </w:tc>
        <w:tc>
          <w:tcPr>
            <w:tcW w:w="2440" w:type="dxa"/>
            <w:tcBorders/>
            <w:shd w:fill="CCEEFF" w:val="clear"/>
            <w:tcMar>
              <w:top w:w="0" w:type="dxa"/>
              <w:bottom w:w="0" w:type="dxa"/>
            </w:tcMar>
            <w:vAlign w:val="center"/>
          </w:tcPr>
          <w:p>
            <w:pPr>
              <w:pStyle w:val="TableContents"/>
              <w:bidi w:val="0"/>
              <w:spacing w:before="0" w:after="283"/>
              <w:jc w:val="left"/>
              <w:rPr/>
            </w:pPr>
            <w:r>
              <w:rPr/>
              <w:t>Boise, ID</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9,000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Redhook (Brewery/Pub facility)</w:t>
            </w:r>
          </w:p>
        </w:tc>
        <w:tc>
          <w:tcPr>
            <w:tcW w:w="2440" w:type="dxa"/>
            <w:tcBorders/>
            <w:shd w:fill="FFFFFF" w:val="clear"/>
            <w:tcMar>
              <w:top w:w="0" w:type="dxa"/>
              <w:bottom w:w="0" w:type="dxa"/>
            </w:tcMar>
            <w:vAlign w:val="center"/>
          </w:tcPr>
          <w:p>
            <w:pPr>
              <w:pStyle w:val="TableContents"/>
              <w:bidi w:val="0"/>
              <w:spacing w:before="0" w:after="283"/>
              <w:jc w:val="left"/>
              <w:rPr/>
            </w:pPr>
            <w:r>
              <w:rPr/>
              <w:t>Seattle, WA</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13,000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Widmer (Craft Brewery)</w:t>
            </w:r>
          </w:p>
        </w:tc>
        <w:tc>
          <w:tcPr>
            <w:tcW w:w="2440" w:type="dxa"/>
            <w:tcBorders/>
            <w:shd w:fill="CCEEFF" w:val="clear"/>
            <w:tcMar>
              <w:top w:w="0" w:type="dxa"/>
              <w:bottom w:w="0" w:type="dxa"/>
            </w:tcMar>
            <w:vAlign w:val="center"/>
          </w:tcPr>
          <w:p>
            <w:pPr>
              <w:pStyle w:val="TableContents"/>
              <w:bidi w:val="0"/>
              <w:spacing w:before="0" w:after="283"/>
              <w:jc w:val="left"/>
              <w:rPr/>
            </w:pPr>
            <w:r>
              <w:rPr/>
              <w:t>Portland, OR</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3,000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Terrapin Beer Company, LLC (Brewery/Pub facility)</w:t>
            </w:r>
          </w:p>
        </w:tc>
        <w:tc>
          <w:tcPr>
            <w:tcW w:w="2440" w:type="dxa"/>
            <w:tcBorders/>
            <w:shd w:fill="FFFFFF" w:val="clear"/>
            <w:tcMar>
              <w:top w:w="0" w:type="dxa"/>
              <w:bottom w:w="0" w:type="dxa"/>
            </w:tcMar>
            <w:vAlign w:val="center"/>
          </w:tcPr>
          <w:p>
            <w:pPr>
              <w:pStyle w:val="TableContents"/>
              <w:bidi w:val="0"/>
              <w:spacing w:before="0" w:after="283"/>
              <w:jc w:val="left"/>
              <w:rPr/>
            </w:pPr>
            <w:r>
              <w:rPr/>
              <w:t>Athens, GA</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Owned</w:t>
            </w:r>
          </w:p>
        </w:tc>
        <w:tc>
          <w:tcPr>
            <w:tcW w:w="1724" w:type="dxa"/>
            <w:tcBorders/>
            <w:shd w:fill="FFFFFF" w:val="clear"/>
            <w:tcMar>
              <w:top w:w="0" w:type="dxa"/>
              <w:bottom w:w="0" w:type="dxa"/>
            </w:tcMar>
            <w:vAlign w:val="center"/>
          </w:tcPr>
          <w:p>
            <w:pPr>
              <w:pStyle w:val="TableContents"/>
              <w:bidi w:val="0"/>
              <w:spacing w:before="0" w:after="283"/>
              <w:jc w:val="right"/>
              <w:rPr/>
            </w:pPr>
            <w:r>
              <w:rPr/>
              <w:t>100,000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Terrapin Beer Company, LLC (Warehouse / Storage)</w:t>
            </w:r>
          </w:p>
        </w:tc>
        <w:tc>
          <w:tcPr>
            <w:tcW w:w="2440" w:type="dxa"/>
            <w:tcBorders/>
            <w:shd w:fill="CCEEFF" w:val="clear"/>
            <w:tcMar>
              <w:top w:w="0" w:type="dxa"/>
              <w:bottom w:w="0" w:type="dxa"/>
            </w:tcMar>
            <w:vAlign w:val="center"/>
          </w:tcPr>
          <w:p>
            <w:pPr>
              <w:pStyle w:val="TableContents"/>
              <w:bidi w:val="0"/>
              <w:spacing w:before="0" w:after="283"/>
              <w:jc w:val="left"/>
              <w:rPr/>
            </w:pPr>
            <w:r>
              <w:rPr/>
              <w:t>Athens, GA</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Owned</w:t>
            </w:r>
          </w:p>
        </w:tc>
        <w:tc>
          <w:tcPr>
            <w:tcW w:w="1724" w:type="dxa"/>
            <w:tcBorders/>
            <w:shd w:fill="CCEEFF" w:val="clear"/>
            <w:tcMar>
              <w:top w:w="0" w:type="dxa"/>
              <w:bottom w:w="0" w:type="dxa"/>
            </w:tcMar>
            <w:vAlign w:val="center"/>
          </w:tcPr>
          <w:p>
            <w:pPr>
              <w:pStyle w:val="TableContents"/>
              <w:bidi w:val="0"/>
              <w:spacing w:before="0" w:after="283"/>
              <w:jc w:val="right"/>
              <w:rPr/>
            </w:pPr>
            <w:r>
              <w:rPr/>
              <w:t>24,000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Terrapin Beer Company, LLC (Processing / Distribution)</w:t>
            </w:r>
          </w:p>
        </w:tc>
        <w:tc>
          <w:tcPr>
            <w:tcW w:w="2440" w:type="dxa"/>
            <w:tcBorders/>
            <w:shd w:fill="FFFFFF" w:val="clear"/>
            <w:tcMar>
              <w:top w:w="0" w:type="dxa"/>
              <w:bottom w:w="0" w:type="dxa"/>
            </w:tcMar>
            <w:vAlign w:val="center"/>
          </w:tcPr>
          <w:p>
            <w:pPr>
              <w:pStyle w:val="TableContents"/>
              <w:bidi w:val="0"/>
              <w:spacing w:before="0" w:after="283"/>
              <w:jc w:val="left"/>
              <w:rPr/>
            </w:pPr>
            <w:r>
              <w:rPr/>
              <w:t>Athens, GA</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ind w:left="0" w:right="0" w:hanging="0"/>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68,000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Atwater Brewing (Brewpub)</w:t>
            </w:r>
          </w:p>
        </w:tc>
        <w:tc>
          <w:tcPr>
            <w:tcW w:w="2440" w:type="dxa"/>
            <w:tcBorders/>
            <w:shd w:fill="CCEEFF" w:val="clear"/>
            <w:tcMar>
              <w:top w:w="0" w:type="dxa"/>
              <w:bottom w:w="0" w:type="dxa"/>
            </w:tcMar>
            <w:vAlign w:val="center"/>
          </w:tcPr>
          <w:p>
            <w:pPr>
              <w:pStyle w:val="TableContents"/>
              <w:bidi w:val="0"/>
              <w:spacing w:before="0" w:after="283"/>
              <w:jc w:val="left"/>
              <w:rPr/>
            </w:pPr>
            <w:r>
              <w:rPr/>
              <w:t>Detroit, MI</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lineRule="auto" w:line="288" w:before="0" w:after="283"/>
              <w:jc w:val="left"/>
              <w:rPr/>
            </w:pPr>
            <w:r>
              <w:rPr/>
              <w:t>Leased3</w:t>
            </w:r>
          </w:p>
        </w:tc>
        <w:tc>
          <w:tcPr>
            <w:tcW w:w="1724" w:type="dxa"/>
            <w:tcBorders/>
            <w:shd w:fill="CCEEFF" w:val="clear"/>
            <w:tcMar>
              <w:top w:w="0" w:type="dxa"/>
              <w:bottom w:w="0" w:type="dxa"/>
            </w:tcMar>
            <w:vAlign w:val="center"/>
          </w:tcPr>
          <w:p>
            <w:pPr>
              <w:pStyle w:val="TableContents"/>
              <w:bidi w:val="0"/>
              <w:spacing w:before="0" w:after="283"/>
              <w:jc w:val="right"/>
              <w:rPr/>
            </w:pPr>
            <w:r>
              <w:rPr/>
              <w:t>20,000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Atwater Brewing (Brewpub)</w:t>
            </w:r>
          </w:p>
        </w:tc>
        <w:tc>
          <w:tcPr>
            <w:tcW w:w="2440" w:type="dxa"/>
            <w:tcBorders/>
            <w:shd w:fill="FFFFFF" w:val="clear"/>
            <w:tcMar>
              <w:top w:w="0" w:type="dxa"/>
              <w:bottom w:w="0" w:type="dxa"/>
            </w:tcMar>
            <w:vAlign w:val="center"/>
          </w:tcPr>
          <w:p>
            <w:pPr>
              <w:pStyle w:val="TableContents"/>
              <w:bidi w:val="0"/>
              <w:spacing w:before="0" w:after="283"/>
              <w:jc w:val="left"/>
              <w:rPr/>
            </w:pPr>
            <w:r>
              <w:rPr/>
              <w:t>Grand Rapids, MI</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lineRule="auto" w:line="288" w:before="0" w:after="283"/>
              <w:jc w:val="left"/>
              <w:rPr/>
            </w:pPr>
            <w:r>
              <w:rPr/>
              <w:t>Leased3</w:t>
            </w:r>
          </w:p>
        </w:tc>
        <w:tc>
          <w:tcPr>
            <w:tcW w:w="1724" w:type="dxa"/>
            <w:tcBorders/>
            <w:shd w:fill="FFFFFF" w:val="clear"/>
            <w:tcMar>
              <w:top w:w="0" w:type="dxa"/>
              <w:bottom w:w="0" w:type="dxa"/>
            </w:tcMar>
            <w:vAlign w:val="center"/>
          </w:tcPr>
          <w:p>
            <w:pPr>
              <w:pStyle w:val="TableContents"/>
              <w:bidi w:val="0"/>
              <w:spacing w:before="0" w:after="283"/>
              <w:jc w:val="right"/>
              <w:rPr/>
            </w:pPr>
            <w:r>
              <w:rPr/>
              <w:t>6,000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Atwater Brewing (Restaurant / Brewpub)</w:t>
            </w:r>
          </w:p>
        </w:tc>
        <w:tc>
          <w:tcPr>
            <w:tcW w:w="2440" w:type="dxa"/>
            <w:tcBorders/>
            <w:shd w:fill="CCEEFF" w:val="clear"/>
            <w:tcMar>
              <w:top w:w="0" w:type="dxa"/>
              <w:bottom w:w="0" w:type="dxa"/>
            </w:tcMar>
            <w:vAlign w:val="center"/>
          </w:tcPr>
          <w:p>
            <w:pPr>
              <w:pStyle w:val="TableContents"/>
              <w:bidi w:val="0"/>
              <w:spacing w:before="0" w:after="283"/>
              <w:jc w:val="left"/>
              <w:rPr/>
            </w:pPr>
            <w:r>
              <w:rPr/>
              <w:t>Grosse Pointe Park, MI</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lineRule="auto" w:line="288" w:before="0" w:after="283"/>
              <w:jc w:val="left"/>
              <w:rPr/>
            </w:pPr>
            <w:r>
              <w:rPr/>
              <w:t>Leased3</w:t>
            </w:r>
          </w:p>
        </w:tc>
        <w:tc>
          <w:tcPr>
            <w:tcW w:w="1724" w:type="dxa"/>
            <w:tcBorders/>
            <w:shd w:fill="CCEEFF" w:val="clear"/>
            <w:tcMar>
              <w:top w:w="0" w:type="dxa"/>
              <w:bottom w:w="0" w:type="dxa"/>
            </w:tcMar>
            <w:vAlign w:val="center"/>
          </w:tcPr>
          <w:p>
            <w:pPr>
              <w:pStyle w:val="TableContents"/>
              <w:bidi w:val="0"/>
              <w:spacing w:before="0" w:after="283"/>
              <w:jc w:val="right"/>
              <w:rPr/>
            </w:pPr>
            <w:r>
              <w:rPr/>
              <w:t>10,000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McKenzie River Brewing Company, LLC (Brewery/Pub facility)</w:t>
            </w:r>
          </w:p>
        </w:tc>
        <w:tc>
          <w:tcPr>
            <w:tcW w:w="2440" w:type="dxa"/>
            <w:tcBorders/>
            <w:shd w:fill="FFFFFF" w:val="clear"/>
            <w:tcMar>
              <w:top w:w="0" w:type="dxa"/>
              <w:bottom w:w="0" w:type="dxa"/>
            </w:tcMar>
            <w:vAlign w:val="center"/>
          </w:tcPr>
          <w:p>
            <w:pPr>
              <w:pStyle w:val="TableContents"/>
              <w:bidi w:val="0"/>
              <w:spacing w:before="0" w:after="283"/>
              <w:jc w:val="left"/>
              <w:rPr/>
            </w:pPr>
            <w:r>
              <w:rPr/>
              <w:t>Eugene, OR</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Owned</w:t>
            </w:r>
          </w:p>
        </w:tc>
        <w:tc>
          <w:tcPr>
            <w:tcW w:w="1724" w:type="dxa"/>
            <w:tcBorders/>
            <w:shd w:fill="FFFFFF" w:val="clear"/>
            <w:tcMar>
              <w:top w:w="0" w:type="dxa"/>
              <w:bottom w:w="0" w:type="dxa"/>
            </w:tcMar>
            <w:vAlign w:val="center"/>
          </w:tcPr>
          <w:p>
            <w:pPr>
              <w:pStyle w:val="TableContents"/>
              <w:bidi w:val="0"/>
              <w:spacing w:before="0" w:after="283"/>
              <w:jc w:val="right"/>
              <w:rPr/>
            </w:pPr>
            <w:r>
              <w:rPr/>
              <w:t>150,000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McKenzie River Brewing Company, LLC (Restaurant / Brewpub)</w:t>
            </w:r>
          </w:p>
        </w:tc>
        <w:tc>
          <w:tcPr>
            <w:tcW w:w="2440" w:type="dxa"/>
            <w:tcBorders/>
            <w:shd w:fill="CCEEFF" w:val="clear"/>
            <w:tcMar>
              <w:top w:w="0" w:type="dxa"/>
              <w:bottom w:w="0" w:type="dxa"/>
            </w:tcMar>
            <w:vAlign w:val="center"/>
          </w:tcPr>
          <w:p>
            <w:pPr>
              <w:pStyle w:val="TableContents"/>
              <w:bidi w:val="0"/>
              <w:spacing w:before="0" w:after="283"/>
              <w:jc w:val="left"/>
              <w:rPr/>
            </w:pPr>
            <w:r>
              <w:rPr/>
              <w:t>Springfield, OR</w:t>
            </w:r>
          </w:p>
        </w:tc>
        <w:tc>
          <w:tcPr>
            <w:tcW w:w="1273" w:type="dxa"/>
            <w:tcBorders/>
            <w:shd w:fill="CCEEFF" w:val="clear"/>
            <w:tcMar>
              <w:top w:w="0" w:type="dxa"/>
              <w:bottom w:w="0" w:type="dxa"/>
            </w:tcMar>
            <w:vAlign w:val="center"/>
          </w:tcPr>
          <w:p>
            <w:pPr>
              <w:pStyle w:val="TableContents"/>
              <w:bidi w:val="0"/>
              <w:spacing w:before="0" w:after="283"/>
              <w:jc w:val="left"/>
              <w:rPr/>
            </w:pPr>
            <w:r>
              <w:rPr/>
              <w:t>Beverage </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20,000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McKenzie River Brewing Company, LLC (Processing / Distribution)</w:t>
            </w:r>
          </w:p>
        </w:tc>
        <w:tc>
          <w:tcPr>
            <w:tcW w:w="2440" w:type="dxa"/>
            <w:tcBorders/>
            <w:shd w:fill="FFFFFF" w:val="clear"/>
            <w:tcMar>
              <w:top w:w="0" w:type="dxa"/>
              <w:bottom w:w="0" w:type="dxa"/>
            </w:tcMar>
            <w:vAlign w:val="center"/>
          </w:tcPr>
          <w:p>
            <w:pPr>
              <w:pStyle w:val="TableContents"/>
              <w:bidi w:val="0"/>
              <w:spacing w:before="0" w:after="283"/>
              <w:jc w:val="left"/>
              <w:rPr/>
            </w:pPr>
            <w:r>
              <w:rPr/>
              <w:t>Eugene, OR</w:t>
            </w:r>
          </w:p>
        </w:tc>
        <w:tc>
          <w:tcPr>
            <w:tcW w:w="1273" w:type="dxa"/>
            <w:tcBorders/>
            <w:shd w:fill="FFFFFF" w:val="clear"/>
            <w:tcMar>
              <w:top w:w="0" w:type="dxa"/>
              <w:bottom w:w="0" w:type="dxa"/>
            </w:tcMar>
            <w:vAlign w:val="center"/>
          </w:tcPr>
          <w:p>
            <w:pPr>
              <w:pStyle w:val="TableContents"/>
              <w:bidi w:val="0"/>
              <w:spacing w:before="0" w:after="283"/>
              <w:jc w:val="left"/>
              <w:rPr/>
            </w:pPr>
            <w:r>
              <w:rPr/>
              <w:t>Beverage </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32,000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Revolver Brewing Company, LLC (Brewpub)</w:t>
            </w:r>
          </w:p>
        </w:tc>
        <w:tc>
          <w:tcPr>
            <w:tcW w:w="2440" w:type="dxa"/>
            <w:tcBorders/>
            <w:shd w:fill="CCEEFF" w:val="clear"/>
            <w:tcMar>
              <w:top w:w="0" w:type="dxa"/>
              <w:bottom w:w="0" w:type="dxa"/>
            </w:tcMar>
            <w:vAlign w:val="center"/>
          </w:tcPr>
          <w:p>
            <w:pPr>
              <w:pStyle w:val="TableContents"/>
              <w:bidi w:val="0"/>
              <w:spacing w:before="0" w:after="283"/>
              <w:jc w:val="left"/>
              <w:rPr/>
            </w:pPr>
            <w:r>
              <w:rPr/>
              <w:t>Grandbury, TX</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32,000</w:t>
            </w:r>
          </w:p>
        </w:tc>
      </w:tr>
      <w:tr>
        <w:trPr/>
        <w:tc>
          <w:tcPr>
            <w:tcW w:w="3710" w:type="dxa"/>
            <w:tcBorders/>
            <w:tcMar>
              <w:top w:w="0" w:type="dxa"/>
              <w:bottom w:w="0" w:type="dxa"/>
            </w:tcMar>
            <w:vAlign w:val="center"/>
          </w:tcPr>
          <w:p>
            <w:pPr>
              <w:pStyle w:val="TableContents"/>
              <w:bidi w:val="0"/>
              <w:spacing w:before="0" w:after="283"/>
              <w:jc w:val="left"/>
              <w:rPr/>
            </w:pPr>
            <w:r>
              <w:rPr/>
              <w:t>BrewDog U.S. (Restaurant / Bar)</w:t>
            </w:r>
          </w:p>
        </w:tc>
        <w:tc>
          <w:tcPr>
            <w:tcW w:w="2440" w:type="dxa"/>
            <w:tcBorders/>
            <w:tcMar>
              <w:top w:w="0" w:type="dxa"/>
              <w:bottom w:w="0" w:type="dxa"/>
            </w:tcMar>
            <w:vAlign w:val="center"/>
          </w:tcPr>
          <w:p>
            <w:pPr>
              <w:pStyle w:val="TableContents"/>
              <w:bidi w:val="0"/>
              <w:spacing w:before="0" w:after="283"/>
              <w:jc w:val="left"/>
              <w:rPr/>
            </w:pPr>
            <w:r>
              <w:rPr/>
              <w:t>New Albany, OH</w:t>
            </w:r>
          </w:p>
        </w:tc>
        <w:tc>
          <w:tcPr>
            <w:tcW w:w="1273" w:type="dxa"/>
            <w:tcBorders/>
            <w:tcMar>
              <w:top w:w="0" w:type="dxa"/>
              <w:bottom w:w="0" w:type="dxa"/>
            </w:tcMar>
            <w:vAlign w:val="center"/>
          </w:tcPr>
          <w:p>
            <w:pPr>
              <w:pStyle w:val="TableContents"/>
              <w:bidi w:val="0"/>
              <w:spacing w:before="0" w:after="283"/>
              <w:jc w:val="left"/>
              <w:rPr/>
            </w:pPr>
            <w:r>
              <w:rPr/>
              <w:t>Beverage</w:t>
            </w:r>
          </w:p>
        </w:tc>
        <w:tc>
          <w:tcPr>
            <w:tcW w:w="1058" w:type="dxa"/>
            <w:tcBorders/>
            <w:tcMar>
              <w:top w:w="0" w:type="dxa"/>
              <w:bottom w:w="0" w:type="dxa"/>
            </w:tcMar>
            <w:vAlign w:val="center"/>
          </w:tcPr>
          <w:p>
            <w:pPr>
              <w:pStyle w:val="TableContents"/>
              <w:bidi w:val="0"/>
              <w:spacing w:before="0" w:after="283"/>
              <w:jc w:val="left"/>
              <w:rPr/>
            </w:pPr>
            <w:r>
              <w:rPr/>
              <w:t>Leased</w:t>
            </w:r>
          </w:p>
        </w:tc>
        <w:tc>
          <w:tcPr>
            <w:tcW w:w="1724" w:type="dxa"/>
            <w:tcBorders/>
            <w:tcMar>
              <w:top w:w="0" w:type="dxa"/>
              <w:bottom w:w="0" w:type="dxa"/>
            </w:tcMar>
            <w:vAlign w:val="center"/>
          </w:tcPr>
          <w:p>
            <w:pPr>
              <w:pStyle w:val="TableContents"/>
              <w:bidi w:val="0"/>
              <w:spacing w:before="0" w:after="283"/>
              <w:jc w:val="right"/>
              <w:rPr/>
            </w:pPr>
            <w:r>
              <w:rPr/>
              <w:t>8,635</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U.S. (Brewpub)</w:t>
            </w:r>
          </w:p>
        </w:tc>
        <w:tc>
          <w:tcPr>
            <w:tcW w:w="2440" w:type="dxa"/>
            <w:tcBorders/>
            <w:shd w:fill="CCEEFF" w:val="clear"/>
            <w:tcMar>
              <w:top w:w="0" w:type="dxa"/>
              <w:bottom w:w="0" w:type="dxa"/>
            </w:tcMar>
            <w:vAlign w:val="center"/>
          </w:tcPr>
          <w:p>
            <w:pPr>
              <w:pStyle w:val="TableContents"/>
              <w:bidi w:val="0"/>
              <w:spacing w:before="0" w:after="283"/>
              <w:jc w:val="left"/>
              <w:rPr/>
            </w:pPr>
            <w:r>
              <w:rPr/>
              <w:t>Cleveland, OH</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9,855</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U.S. (Brewpub / Restaurant)</w:t>
            </w:r>
          </w:p>
        </w:tc>
        <w:tc>
          <w:tcPr>
            <w:tcW w:w="2440" w:type="dxa"/>
            <w:tcBorders/>
            <w:shd w:fill="FFFFFF" w:val="clear"/>
            <w:tcMar>
              <w:top w:w="0" w:type="dxa"/>
              <w:bottom w:w="0" w:type="dxa"/>
            </w:tcMar>
            <w:vAlign w:val="center"/>
          </w:tcPr>
          <w:p>
            <w:pPr>
              <w:pStyle w:val="TableContents"/>
              <w:bidi w:val="0"/>
              <w:spacing w:before="0" w:after="283"/>
              <w:jc w:val="left"/>
              <w:rPr/>
            </w:pPr>
            <w:r>
              <w:rPr/>
              <w:t>Las Vegas, NV</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30,000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U.S. (Restaurant / Bar / Hotel)</w:t>
            </w:r>
          </w:p>
        </w:tc>
        <w:tc>
          <w:tcPr>
            <w:tcW w:w="2440" w:type="dxa"/>
            <w:tcBorders/>
            <w:shd w:fill="CCEEFF" w:val="clear"/>
            <w:tcMar>
              <w:top w:w="0" w:type="dxa"/>
              <w:bottom w:w="0" w:type="dxa"/>
            </w:tcMar>
            <w:vAlign w:val="center"/>
          </w:tcPr>
          <w:p>
            <w:pPr>
              <w:pStyle w:val="TableContents"/>
              <w:bidi w:val="0"/>
              <w:spacing w:before="0" w:after="283"/>
              <w:jc w:val="left"/>
              <w:rPr/>
            </w:pPr>
            <w:r>
              <w:rPr/>
              <w:t>Canal Winchester, OH</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Owned</w:t>
            </w:r>
          </w:p>
        </w:tc>
        <w:tc>
          <w:tcPr>
            <w:tcW w:w="1724" w:type="dxa"/>
            <w:tcBorders/>
            <w:shd w:fill="CCEEFF" w:val="clear"/>
            <w:tcMar>
              <w:top w:w="0" w:type="dxa"/>
              <w:bottom w:w="0" w:type="dxa"/>
            </w:tcMar>
            <w:vAlign w:val="center"/>
          </w:tcPr>
          <w:p>
            <w:pPr>
              <w:pStyle w:val="TableContents"/>
              <w:bidi w:val="0"/>
              <w:spacing w:before="0" w:after="283"/>
              <w:jc w:val="right"/>
              <w:rPr/>
            </w:pPr>
            <w:r>
              <w:rPr/>
              <w:t>150,000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 </w:t>
            </w:r>
          </w:p>
        </w:tc>
        <w:tc>
          <w:tcPr>
            <w:tcW w:w="2440" w:type="dxa"/>
            <w:tcBorders/>
            <w:shd w:fill="FFFFFF" w:val="clear"/>
            <w:tcMar>
              <w:top w:w="0" w:type="dxa"/>
              <w:bottom w:w="0" w:type="dxa"/>
            </w:tcMar>
            <w:vAlign w:val="center"/>
          </w:tcPr>
          <w:p>
            <w:pPr>
              <w:pStyle w:val="TableContents"/>
              <w:bidi w:val="0"/>
              <w:spacing w:before="0" w:after="283"/>
              <w:jc w:val="left"/>
              <w:rPr/>
            </w:pPr>
            <w:r>
              <w:rPr/>
              <w:t> </w:t>
            </w:r>
          </w:p>
        </w:tc>
        <w:tc>
          <w:tcPr>
            <w:tcW w:w="1273" w:type="dxa"/>
            <w:tcBorders/>
            <w:shd w:fill="FFFFFF" w:val="clear"/>
            <w:tcMar>
              <w:top w:w="0" w:type="dxa"/>
              <w:bottom w:w="0" w:type="dxa"/>
            </w:tcMar>
            <w:vAlign w:val="center"/>
          </w:tcPr>
          <w:p>
            <w:pPr>
              <w:pStyle w:val="TableContents"/>
              <w:bidi w:val="0"/>
              <w:spacing w:before="0" w:after="283"/>
              <w:jc w:val="left"/>
              <w:rPr/>
            </w:pPr>
            <w:r>
              <w:rPr/>
              <w:t> </w:t>
            </w:r>
          </w:p>
        </w:tc>
        <w:tc>
          <w:tcPr>
            <w:tcW w:w="1058" w:type="dxa"/>
            <w:tcBorders/>
            <w:shd w:fill="FFFFFF" w:val="clear"/>
            <w:tcMar>
              <w:top w:w="0" w:type="dxa"/>
              <w:bottom w:w="0" w:type="dxa"/>
            </w:tcMar>
            <w:vAlign w:val="center"/>
          </w:tcPr>
          <w:p>
            <w:pPr>
              <w:pStyle w:val="TableContents"/>
              <w:bidi w:val="0"/>
              <w:spacing w:before="0" w:after="283"/>
              <w:jc w:val="left"/>
              <w:rPr/>
            </w:pPr>
            <w:r>
              <w:rPr/>
              <w:t> </w:t>
            </w:r>
          </w:p>
        </w:tc>
        <w:tc>
          <w:tcPr>
            <w:tcW w:w="1724" w:type="dxa"/>
            <w:tcBorders/>
            <w:shd w:fill="FFFFFF" w:val="clear"/>
            <w:tcMar>
              <w:top w:w="0" w:type="dxa"/>
              <w:bottom w:w="0" w:type="dxa"/>
            </w:tcMar>
            <w:vAlign w:val="center"/>
          </w:tcPr>
          <w:p>
            <w:pPr>
              <w:pStyle w:val="TableContents"/>
              <w:bidi w:val="0"/>
              <w:spacing w:before="0" w:after="283"/>
              <w:jc w:val="left"/>
              <w:rPr/>
            </w:pPr>
            <w:r>
              <w:rPr/>
              <w:t> </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International: </w:t>
            </w:r>
          </w:p>
        </w:tc>
        <w:tc>
          <w:tcPr>
            <w:tcW w:w="2440" w:type="dxa"/>
            <w:tcBorders/>
            <w:shd w:fill="CCEEFF" w:val="clear"/>
            <w:tcMar>
              <w:top w:w="0" w:type="dxa"/>
              <w:bottom w:w="0" w:type="dxa"/>
            </w:tcMar>
            <w:vAlign w:val="center"/>
          </w:tcPr>
          <w:p>
            <w:pPr>
              <w:pStyle w:val="TableContents"/>
              <w:bidi w:val="0"/>
              <w:spacing w:before="0" w:after="283"/>
              <w:jc w:val="left"/>
              <w:rPr/>
            </w:pPr>
            <w:r>
              <w:rPr/>
              <w:t> </w:t>
            </w:r>
          </w:p>
        </w:tc>
        <w:tc>
          <w:tcPr>
            <w:tcW w:w="1273" w:type="dxa"/>
            <w:tcBorders/>
            <w:shd w:fill="CCEEFF" w:val="clear"/>
            <w:tcMar>
              <w:top w:w="0" w:type="dxa"/>
              <w:bottom w:w="0" w:type="dxa"/>
            </w:tcMar>
            <w:vAlign w:val="center"/>
          </w:tcPr>
          <w:p>
            <w:pPr>
              <w:pStyle w:val="TableContents"/>
              <w:bidi w:val="0"/>
              <w:spacing w:before="0" w:after="283"/>
              <w:jc w:val="left"/>
              <w:rPr/>
            </w:pPr>
            <w:r>
              <w:rPr/>
              <w:t> </w:t>
            </w:r>
          </w:p>
        </w:tc>
        <w:tc>
          <w:tcPr>
            <w:tcW w:w="1058" w:type="dxa"/>
            <w:tcBorders/>
            <w:shd w:fill="CCEEFF" w:val="clear"/>
            <w:tcMar>
              <w:top w:w="0" w:type="dxa"/>
              <w:bottom w:w="0" w:type="dxa"/>
            </w:tcMar>
            <w:vAlign w:val="center"/>
          </w:tcPr>
          <w:p>
            <w:pPr>
              <w:pStyle w:val="TableContents"/>
              <w:bidi w:val="0"/>
              <w:spacing w:before="0" w:after="283"/>
              <w:jc w:val="left"/>
              <w:rPr/>
            </w:pPr>
            <w:r>
              <w:rPr/>
              <w:t> </w:t>
            </w:r>
          </w:p>
        </w:tc>
        <w:tc>
          <w:tcPr>
            <w:tcW w:w="1724" w:type="dxa"/>
            <w:tcBorders/>
            <w:shd w:fill="CCEEFF" w:val="clear"/>
            <w:tcMar>
              <w:top w:w="0" w:type="dxa"/>
              <w:bottom w:w="0" w:type="dxa"/>
            </w:tcMar>
            <w:vAlign w:val="center"/>
          </w:tcPr>
          <w:p>
            <w:pPr>
              <w:pStyle w:val="TableContents"/>
              <w:bidi w:val="0"/>
              <w:spacing w:before="0" w:after="283"/>
              <w:jc w:val="left"/>
              <w:rPr/>
            </w:pPr>
            <w:r>
              <w:rPr/>
              <w:t> </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Tilray EU Campus and Cultivation Site (Cannabis Cultivation and Processing)</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Cantanhede, Portugal</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FFFFFF" w:val="clear"/>
            <w:tcMar>
              <w:top w:w="0" w:type="dxa"/>
              <w:bottom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Owned2</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3,300,000</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 Pharma (Distribution Operations)</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Densborn, Germany</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w:t>
            </w:r>
          </w:p>
        </w:tc>
        <w:tc>
          <w:tcPr>
            <w:tcW w:w="105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70,000</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Aphria RX (Cannabis Cultivation)</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Neumünster, Germany</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65,000</w:t>
            </w:r>
          </w:p>
        </w:tc>
      </w:tr>
      <w:tr>
        <w:trPr/>
        <w:tc>
          <w:tcPr>
            <w:tcW w:w="371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 Group Srl (Distribution Operations)</w:t>
            </w:r>
          </w:p>
        </w:tc>
        <w:tc>
          <w:tcPr>
            <w:tcW w:w="2440"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Vado Ligure, Italy</w:t>
            </w:r>
          </w:p>
        </w:tc>
        <w:tc>
          <w:tcPr>
            <w:tcW w:w="1273"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w:t>
            </w:r>
          </w:p>
        </w:tc>
        <w:tc>
          <w:tcPr>
            <w:tcW w:w="1058"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724" w:type="dxa"/>
            <w:tcBorders/>
            <w:shd w:fill="CCEE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4,700</w:t>
            </w:r>
          </w:p>
        </w:tc>
      </w:tr>
      <w:tr>
        <w:trPr/>
        <w:tc>
          <w:tcPr>
            <w:tcW w:w="371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ABP (Distribution Operations)</w:t>
            </w:r>
          </w:p>
        </w:tc>
        <w:tc>
          <w:tcPr>
            <w:tcW w:w="2440"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Buenos Aires, Argentina</w:t>
            </w:r>
          </w:p>
        </w:tc>
        <w:tc>
          <w:tcPr>
            <w:tcW w:w="1273"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w:t>
            </w:r>
          </w:p>
        </w:tc>
        <w:tc>
          <w:tcPr>
            <w:tcW w:w="1058"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Leased</w:t>
            </w:r>
          </w:p>
        </w:tc>
        <w:tc>
          <w:tcPr>
            <w:tcW w:w="1724" w:type="dxa"/>
            <w:tcBorders/>
            <w:shd w:fill="FFFFFF" w:val="clear"/>
            <w:tcMar>
              <w:top w:w="0" w:type="dxa"/>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Lyphe (Distribution Operations)</w:t>
            </w:r>
          </w:p>
        </w:tc>
        <w:tc>
          <w:tcPr>
            <w:tcW w:w="2440" w:type="dxa"/>
            <w:tcBorders/>
            <w:shd w:fill="CCEEFF" w:val="clear"/>
            <w:tcMar>
              <w:top w:w="0" w:type="dxa"/>
              <w:bottom w:w="0" w:type="dxa"/>
            </w:tcMar>
            <w:vAlign w:val="center"/>
          </w:tcPr>
          <w:p>
            <w:pPr>
              <w:pStyle w:val="TableContents"/>
              <w:bidi w:val="0"/>
              <w:spacing w:before="0" w:after="283"/>
              <w:jc w:val="left"/>
              <w:rPr/>
            </w:pPr>
            <w:r>
              <w:rPr/>
              <w:t>Farnborough,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Cannabis</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2,100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Lyphe (Distribution Operations)</w:t>
            </w:r>
          </w:p>
        </w:tc>
        <w:tc>
          <w:tcPr>
            <w:tcW w:w="2440" w:type="dxa"/>
            <w:tcBorders/>
            <w:shd w:fill="FFFFFF" w:val="clear"/>
            <w:tcMar>
              <w:top w:w="0" w:type="dxa"/>
              <w:bottom w:w="0" w:type="dxa"/>
            </w:tcMar>
            <w:vAlign w:val="center"/>
          </w:tcPr>
          <w:p>
            <w:pPr>
              <w:pStyle w:val="TableContents"/>
              <w:bidi w:val="0"/>
              <w:spacing w:before="0" w:after="283"/>
              <w:jc w:val="left"/>
              <w:rPr/>
            </w:pPr>
            <w:r>
              <w:rPr/>
              <w:t>Farnborough,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Cannabis</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2,100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Birmingham,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1,400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(Restaurant / Bar / Hotel)</w:t>
            </w:r>
          </w:p>
        </w:tc>
        <w:tc>
          <w:tcPr>
            <w:tcW w:w="2440" w:type="dxa"/>
            <w:tcBorders/>
            <w:shd w:fill="FFFFFF" w:val="clear"/>
            <w:tcMar>
              <w:top w:w="0" w:type="dxa"/>
              <w:bottom w:w="0" w:type="dxa"/>
            </w:tcMar>
            <w:vAlign w:val="center"/>
          </w:tcPr>
          <w:p>
            <w:pPr>
              <w:pStyle w:val="TableContents"/>
              <w:bidi w:val="0"/>
              <w:spacing w:before="0" w:after="283"/>
              <w:jc w:val="left"/>
              <w:rPr/>
            </w:pPr>
            <w:r>
              <w:rPr/>
              <w:t>Edinburgh,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25,000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Edinburgh,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4,650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FFFFFF" w:val="clear"/>
            <w:tcMar>
              <w:top w:w="0" w:type="dxa"/>
              <w:bottom w:w="0" w:type="dxa"/>
            </w:tcMar>
            <w:vAlign w:val="center"/>
          </w:tcPr>
          <w:p>
            <w:pPr>
              <w:pStyle w:val="TableContents"/>
              <w:bidi w:val="0"/>
              <w:spacing w:before="0" w:after="283"/>
              <w:jc w:val="left"/>
              <w:rPr/>
            </w:pPr>
            <w:r>
              <w:rPr/>
              <w:t>Canary Wharf,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9,600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London,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5,500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FFFFFF" w:val="clear"/>
            <w:tcMar>
              <w:top w:w="0" w:type="dxa"/>
              <w:bottom w:w="0" w:type="dxa"/>
            </w:tcMar>
            <w:vAlign w:val="center"/>
          </w:tcPr>
          <w:p>
            <w:pPr>
              <w:pStyle w:val="TableContents"/>
              <w:bidi w:val="0"/>
              <w:spacing w:before="0" w:after="283"/>
              <w:jc w:val="left"/>
              <w:rPr/>
            </w:pPr>
            <w:r>
              <w:rPr/>
              <w:t>London,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8,900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London,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29,000</w:t>
            </w:r>
          </w:p>
        </w:tc>
      </w:tr>
      <w:tr>
        <w:trPr/>
        <w:tc>
          <w:tcPr>
            <w:tcW w:w="3710" w:type="dxa"/>
            <w:tcBorders/>
            <w:tcMar>
              <w:top w:w="0" w:type="dxa"/>
              <w:bottom w:w="0" w:type="dxa"/>
            </w:tcMar>
            <w:vAlign w:val="center"/>
          </w:tcPr>
          <w:p>
            <w:pPr>
              <w:pStyle w:val="TableContents"/>
              <w:bidi w:val="0"/>
              <w:spacing w:before="0" w:after="283"/>
              <w:jc w:val="left"/>
              <w:rPr/>
            </w:pPr>
            <w:r>
              <w:rPr/>
              <w:t>BrewDog U.K. (Restaurant / Bar)</w:t>
            </w:r>
          </w:p>
        </w:tc>
        <w:tc>
          <w:tcPr>
            <w:tcW w:w="2440" w:type="dxa"/>
            <w:tcBorders/>
            <w:tcMar>
              <w:top w:w="0" w:type="dxa"/>
              <w:bottom w:w="0" w:type="dxa"/>
            </w:tcMar>
            <w:vAlign w:val="center"/>
          </w:tcPr>
          <w:p>
            <w:pPr>
              <w:pStyle w:val="TableContents"/>
              <w:bidi w:val="0"/>
              <w:spacing w:before="0" w:after="283"/>
              <w:jc w:val="left"/>
              <w:rPr/>
            </w:pPr>
            <w:r>
              <w:rPr/>
              <w:t>Manchester, United Kingdom</w:t>
            </w:r>
          </w:p>
        </w:tc>
        <w:tc>
          <w:tcPr>
            <w:tcW w:w="1273" w:type="dxa"/>
            <w:tcBorders/>
            <w:tcMar>
              <w:top w:w="0" w:type="dxa"/>
              <w:bottom w:w="0" w:type="dxa"/>
            </w:tcMar>
            <w:vAlign w:val="center"/>
          </w:tcPr>
          <w:p>
            <w:pPr>
              <w:pStyle w:val="TableContents"/>
              <w:bidi w:val="0"/>
              <w:spacing w:before="0" w:after="283"/>
              <w:jc w:val="left"/>
              <w:rPr/>
            </w:pPr>
            <w:r>
              <w:rPr/>
              <w:t>Beverage</w:t>
            </w:r>
          </w:p>
        </w:tc>
        <w:tc>
          <w:tcPr>
            <w:tcW w:w="1058" w:type="dxa"/>
            <w:tcBorders/>
            <w:tcMar>
              <w:top w:w="0" w:type="dxa"/>
              <w:bottom w:w="0" w:type="dxa"/>
            </w:tcMar>
            <w:vAlign w:val="center"/>
          </w:tcPr>
          <w:p>
            <w:pPr>
              <w:pStyle w:val="TableContents"/>
              <w:bidi w:val="0"/>
              <w:spacing w:before="0" w:after="283"/>
              <w:jc w:val="left"/>
              <w:rPr/>
            </w:pPr>
            <w:r>
              <w:rPr/>
              <w:t>Leased</w:t>
            </w:r>
          </w:p>
        </w:tc>
        <w:tc>
          <w:tcPr>
            <w:tcW w:w="1724" w:type="dxa"/>
            <w:tcBorders/>
            <w:tcMar>
              <w:top w:w="0" w:type="dxa"/>
              <w:bottom w:w="0" w:type="dxa"/>
            </w:tcMar>
            <w:vAlign w:val="center"/>
          </w:tcPr>
          <w:p>
            <w:pPr>
              <w:pStyle w:val="TableContents"/>
              <w:bidi w:val="0"/>
              <w:spacing w:before="0" w:after="283"/>
              <w:jc w:val="right"/>
              <w:rPr/>
            </w:pPr>
            <w:r>
              <w:rPr/>
              <w:t>3,000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London,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5,500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(Warehouse / Distribution)</w:t>
            </w:r>
          </w:p>
        </w:tc>
        <w:tc>
          <w:tcPr>
            <w:tcW w:w="2440" w:type="dxa"/>
            <w:tcBorders/>
            <w:shd w:fill="FFFFFF" w:val="clear"/>
            <w:tcMar>
              <w:top w:w="0" w:type="dxa"/>
              <w:bottom w:w="0" w:type="dxa"/>
            </w:tcMar>
            <w:vAlign w:val="center"/>
          </w:tcPr>
          <w:p>
            <w:pPr>
              <w:pStyle w:val="TableContents"/>
              <w:bidi w:val="0"/>
              <w:spacing w:before="0" w:after="283"/>
              <w:jc w:val="left"/>
              <w:rPr/>
            </w:pPr>
            <w:r>
              <w:rPr/>
              <w:t>Motherwell,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127,000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Manchester,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14,600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(Brewpub / office)</w:t>
            </w:r>
          </w:p>
        </w:tc>
        <w:tc>
          <w:tcPr>
            <w:tcW w:w="2440" w:type="dxa"/>
            <w:tcBorders/>
            <w:shd w:fill="FFFFFF" w:val="clear"/>
            <w:tcMar>
              <w:top w:w="0" w:type="dxa"/>
              <w:bottom w:w="0" w:type="dxa"/>
            </w:tcMar>
            <w:vAlign w:val="center"/>
          </w:tcPr>
          <w:p>
            <w:pPr>
              <w:pStyle w:val="TableContents"/>
              <w:bidi w:val="0"/>
              <w:spacing w:before="0" w:after="283"/>
              <w:jc w:val="left"/>
              <w:rPr/>
            </w:pPr>
            <w:r>
              <w:rPr/>
              <w:t>Ellon, Scotland</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Owned</w:t>
            </w:r>
          </w:p>
        </w:tc>
        <w:tc>
          <w:tcPr>
            <w:tcW w:w="1724" w:type="dxa"/>
            <w:tcBorders/>
            <w:shd w:fill="FFFFFF" w:val="clear"/>
            <w:tcMar>
              <w:top w:w="0" w:type="dxa"/>
              <w:bottom w:w="0" w:type="dxa"/>
            </w:tcMar>
            <w:vAlign w:val="center"/>
          </w:tcPr>
          <w:p>
            <w:pPr>
              <w:pStyle w:val="TableContents"/>
              <w:bidi w:val="0"/>
              <w:spacing w:before="0" w:after="283"/>
              <w:jc w:val="right"/>
              <w:rPr/>
            </w:pPr>
            <w:r>
              <w:rPr/>
              <w:t>16,000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Aberdeen,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6,600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FFFFFF" w:val="clear"/>
            <w:tcMar>
              <w:top w:w="0" w:type="dxa"/>
              <w:bottom w:w="0" w:type="dxa"/>
            </w:tcMar>
            <w:vAlign w:val="center"/>
          </w:tcPr>
          <w:p>
            <w:pPr>
              <w:pStyle w:val="TableContents"/>
              <w:bidi w:val="0"/>
              <w:spacing w:before="0" w:after="283"/>
              <w:jc w:val="left"/>
              <w:rPr/>
            </w:pPr>
            <w:r>
              <w:rPr/>
              <w:t>Bristol,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9,600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CCEEFF" w:val="clear"/>
            <w:tcMar>
              <w:top w:w="0" w:type="dxa"/>
              <w:bottom w:w="0" w:type="dxa"/>
            </w:tcMar>
            <w:vAlign w:val="center"/>
          </w:tcPr>
          <w:p>
            <w:pPr>
              <w:pStyle w:val="TableContents"/>
              <w:bidi w:val="0"/>
              <w:spacing w:before="0" w:after="283"/>
              <w:jc w:val="left"/>
              <w:rPr/>
            </w:pPr>
            <w:r>
              <w:rPr/>
              <w:t>Manchester, United Kingdom</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15,000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U.K. (Restaurant / Bar)</w:t>
            </w:r>
          </w:p>
        </w:tc>
        <w:tc>
          <w:tcPr>
            <w:tcW w:w="2440" w:type="dxa"/>
            <w:tcBorders/>
            <w:shd w:fill="FFFFFF" w:val="clear"/>
            <w:tcMar>
              <w:top w:w="0" w:type="dxa"/>
              <w:bottom w:w="0" w:type="dxa"/>
            </w:tcMar>
            <w:vAlign w:val="center"/>
          </w:tcPr>
          <w:p>
            <w:pPr>
              <w:pStyle w:val="TableContents"/>
              <w:bidi w:val="0"/>
              <w:spacing w:before="0" w:after="283"/>
              <w:jc w:val="left"/>
              <w:rPr/>
            </w:pPr>
            <w:r>
              <w:rPr/>
              <w:t>Glasgow, United Kingdom</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3,500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Australia (Brewpub)</w:t>
            </w:r>
          </w:p>
        </w:tc>
        <w:tc>
          <w:tcPr>
            <w:tcW w:w="2440" w:type="dxa"/>
            <w:tcBorders/>
            <w:shd w:fill="CCEEFF" w:val="clear"/>
            <w:tcMar>
              <w:top w:w="0" w:type="dxa"/>
              <w:bottom w:w="0" w:type="dxa"/>
            </w:tcMar>
            <w:vAlign w:val="center"/>
          </w:tcPr>
          <w:p>
            <w:pPr>
              <w:pStyle w:val="TableContents"/>
              <w:bidi w:val="0"/>
              <w:spacing w:before="0" w:after="283"/>
              <w:jc w:val="left"/>
              <w:rPr/>
            </w:pPr>
            <w:r>
              <w:rPr/>
              <w:t>Brisbane, Australia</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3,300</w:t>
            </w:r>
          </w:p>
        </w:tc>
      </w:tr>
      <w:tr>
        <w:trPr/>
        <w:tc>
          <w:tcPr>
            <w:tcW w:w="3710" w:type="dxa"/>
            <w:tcBorders/>
            <w:shd w:fill="FFFFFF" w:val="clear"/>
            <w:tcMar>
              <w:top w:w="0" w:type="dxa"/>
              <w:bottom w:w="0" w:type="dxa"/>
            </w:tcMar>
            <w:vAlign w:val="center"/>
          </w:tcPr>
          <w:p>
            <w:pPr>
              <w:pStyle w:val="TableContents"/>
              <w:bidi w:val="0"/>
              <w:spacing w:before="0" w:after="283"/>
              <w:jc w:val="left"/>
              <w:rPr/>
            </w:pPr>
            <w:r>
              <w:rPr/>
              <w:t>BrewDog Australia (Restaurant / Bar)</w:t>
            </w:r>
          </w:p>
        </w:tc>
        <w:tc>
          <w:tcPr>
            <w:tcW w:w="2440" w:type="dxa"/>
            <w:tcBorders/>
            <w:shd w:fill="FFFFFF" w:val="clear"/>
            <w:tcMar>
              <w:top w:w="0" w:type="dxa"/>
              <w:bottom w:w="0" w:type="dxa"/>
            </w:tcMar>
            <w:vAlign w:val="center"/>
          </w:tcPr>
          <w:p>
            <w:pPr>
              <w:pStyle w:val="TableContents"/>
              <w:bidi w:val="0"/>
              <w:spacing w:before="0" w:after="283"/>
              <w:jc w:val="left"/>
              <w:rPr/>
            </w:pPr>
            <w:r>
              <w:rPr/>
              <w:t>Brisbane, Australia</w:t>
            </w:r>
          </w:p>
        </w:tc>
        <w:tc>
          <w:tcPr>
            <w:tcW w:w="1273" w:type="dxa"/>
            <w:tcBorders/>
            <w:shd w:fill="FFFFFF" w:val="clear"/>
            <w:tcMar>
              <w:top w:w="0" w:type="dxa"/>
              <w:bottom w:w="0" w:type="dxa"/>
            </w:tcMar>
            <w:vAlign w:val="center"/>
          </w:tcPr>
          <w:p>
            <w:pPr>
              <w:pStyle w:val="TableContents"/>
              <w:bidi w:val="0"/>
              <w:spacing w:before="0" w:after="283"/>
              <w:jc w:val="left"/>
              <w:rPr/>
            </w:pPr>
            <w:r>
              <w:rPr/>
              <w:t>Beverage</w:t>
            </w:r>
          </w:p>
        </w:tc>
        <w:tc>
          <w:tcPr>
            <w:tcW w:w="1058" w:type="dxa"/>
            <w:tcBorders/>
            <w:shd w:fill="FFFFFF" w:val="clear"/>
            <w:tcMar>
              <w:top w:w="0" w:type="dxa"/>
              <w:bottom w:w="0" w:type="dxa"/>
            </w:tcMar>
            <w:vAlign w:val="center"/>
          </w:tcPr>
          <w:p>
            <w:pPr>
              <w:pStyle w:val="TableContents"/>
              <w:bidi w:val="0"/>
              <w:spacing w:before="0" w:after="283"/>
              <w:jc w:val="left"/>
              <w:rPr/>
            </w:pPr>
            <w:r>
              <w:rPr/>
              <w:t>Leased</w:t>
            </w:r>
          </w:p>
        </w:tc>
        <w:tc>
          <w:tcPr>
            <w:tcW w:w="1724" w:type="dxa"/>
            <w:tcBorders/>
            <w:shd w:fill="FFFFFF" w:val="clear"/>
            <w:tcMar>
              <w:top w:w="0" w:type="dxa"/>
              <w:bottom w:w="0" w:type="dxa"/>
            </w:tcMar>
            <w:vAlign w:val="center"/>
          </w:tcPr>
          <w:p>
            <w:pPr>
              <w:pStyle w:val="TableContents"/>
              <w:bidi w:val="0"/>
              <w:spacing w:before="0" w:after="283"/>
              <w:jc w:val="right"/>
              <w:rPr/>
            </w:pPr>
            <w:r>
              <w:rPr/>
              <w:t>1,000</w:t>
            </w:r>
          </w:p>
        </w:tc>
      </w:tr>
      <w:tr>
        <w:trPr/>
        <w:tc>
          <w:tcPr>
            <w:tcW w:w="3710" w:type="dxa"/>
            <w:tcBorders/>
            <w:shd w:fill="CCEEFF" w:val="clear"/>
            <w:tcMar>
              <w:top w:w="0" w:type="dxa"/>
              <w:bottom w:w="0" w:type="dxa"/>
            </w:tcMar>
            <w:vAlign w:val="center"/>
          </w:tcPr>
          <w:p>
            <w:pPr>
              <w:pStyle w:val="TableContents"/>
              <w:bidi w:val="0"/>
              <w:spacing w:before="0" w:after="283"/>
              <w:jc w:val="left"/>
              <w:rPr/>
            </w:pPr>
            <w:r>
              <w:rPr/>
              <w:t>BrewDog Ireland (Brewpub)</w:t>
            </w:r>
          </w:p>
        </w:tc>
        <w:tc>
          <w:tcPr>
            <w:tcW w:w="2440" w:type="dxa"/>
            <w:tcBorders/>
            <w:shd w:fill="CCEEFF" w:val="clear"/>
            <w:tcMar>
              <w:top w:w="0" w:type="dxa"/>
              <w:bottom w:w="0" w:type="dxa"/>
            </w:tcMar>
            <w:vAlign w:val="center"/>
          </w:tcPr>
          <w:p>
            <w:pPr>
              <w:pStyle w:val="TableContents"/>
              <w:bidi w:val="0"/>
              <w:spacing w:before="0" w:after="283"/>
              <w:jc w:val="left"/>
              <w:rPr/>
            </w:pPr>
            <w:r>
              <w:rPr/>
              <w:t>Dublin, Ireland</w:t>
            </w:r>
          </w:p>
        </w:tc>
        <w:tc>
          <w:tcPr>
            <w:tcW w:w="1273" w:type="dxa"/>
            <w:tcBorders/>
            <w:shd w:fill="CCEEFF" w:val="clear"/>
            <w:tcMar>
              <w:top w:w="0" w:type="dxa"/>
              <w:bottom w:w="0" w:type="dxa"/>
            </w:tcMar>
            <w:vAlign w:val="center"/>
          </w:tcPr>
          <w:p>
            <w:pPr>
              <w:pStyle w:val="TableContents"/>
              <w:bidi w:val="0"/>
              <w:spacing w:before="0" w:after="283"/>
              <w:jc w:val="left"/>
              <w:rPr/>
            </w:pPr>
            <w:r>
              <w:rPr/>
              <w:t>Beverage</w:t>
            </w:r>
          </w:p>
        </w:tc>
        <w:tc>
          <w:tcPr>
            <w:tcW w:w="1058" w:type="dxa"/>
            <w:tcBorders/>
            <w:shd w:fill="CCEEFF" w:val="clear"/>
            <w:tcMar>
              <w:top w:w="0" w:type="dxa"/>
              <w:bottom w:w="0" w:type="dxa"/>
            </w:tcMar>
            <w:vAlign w:val="center"/>
          </w:tcPr>
          <w:p>
            <w:pPr>
              <w:pStyle w:val="TableContents"/>
              <w:bidi w:val="0"/>
              <w:spacing w:before="0" w:after="283"/>
              <w:jc w:val="left"/>
              <w:rPr/>
            </w:pPr>
            <w:r>
              <w:rPr/>
              <w:t>Leased</w:t>
            </w:r>
          </w:p>
        </w:tc>
        <w:tc>
          <w:tcPr>
            <w:tcW w:w="1724" w:type="dxa"/>
            <w:tcBorders/>
            <w:shd w:fill="CCEEFF" w:val="clear"/>
            <w:tcMar>
              <w:top w:w="0" w:type="dxa"/>
              <w:bottom w:w="0" w:type="dxa"/>
            </w:tcMar>
            <w:vAlign w:val="center"/>
          </w:tcPr>
          <w:p>
            <w:pPr>
              <w:pStyle w:val="TableContents"/>
              <w:bidi w:val="0"/>
              <w:spacing w:before="0" w:after="283"/>
              <w:jc w:val="right"/>
              <w:rPr/>
            </w:pPr>
            <w:r>
              <w:rPr/>
              <w:t>13,000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lineRule="auto" w:line="288"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1</w:t>
            </w:r>
          </w:p>
        </w:tc>
        <w:tc>
          <w:tcPr>
            <w:tcW w:w="10040"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Aphria Diamond is a 51% majority-owned subsidiary of Aphria, Inc. Aphria Diamond is a strategic venture with Double Diamond Farms. </w:t>
            </w:r>
          </w:p>
        </w:tc>
      </w:tr>
      <w:tr>
        <w:trPr/>
        <w:tc>
          <w:tcPr>
            <w:tcW w:w="165" w:type="dxa"/>
            <w:tcBorders/>
            <w:vAlign w:val="center"/>
          </w:tcPr>
          <w:p>
            <w:pPr>
              <w:pStyle w:val="TableContents"/>
              <w:bidi w:val="0"/>
              <w:spacing w:lineRule="auto" w:line="288" w:before="0" w:after="283"/>
              <w:jc w:val="left"/>
              <w:rPr>
                <w:rFonts w:ascii="Times New Roman;Times;serif" w:hAnsi="Times New Roman;Times;serif"/>
              </w:rPr>
            </w:pPr>
            <w:r>
              <w:rPr>
                <w:rFonts w:ascii="Times New Roman;Times;serif" w:hAnsi="Times New Roman;Times;serif"/>
              </w:rPr>
              <w:t>2</w:t>
            </w:r>
          </w:p>
        </w:tc>
        <w:tc>
          <w:tcPr>
            <w:tcW w:w="10040"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Cantanhede, Portugal, we own one cultivation and manufacturing location used for medical cannabis as well as land adjacent to the facility for future expansion.</w:t>
            </w:r>
          </w:p>
        </w:tc>
      </w:tr>
      <w:tr>
        <w:trPr/>
        <w:tc>
          <w:tcPr>
            <w:tcW w:w="165" w:type="dxa"/>
            <w:tcBorders/>
            <w:vAlign w:val="center"/>
          </w:tcPr>
          <w:p>
            <w:pPr>
              <w:pStyle w:val="TableContents"/>
              <w:bidi w:val="0"/>
              <w:spacing w:before="0" w:after="0"/>
              <w:jc w:val="left"/>
              <w:rPr>
                <w:rFonts w:ascii="Times New Roman;Times;serif" w:hAnsi="Times New Roman;Times;serif"/>
                <w:sz w:val="17"/>
              </w:rPr>
            </w:pPr>
            <w:r>
              <w:rPr>
                <w:rFonts w:ascii="Times New Roman;Times;serif" w:hAnsi="Times New Roman;Times;serif"/>
                <w:i/>
                <w:sz w:val="17"/>
              </w:rPr>
              <w:t>3</w:t>
            </w:r>
            <w:r>
              <w:rPr>
                <w:rFonts w:ascii="Times New Roman;Times;serif" w:hAnsi="Times New Roman;Times;serif"/>
                <w:sz w:val="17"/>
              </w:rPr>
              <w:t xml:space="preserve"> </w:t>
            </w:r>
          </w:p>
        </w:tc>
        <w:tc>
          <w:tcPr>
            <w:tcW w:w="1004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We recognize the property as an asset held for sale for the year ended May 31, 2026.</w:t>
            </w:r>
          </w:p>
        </w:tc>
      </w:tr>
      <w:tr>
        <w:trPr/>
        <w:tc>
          <w:tcPr>
            <w:tcW w:w="16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4</w:t>
            </w:r>
          </w:p>
        </w:tc>
        <w:tc>
          <w:tcPr>
            <w:tcW w:w="100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This facility is an outdoor growing facility. </w:t>
            </w:r>
          </w:p>
        </w:tc>
      </w:tr>
      <w:tr>
        <w:trPr/>
        <w:tc>
          <w:tcPr>
            <w:tcW w:w="16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5</w:t>
            </w:r>
          </w:p>
        </w:tc>
        <w:tc>
          <w:tcPr>
            <w:tcW w:w="1004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This facility was sold during the year ended May 31,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lease space for other smaller offices in the United States, Canada, Europe and other parts of the world.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our facilities and committed leased spaces are currently adequate to meet our needs. As we continue to expand our operations, we may need to acquire or lease additional facilities or dispose of existing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item3"/>
      <w:bookmarkEnd w:id="8"/>
      <w:r>
        <w:rPr>
          <w:rFonts w:ascii="Times New Roman" w:hAnsi="Times New Roman"/>
          <w:b/>
          <w:caps w:val="false"/>
          <w:smallCaps w:val="false"/>
          <w:sz w:val="20"/>
        </w:rPr>
        <w:t xml:space="preserve">Item 3. Legal Proceedings.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called for by this item is incorporated herein by reference to Note 27, </w:t>
      </w:r>
      <w:r>
        <w:rPr>
          <w:rFonts w:ascii="Times New Roman" w:hAnsi="Times New Roman"/>
          <w:i/>
          <w:caps w:val="false"/>
          <w:smallCaps w:val="false"/>
          <w:sz w:val="20"/>
        </w:rPr>
        <w:t>Commitments and Contingencies</w:t>
      </w:r>
      <w:r>
        <w:rPr>
          <w:rFonts w:ascii="Times New Roman" w:hAnsi="Times New Roman"/>
          <w:caps w:val="false"/>
          <w:smallCaps w:val="false"/>
          <w:sz w:val="20"/>
        </w:rPr>
        <w:t>, in the Notes to the Consolidated Financial Statements included in Part II, Item 8 of this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9" w:name="item4"/>
      <w:bookmarkEnd w:id="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partii"/>
      <w:bookmarkEnd w:id="10"/>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5"/>
      <w:bookmarkEnd w:id="11"/>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 xml:space="preserve">s Common Equity, Related Stockholder Matters and Issuer Purchases of Equity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traded on the Nasdaq Global Select Market and the TSX under the symbol “TLRY.”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July 24, 2026, there were approximately 578,000 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paid any cash dividends on our common stock to date. It is our current intention to not declare or pay any cash dividends for the foreseeable future as we intend to utilize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common stock is limited by the terms of the Aphria Diamond credit facility, as well as any future debt or preferred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sales of unregistered securities; use of proceeds from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issuance of securities described below, unless otherwise noted, were exempt from registration under Section 4(2) of the Securities Act 1933, as amended (the “Securities Act”), in transactions by an issuer not involving a public offering and no underwriter participated in the offer and sale of the securities issued pursuant to the following issuances, and no commission or other remuneration was paid or given directly or indirectly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9, 2025, we entered into an assignment and assumption agreement with Double Diamond Holdings Ltd. (“DDH”), an Ontario corporation, pursuant to which, among other things, we acquired from DDH a promissory note in the amount of $14.8 million (the “DDH Note”) payable by 1974568 Ontario Limited (“Aphria Diamond”). DDH is a joint venturer with Aphria Inc. (Tilray’s wholly-owned subsidiary) in Aphria Diamond. As consideration for the DDH Note, Tilray issued 861,707 shares of our Common Stock to DDH.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15, 2026, we issued 398,666 shares of our Common Stock, as partial consideration pursuant to that certain share purchase agreement, dated April 15, 2026, by and among the Company, Tilray Holdings, Inc., a wholly-owned subsidiary of the Company, and the sellers party thereto, relating to the Company’s acquisition of the Lyphe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entered into the following private debt-for-equity exchange transactions (each, an “Exchange Transaction”) with unrelated parties in connection with the Company’s outstanding 5.20% Convertible Senior Notes due June 15, 2027 (“TLRY 27 Notes”) in reliance on the exemption provided by Section 3(a)(9)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we entered into an Exchange Transaction pursuant to which we issued 1,259,182 shares of our common stock in exchange for $5.0 million principal amount of TLRY 27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Between April 1, 2026 and April 8, 2026, we entered into Exchange Transactions pursuant to which we issued an aggregate of 1,879,696 shares of our Common Stock, in exchange for $12.0 million aggregate principal amount of TLRY 27 Notes.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3, 2026, Tilray entered into an Exchange Transaction pursuant to which we issued an aggregate of 1,214,186 shares of our Common Stock in exchange for $6.0 million aggregate principal amount of TLRY 27 Notes. See Note 30 (Subsequent events) for additional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15, 2026, we entered into an Exchange Transaction pursuant to which we issued an aggregate of 1,280,078 shares of our Common Stock in exchange for $6.0 million aggregate principal amount of TLRY 27 Notes. See Note 30 (Subsequent events) for additional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24, 2026, we entered into an Exchange Transaction pursuant to which we issued an aggregate of 1,358,263 shares of our Common Stock in exchange for $6.0 million aggregate principal amount of TLRY 27 Notes. See Note 30 (Subsequent events) for additional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Stock Performance 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graph compares the performance of our common stock to the Nasdaq Composite and the Horizons Marijuana Life Sciences Index for the period from May 31, 2021 through May 31, 2026 in comparison to the indicated indexes. The results assume that $100, which was invested on May 31, 2021 in our common stock and each of the indicated indexes.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8134350" cy="342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34350" cy="3429000"/>
                    </a:xfrm>
                    <a:prstGeom prst="rect">
                      <a:avLst/>
                    </a:prstGeom>
                  </pic:spPr>
                </pic:pic>
              </a:graphicData>
            </a:graphic>
          </wp:inline>
        </w:drawing>
      </w:r>
    </w:p>
    <w:p>
      <w:pPr>
        <w:pStyle w:val="TextBody"/>
        <w:bidi w:val="0"/>
        <w:spacing w:before="0" w:after="0"/>
        <w:ind w:left="0" w:right="0" w:hanging="0"/>
        <w:jc w:val="center"/>
        <w:rPr/>
      </w:pPr>
      <w:r>
        <w:rPr/>
        <w:t xml:space="preserve">  </w:t>
      </w:r>
    </w:p>
    <w:tbl>
      <w:tblPr>
        <w:tblW w:w="8075" w:type="dxa"/>
        <w:jc w:val="center"/>
        <w:tblInd w:w="0" w:type="dxa"/>
        <w:tblLayout w:type="fixed"/>
        <w:tblCellMar>
          <w:top w:w="0" w:type="dxa"/>
          <w:left w:w="0" w:type="dxa"/>
          <w:bottom w:w="0" w:type="dxa"/>
          <w:right w:w="0" w:type="dxa"/>
        </w:tblCellMar>
      </w:tblPr>
      <w:tblGrid>
        <w:gridCol w:w="3275"/>
        <w:gridCol w:w="60"/>
        <w:gridCol w:w="125"/>
        <w:gridCol w:w="590"/>
        <w:gridCol w:w="60"/>
        <w:gridCol w:w="60"/>
        <w:gridCol w:w="125"/>
        <w:gridCol w:w="485"/>
        <w:gridCol w:w="60"/>
        <w:gridCol w:w="60"/>
        <w:gridCol w:w="125"/>
        <w:gridCol w:w="485"/>
        <w:gridCol w:w="60"/>
        <w:gridCol w:w="60"/>
        <w:gridCol w:w="125"/>
        <w:gridCol w:w="590"/>
        <w:gridCol w:w="60"/>
        <w:gridCol w:w="60"/>
        <w:gridCol w:w="125"/>
        <w:gridCol w:w="590"/>
        <w:gridCol w:w="60"/>
        <w:gridCol w:w="60"/>
        <w:gridCol w:w="125"/>
        <w:gridCol w:w="590"/>
        <w:gridCol w:w="60"/>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8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Tilray Brands,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Composite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196.18</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Horizons Marijuana Life Sciences Index</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item6"/>
      <w:bookmarkEnd w:id="12"/>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3" w:name="mda"/>
      <w:bookmarkEnd w:id="13"/>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The following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is intended to help the reader understand our results of operations and our present business environment from the perspective of management. You should read the following discussion and analysis of our financial condition and results of operations together with the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w:t>
      </w:r>
      <w:r>
        <w:rPr>
          <w:rFonts w:ascii="Times New Roman" w:hAnsi="Times New Roman"/>
          <w:i/>
          <w:caps w:val="false"/>
          <w:smallCaps w:val="false"/>
          <w:sz w:val="20"/>
        </w:rPr>
        <w:t xml:space="preserve">; the sections in Part I entitled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and the financial information and the notes thereto included in Part II, Item 8 of this Form 10-K in this Annual Report for the fiscal year ended May 31, 2026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We use certain non-GAAP measures that are more fully described below under the caption </w:t>
      </w:r>
      <w:r>
        <w:rPr>
          <w:rFonts w:ascii="Times New Roman" w:hAnsi="Times New Roman"/>
          <w:caps w:val="false"/>
          <w:smallCaps w:val="false"/>
          <w:sz w:val="20"/>
        </w:rPr>
        <w:t>“—</w:t>
      </w:r>
      <w:r>
        <w:rPr>
          <w:rFonts w:ascii="Times New Roman" w:hAnsi="Times New Roman"/>
          <w:i/>
          <w:caps w:val="false"/>
          <w:smallCaps w:val="false"/>
          <w:sz w:val="20"/>
        </w:rPr>
        <w:t>Use of Non-GAAP Measures,</w:t>
      </w:r>
      <w:r>
        <w:rPr>
          <w:rFonts w:ascii="Times New Roman" w:hAnsi="Times New Roman"/>
          <w:caps w:val="false"/>
          <w:smallCaps w:val="false"/>
          <w:sz w:val="20"/>
        </w:rPr>
        <w:t xml:space="preserve">” </w:t>
      </w:r>
      <w:r>
        <w:rPr>
          <w:rFonts w:ascii="Times New Roman" w:hAnsi="Times New Roman"/>
          <w:i/>
          <w:caps w:val="false"/>
          <w:smallCaps w:val="false"/>
          <w:sz w:val="20"/>
        </w:rPr>
        <w:t>which we believe are appropriate supplemental non-GAAP measures to evaluate our business and operations, measure our performance, identify trends affecting our business, project our future performance, and make strategic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 xml:space="preserve">Amounts are presented in thousands of United States dollars, except for shares, warrants, per share data and per warrant data or as otherwise noted.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Company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wellness, while creating memorable experiences that bring people together.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overall strategy is to leverage our brands, infrastructure, expertise and capabilities to drive revenue growth in the industries and channels in which we compete, achieve industry-leading profitability and build sustainable, long-term shareholder value. In order to ensure the long-term sustainable growth of our Company, we continue to focus on developing strong capabilities in data analytics and consumer insights, drive category management leadership and assess opportunities for the introduction of new categories and products and entries into new geographies. In addition, we are relentlessly focused on managing our cost structure and expenses in order to expand margins and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Trends and Other Factors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U.S. Beverage market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Within the beverage category, we expect the following key trends to shape the near-term outlook in this segment: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Beverage Distribution</w:t>
            </w:r>
            <w:r>
              <w:rPr>
                <w:rFonts w:ascii="Times New Roman" w:hAnsi="Times New Roman"/>
                <w:caps w:val="false"/>
                <w:smallCaps w:val="false"/>
                <w:sz w:val="20"/>
              </w:rPr>
              <w:t>. In furtherance of our strategic vision, we remain focused on enhancing the relevance of our brands within their home markets with mission critical SKUs, focusing on growing our core brands in their core markets and on driving growth of our highest margin SKUs within these brands. Through targeted efforts, we continue to strategically optimize our price/pack/channel architecture and drive distribution to continue to execute against our craft beer strategy, streamlining our business, enhancing our relevance and focusing resources on our core markets.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t>
            </w:r>
          </w:p>
        </w:tc>
        <w:tc>
          <w:tcPr>
            <w:tcW w:w="10065" w:type="dxa"/>
            <w:tcBorders/>
            <w:vAlign w:val="center"/>
          </w:tcPr>
          <w:p>
            <w:pPr>
              <w:pStyle w:val="TableContents"/>
              <w:bidi w:val="0"/>
              <w:spacing w:before="0" w:after="283"/>
              <w:jc w:val="both"/>
              <w:rPr/>
            </w:pPr>
            <w:r>
              <w:rPr>
                <w:i/>
              </w:rPr>
              <w:t>Innovation</w:t>
            </w:r>
            <w:r>
              <w:rPr/>
              <w:t>. In the United States, we have been closely monitoring consumer beverage trends, which have included consumers drinking less beverage alcohol products for a variety of reasons and, when consuming alcoholic beverages, the increasing demand for ready-to-drink cocktail options. To address these trends, we have engaged in strategic innovation based on category analysis, consumer insights, and portfolio diversification into alternative beverage options. More specifically, we have launched products such as Cruisies and 10 Barrel’s Salty Sips line, a lower</w:t>
              <w:noBreakHyphen/>
              <w:t>sugar vodka-based refresher made with real fruit juice and a pinch of sea salt. For consumers seeking to reduce their beverage alcohol consumption, the portfolio continues to scale across non</w:t>
              <w:noBreakHyphen/>
              <w:t>alcoholic craft beer, clean</w:t>
              <w:noBreakHyphen/>
              <w:t>label energy drinks fortified with vitamins, and 10 Barrel Clean Slate, a functional non</w:t>
              <w:noBreakHyphen/>
              <w:t>alcoholic cocktail offering. Our innovation pipeline also includes flavored malt beverage offerings under the Popsicle brand, developed through a licensing partnership to bring iconic, nostalgic Popsicle flavors into ready</w:t>
              <w:noBreakHyphen/>
              <w:t>to</w:t>
              <w:noBreakHyphen/>
              <w:t>drink adult beverages. These strategic innovations underscore our commitment to offering high-quality options across a diverse range of beverage categories, positioning us for sustained growth by meeting consumer demand and differentiation in the competitive beverage segment.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rPr>
              <w:t>Brew Pubs</w:t>
            </w:r>
            <w:r>
              <w:rPr/>
              <w:t>. We currently operate 18 brew pubs, including our Breckenridge Distillery restaurant and tasting room, in geographic regions across the U.S. and core markets for the associated craft brands. This includes our four recently acquired BrewDog U.S. brew pubs, including a flagship multi</w:t>
              <w:noBreakHyphen/>
              <w:t>level location on the Las Vegas Strip. An important part of our strategic plan for our craft beer business centers on the role that brew pubs and experiential hospitality play in promoting and showcasing the distinct, regional positioning of our various craft beer brands. They provide our consumers with a venue in which to connect with others and have an immersive brand experience which serves to enhance brand loyalty and drive immediate and long-term revenue growth. We also believe that our brew pub strategy fuels trial and innovation by allowing us to curate unique small batch product offerings in targeted test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spirits category, Breckenridge Distillery combines premium craftsmanship, award-winning quality, and experiential tourism appeal, reinforcing its positioning as a lifestyle-driven spirits brand. Recently included in Newsweek's “Best Bourbon 2026” list, the distillery has earned multiple prestigious accolades across Whiskey, Gin, and Vodka, including three Icons of Whisky awards, ten Best American Blended Whiskey honors at the World Whiskies Awards, and recognition as Colorado Distillery of the Year. Breckenridge Distillery products are available in all 50 states, with continued planned expansion into other product categories and product innovations. Recent launches include Mock One, a non-alcoholic spirits line, Mountain Shot, flavored whiskey in convenient pouches, and Casa Breck Tequila, all underscoring our commitment to innovation and evolving consumer preferences. Despite prevailing challenges within the overall spirits market, we believe that our award-winning portfolio and innovative product introductions positions Breckenridge Distillery for sustained growth and enhanced market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U.K. Beverage market trends: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U.K., the beverage alcohol market remains highly competitive and continues to be impacted by evolving consumer preferences, cost pressures, and moderation trends. Consumers are increasingly seeking premium products, no and low-alcohol alternatives, and differentiated brand experiences across both retail and hospitality channels. Through BrewDog’s established brand portfolio, retail and e-commerce presence, and company-operated bar network, we believe we are positioned to compete in the U.K. market while focusing on core brand performance, operational efficiency, and selective innovation.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Canadian cannabis market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cannabis industry in Canada continues to evolve given how nascent the industry is with federal legalization of adult-use cannabis occurring just over five years ago. Through analysis of the current market conditions, the following key trends have emerged and are anticipated to influence the near-term future in the Canadian cannabis industry: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rPr>
              <w:t>Market share</w:t>
            </w:r>
            <w:r>
              <w:rPr/>
              <w:t>. During the fourth fiscal quarter, Tilray continued to lead the Canadian market with the highest cannabis revenue in Canada. However, during the fourth fiscal quarter, we experienced a decrease in market share in Canada from 8.5% to 7.9% from the immediately preceding quarter as reported by Hifyre data for all provinces, excluding Quebec where Weedcrawler was deemed more accurate. The 55 basis point decline primarily reflected a 162 basis point decrease in the whole flower category, resulting from a planned cultivation strain rotation that temporarily impacted supply, and a 660 basis point decrease in the straight-edge pre</w:t>
              <w:noBreakHyphen/>
              <w:t>roll category due to an out</w:t>
              <w:noBreakHyphen/>
              <w:t>of</w:t>
              <w:noBreakHyphen/>
              <w:t>stock experienced by a componentry vendor despite maintaining a market leading position within this category. These declines were partially offset by modest increases in the vape, beverage, and infused pre-roll categories as the Company continues to scale in these high-growth, ready-to-consume product formats. Despite the decline in flower market share, the Company remains focused on improving profitability within the category by prioritizing higher-margin premium brands, including Broken Coast, and supporting targeted innovation, including recent launches of Lemon Cherry Poppers under the Good Supply brand and Ice Cream RNTZ. The Company continues to enhance its global supply chain and expand its cultivation footprint to support demand across Canadian and international markets. We have successfully optimized our Quebec cultivation facility and expect it to generate meaningful flower output in the second half of fiscal 2027, which may be directed to international markets based on potential customer demand. During the fiscal quarter ended May 31, 2026, the Company opportunistically redirected approximately 0.5 Metric Tons to international markets, which are expected to generate higher margin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t>
            </w:r>
          </w:p>
        </w:tc>
        <w:tc>
          <w:tcPr>
            <w:tcW w:w="10065" w:type="dxa"/>
            <w:tcBorders/>
            <w:vAlign w:val="center"/>
          </w:tcPr>
          <w:p>
            <w:pPr>
              <w:pStyle w:val="TableContents"/>
              <w:bidi w:val="0"/>
              <w:spacing w:before="0" w:after="283"/>
              <w:jc w:val="both"/>
              <w:rPr/>
            </w:pPr>
            <w:r>
              <w:rPr>
                <w:i/>
              </w:rPr>
              <w:t>Price compression. </w:t>
            </w:r>
            <w:r>
              <w:rPr/>
              <w:t>Licensed producer consolidation has progressed more gradually than anticipated, while retailer consolidation has increased the negotiating leverage of larger retailer accounts. At the same time, consumer preferences continue to evolve. Demand is shifting toward manufactured formats such as infused pre</w:t>
              <w:noBreakHyphen/>
              <w:t>rolls, beverages, edibles, and vapes, reflecting a broader premiumization and convenience trend within the category. Price compression in specific categories is expected to persist in the market, intensified by fierce competition among the approximately 1,000 Licensed Producers in Canada. The fixed impact of excise tax per gram further compounds these challenges, and has promoted ongoing industry lobbying efforts.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 xml:space="preserve">International cannabis market trends.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global leader in the development, production, distribution, marketing and sale of pharmaceutical-grade medical cannabis products. The cannabis industry in Europe is still in its early stages of development and countries within Europe are at different stages of medical cannabis legalization. Meaningful progress in the legalization and regulation of cannabis for medical purposes, has now taken place in more than 21 countries representing a population of more than 526 million people (Germany, UK, Italy, Poland, Netherlands, Czech Republic, Greece, Portugal, Austria, Switzerland, Denmark, Croatia, Malta, Luxembourg, Ukraine, Sweden, Norway, Türkiye, Ireland and Spain). Beyond this, some countries have expressed a clear political ambition to legalize adult-use cannabis (Portugal and Luxembourg), some are engaging in programs for adult-use legalization (Netherlands and Switzerland) and some are debating regulations for cannabinoid-based medicine (France). In Europe, we believe that, despite continuing recessionary economic conditions, political uncertainty in various countries and the continuing Russian conflict with Ukraine, cannabis legalization (both medicinal and adult-use) will continue to gain traction albeit more slowly than originally expected. This is evidenced by the cannabis regulations in Malta in 2021, in Czech Republic in 2026 and more concretely in Germany in 2024, which we believe will serve as a catalyst for continued changes in drug policy throughout Europe. Outside of Europe and North America, the cannabis industry is also continuing to develop with Australia and Israel representing some of the larger markets and with some Latin American countries also growing their respective medical cannabis markets, such as Argentina, Panama, Colombia and Brazil.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ind w:left="0" w:right="0" w:firstLine="540"/>
        <w:jc w:val="both"/>
        <w:rPr/>
      </w:pPr>
      <w:r>
        <w:rPr/>
        <w:t xml:space="preserve">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that Tilray remains uniquely well-positioned to maintain and gain significant market share in the markets in which we participate. We benefit from our end-to-end vertically-integrated infrastructure in major markets and well-placed investments, which are comprised of two EU-GMP cultivation facilities located in Portugal and Germany; our fully owned route-to-market encompassing sales, marketing and distribution infrastructure in Germany, Australia and Italy; a network of leading distributors who we work with in the various other countries in which we participate; and, our extensive genetics portfolio and demonstrated commitment and expertise related to the cultivation and production of high-quality, safe cannabis products. Tilray’s International business also benefits from the depth and breadth of knowledge, experience, relationships and infrastructure we have gleaned from our leading participation and investment into the Canadian medical and adult-use markets. Tilray is proudly pioneering the effort to further understand the therapeutic value of cannabis through strategic partnerships with leading research institutions globally where Tilray is currently supporting clinical trials around the world studying the efficacy of cannabis in treading various indications. We believe that these assets and attributes, combined with our ability to navigate complex regulatory environments, will continue to drive our leadership in international medical markets and allow us to successfully enter new markets as they adopt medical cannabis and potentially adult-use regulations and may also serve to support a potential U.S. participation.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Germany.</w:t>
      </w:r>
      <w:r>
        <w:rPr>
          <w:rFonts w:ascii="Times New Roman" w:hAnsi="Times New Roman"/>
          <w:caps w:val="false"/>
          <w:smallCaps w:val="false"/>
          <w:sz w:val="20"/>
        </w:rPr>
        <w:t xml:space="preserve"> Today, Germany remains the largest medical cannabis market in Europe.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that Tilray is well-positioned in Germany, especially considering the enactment of MedCanG and given that we are one of only three manufacturers of medical cannabis in Germany since our wholly owned subsidiary, Aphria RX, was awarded the first license for the cultivation of medical cannabis in Germany by the BfArM under the liberalized regime. This license improves our ability to meet the needs of patients and provides cannabis of the utmost quality and enhanced availability to a broader market.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the market continues to mature, we have seen increased demands and differentiation specifically with medical cannabis flowers. In response, we have launched ARX and Good Supply brands and related medical cannabis products, which provides the patient with a segmented portfolio of products while we continue to deliver on the trust, safety and consistency that has become expected from our Tilray Medical brand.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Poland.</w:t>
      </w:r>
      <w:r>
        <w:rPr>
          <w:rFonts w:ascii="Times New Roman" w:hAnsi="Times New Roman"/>
          <w:caps w:val="false"/>
          <w:smallCaps w:val="false"/>
          <w:sz w:val="20"/>
        </w:rPr>
        <w:t> In Poland, cannabis was legalized for medical use in 2018 and is prescribed to patients by a physician and dispensed by pharmacies. Today, all doctors in Poland are allowed to prescribe medical cannabis and it is a self-pay market as medical cannabis is not refundable by the Polish health service. Tilray is a leading supplier of medical cannabis in Poland through our network of distributor partnerships. We predominantly supply the market with whole flower medical cannabis products.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United Kingdom</w:t>
      </w:r>
      <w:r>
        <w:rPr>
          <w:rFonts w:ascii="Times New Roman" w:hAnsi="Times New Roman"/>
          <w:caps w:val="false"/>
          <w:smallCaps w:val="false"/>
          <w:sz w:val="20"/>
        </w:rPr>
        <w:t>. Since November 2018, doctors in the U.K. have been able to prescribe medical cannabis for medicinal use for patients with medical conditions that had failed to respond to first-line medications. The market today is predominantly all self-pay and prescriptions are facilitated by private clinics. Today, we supply the U.K. market with mainly whole flower products from brands such as Good Supply through our distributor partners with sights on growing our portfolio to extracts and other formats. The Lyphe Acquisition brings deep clinical expertise and a strong patient-first approach that immediately strengthens our capabilities in the U.K.</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Ireland</w:t>
      </w:r>
      <w:r>
        <w:rPr>
          <w:rFonts w:ascii="Times New Roman" w:hAnsi="Times New Roman"/>
          <w:caps w:val="false"/>
          <w:smallCaps w:val="false"/>
          <w:sz w:val="20"/>
        </w:rPr>
        <w:t>. In June 2019, the Minister for Health signed legislation allowing for the operation of the Medical Cannabis Access Programme (“MCAP”) on a pilot basis for five years. The MCAP allows a medical consultant to prescribe a cannabis-based treatment for a narrow set of specified medical conditions, where the patient has failed to respond to standard treatment. Reimbursement is available for products which have received the appropriate approvals. Tilray was one of the first players to enter the Irish market and is one of a few suppliers which has received approval for its products to be prescribed and to have been granted reimbursement status. Today, we supply our approved extract product to Ireland through our distribution partner.</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Italy</w:t>
      </w:r>
      <w:r>
        <w:rPr>
          <w:rFonts w:ascii="Times New Roman" w:hAnsi="Times New Roman"/>
          <w:caps w:val="false"/>
          <w:smallCaps w:val="false"/>
          <w:sz w:val="20"/>
        </w:rPr>
        <w:t>. In May 2023, Tilray Medical received authorization from Italy’s Ministry of Health to distribute three new medical cannabis compounds. These medical cannabis compounds are distributed by Tilray Medical Italia to pharmacies across Italy. We have an established broad national pharmaceutical distribution network in Italy, where medical cannabis is prescribed by doctors and reimbursed by the healthcare system to eligible patients. In 2025, Tilray has received additional cannabis flower and extract product authorizations and has formed a strategic partnership with Molteni Farmaceutici with the commitment to broaden the availability of Tilray Medical products for patients across Italy.</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Australia</w:t>
      </w:r>
      <w:r>
        <w:rPr>
          <w:rFonts w:ascii="Times New Roman" w:hAnsi="Times New Roman"/>
          <w:caps w:val="false"/>
          <w:smallCaps w:val="false"/>
          <w:sz w:val="20"/>
        </w:rPr>
        <w:t>. In 2016, the Australian Government legalized medicinal cannabis, which is regulated by the Therapeutic Goods Administration. Medical cannabis is prescribed by a doctor but there is no coverage under the Pharmaceutical Benefits Scheme. Tilray Medical supplies the market with a wide portfolio of medical cannabis extracts as well as whole flower products. As the market continues to mature, we have seen increased demands and differentiation specifically with medical cannabis flowers. In response, we launched the Broken Coast, Redecan and Good Supply brands and products, which provides the patient with a segmented portfolio of products while we continue to deliver on the trust, safety and consistency that has become expected from our Tilray Medical brand.</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Luxembourg.</w:t>
      </w:r>
      <w:r>
        <w:rPr>
          <w:rFonts w:ascii="Times New Roman" w:hAnsi="Times New Roman"/>
          <w:caps w:val="false"/>
          <w:smallCaps w:val="false"/>
          <w:sz w:val="20"/>
        </w:rPr>
        <w:t xml:space="preserve"> Luxembourg established its medical cannabis framework in 2018, with the national program operational since February 2019. Medical cannabis is tightly regulated, accessible only through trained physicians and dispensed exclusively via hospital pharmacies. Prescriptions are limited to patients with defined, severe medical conditions, and all treatments are covered by public health insurance. In January 2025, Luxembourg updated its regulations to phase-out high-THC flower products, now permitting only balanced or high-CBD flower and oil-based extracts. This shift reflects the government’s commitment to standardized, pharmaceutical-grade cannabis therapies and patient safety. Tilray Deutschland GmbH was awarded the official government tender in 2025 to supply medical cannabis flower, demonstrating our leadership in centralized procurement and compliance with Luxembourg’s rigorous standards.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Portugal</w:t>
      </w:r>
      <w:r>
        <w:rPr>
          <w:rFonts w:ascii="Times New Roman" w:hAnsi="Times New Roman"/>
          <w:caps w:val="false"/>
          <w:smallCaps w:val="false"/>
          <w:sz w:val="20"/>
        </w:rPr>
        <w:t>. Portugal legalized medical cannabis in July 2018. The regulatory framework is overseen by INFARMED, requiring Market Placement Authorization (ACM) for all non-pharmaceutical cannabis products, with strict GACP and GMP compliance. While domestic patient access remains limited due to stringent product approvals and the absence of public reimbursement, Portugal has emerged as a leading European producer and exporter of medical cannabis, supplying high-value markets such as Germany, Poland, and Australia. In 2021, Tilray received the first Authorization for Placement on the Market for dried flower, with additional product approvals in 2024, reinforcing our pioneering role in Portugal’s medical cannabis sector. Our strategic investments in cultivation and manufacturing, combined with robust compliance and documentation standards, enable Tilray to deliver EU-GMP quality products to both domestic and international markets. As Portugal explores adult-use reform, we expect that Tilray’s established reputation and operational excellence position us to capitalize on future regulatory developments and market expansion.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Spain</w:t>
      </w:r>
      <w:r>
        <w:rPr>
          <w:rFonts w:ascii="Times New Roman" w:hAnsi="Times New Roman"/>
          <w:caps w:val="false"/>
          <w:smallCaps w:val="false"/>
          <w:sz w:val="20"/>
        </w:rPr>
        <w:t>. Spain introduced a formal medical cannabis framework in October 2025 (Royal Decree 903/2025), marking the first time cannabis-based treatments are systematically regulated within its healthcare system. The model is highly controlled and built around standardized cannabis preparations (magistral formulas) rather than licensed commercial products, with strict requirements on composition (THC/CBD), manufacturing quality, traceability, and pharmacovigilance under the supervision of the Spanish Medicines Agency (AEMPS).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Ukraine</w:t>
      </w:r>
      <w:r>
        <w:rPr>
          <w:rFonts w:ascii="Times New Roman" w:hAnsi="Times New Roman"/>
          <w:caps w:val="false"/>
          <w:smallCaps w:val="false"/>
          <w:sz w:val="20"/>
        </w:rPr>
        <w:t>. Ukraine established a national medical cannabis framework in 2024, driven largely by the need to treat war</w:t>
        <w:noBreakHyphen/>
        <w:t>related conditions such as chronic pain and post</w:t>
        <w:noBreakHyphen/>
        <w:t>traumatic stress disorder (PTSD). The law (No. 3528</w:t>
        <w:noBreakHyphen/>
        <w:t>IX), signed in February 2024 and effective from August 16, 2024, legalized cannabis for medical, scientific, and educational purposes, removing cannabis extracts from the list of prohibited substances and enabling their cultivation, manufacturing, import/export, and dispensing under strict licensing and quota controls. The regulatory system is highly pharmaceutical in nature: products must be registered as medicines or compounded in pharmacies using approved APIs, with full traceability, security requirements (e.g. controlled cultivation environments and surveillance), and oversight by the Ministry of Health and the State Medicines Service.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Brazil</w:t>
      </w:r>
      <w:r>
        <w:rPr>
          <w:rFonts w:ascii="Times New Roman" w:hAnsi="Times New Roman"/>
          <w:caps w:val="false"/>
          <w:smallCaps w:val="false"/>
          <w:sz w:val="20"/>
        </w:rPr>
        <w:t>. Brazil has recently implemented a major overhaul of its medical cannabis regulatory framework (2025–2026), transitioning from a temporary, import</w:t>
        <w:noBreakHyphen/>
        <w:t>dependent model (RDC 327/2019) to a more comprehensive, pharmaceutical-grade system covering the entire value chain. The new rules adopted by ANVISA in early 2026 (notably RDC 1.012–1.015/2026) establish for the first time clear provisions for cultivation, manufacturing, research, and commercialization under strict licensing and oversight. Cannabis products are formally defined as industrialized medicinal products based primarily on CBD or CBD-dominant extracts, reinforcing a pharmaceutical approach and excluding non-medical formats (e.g. cosmetics or wellness products). The framework also introduces domestic cultivation (≤0.3% THC) for medical purposes, a regulatory sandbox for controlled pilot activities (including patient associations), and stricter GMP, traceability, and quality standards aligned with international norms.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France</w:t>
      </w:r>
      <w:r>
        <w:rPr>
          <w:rFonts w:ascii="Times New Roman" w:hAnsi="Times New Roman"/>
          <w:caps w:val="false"/>
          <w:smallCaps w:val="false"/>
          <w:sz w:val="20"/>
        </w:rPr>
        <w:t>. France is approaching full approval of a permanent medical cannabis framework, following a multi</w:t>
        <w:noBreakHyphen/>
        <w:t>year pilot (2021–2026) and a prolonged regulatory process. The government has already finalized the core legal architecture, including draft decrees covering prescription, production, and distribution, which have been submitted to the European Commission and reviewed by the Conseil d’État.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forthcoming approval is expected to introduce a highly controlled, evidence-driven model: cannabis will be prescribed only as treatment for defined conditions (e.g. neuropathic pain, epilepsy, multiple sclerosis spasticity, oncology and palliative care), using standardized pharmaceutical products (oils, capsules, possibly vaporized formats) under strict ANSM oversight. Prescription will initially remain specialist-led, with potential gradual involvement of general practitioners, and products will require full pharmaceutical compliance (quality, traceability, GMP). A critical pending step is the HAS (Haute Autorité de Santé) evaluation, expected to determine reimbursement and clinical value in late 2026, which will ultimately define real patient access. If favorable, broad patient access is targeted for 2027, positioning France as a large regulated medical cannabis market.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U.S. cannabis market trends.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April 2026, the U.S. Department of Justice issued an order rescheduling FDA</w:t>
        <w:noBreakHyphen/>
        <w:t>approved cannabis products and state</w:t>
        <w:noBreakHyphen/>
        <w:t>licensed medical cannabis from Schedule I to Schedule III under the Controlled Substances Act. Concurrently, the DEA is conducting an expedited administrative hearing to consider broader rescheduling, which faces legal challenges in the D.C. Circuit Court of Appeals. As a global leader in medical cannabis, we believe we are well-positioned to participate in a federally compliant U.S. medical cannabis market, but we are monitoring the regulatory landscape and legal challenges that are ongoing. We continue to believe that these recent efforts to reschedule cannabis from Schedule I to Schedule III under the Controlled Substances Act represent meaningful progress toward broader cannabis reform and have the potential to accelerate clinical research, broaden patient access, and support the development of a regulated, science-driven medical cannabis market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Wellness market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Wellness’s branded business continues to grow across brick-and-mortar retail as well as e-commerce, which we believe further establishes its leading market share position in better-for-you categories. The Company continues to focus on value-added innovation within natural and organic food and beverages across branded and ingredient sales. We continue to participate in multiple growing categories including super-seeds, better-for-you breakfast, better-for-you snacking, as well as functional beverages and natural energy drinks. Within our Ingredients sales business, we have expanded our range of offerings in hemp protein and hemp oil, helping us further develop our business in North America and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Acquisitions, Strategic Transactions and Synergies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strive to continue to expand our business, on a consolidated basis, through a combination of organic growth and acquisition. While we continue to execute against our strategic initiatives that we believe will result in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and restructuring costs as we combine acquired companies and continue to achieve synergies, which is offset by income generated in connection with the execution of these transactions. For the year ended May 31, 2026, we incurred $6.3 million of transaction costs (income), net, as discussed further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Carlsberg. </w:t>
      </w:r>
      <w:r>
        <w:rPr>
          <w:rFonts w:ascii="Times New Roman" w:hAnsi="Times New Roman"/>
          <w:caps w:val="false"/>
          <w:smallCaps w:val="false"/>
          <w:sz w:val="20"/>
        </w:rPr>
        <w:t>On February 5, 2026, we entered into an exclusive licensing agreement, which commences on January 1, 2027, with the Carlsberg Group, one of the world’s premier brewing organizations and among the largest globally by revenue. Under the terms of the agreement, Tilray has been granted a multi-year license to produce, market, sell and distribute Carlsberg®, Carlsberg Elephant®,1664®, and Kronenbourg 1664 Blanc® branded beers across all channels in the United States, beginning January 1, 2027. The agreement has an initial five-year term, with an automatic renewal for an additional five years subject to performance criteria. </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Panama.</w:t>
      </w:r>
      <w:r>
        <w:rPr>
          <w:rFonts w:ascii="Times New Roman" w:hAnsi="Times New Roman"/>
          <w:caps w:val="false"/>
          <w:smallCaps w:val="false"/>
          <w:sz w:val="20"/>
        </w:rPr>
        <w:t> On October 13, 2025, we entered into a strategic partnership for medical cannabis operations in Panama. Under this partnership, the Company holds a 25% equity interest in Solana Life Group, S. de R.L., a Panamanian entity. The joint venture is engaged in the importation, distribution, and commercialization of medical cannabis products in Panama. During the fiscal year ended May 31, 2026, there were no transactions with this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BrewDog.</w:t>
      </w:r>
      <w:r>
        <w:rPr>
          <w:rFonts w:ascii="Times New Roman" w:hAnsi="Times New Roman"/>
          <w:caps w:val="false"/>
          <w:smallCaps w:val="false"/>
          <w:sz w:val="20"/>
        </w:rPr>
        <w:t xml:space="preserve"> Between March and April 2026, Tilray completed the BrewDog Acquisition. As the only global craft beer brand, the BrewDog Acquisition served to transform our beverage platform from a U.S. platform to a global platform and provided us with the international presence, team and capabilities to support the broader distribution of our U.S. beverage brands across key international markets, all in line with our previously disclosed ambition.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Lyphe.</w:t>
      </w:r>
      <w:r>
        <w:rPr>
          <w:rFonts w:ascii="Times New Roman" w:hAnsi="Times New Roman"/>
          <w:caps w:val="false"/>
          <w:smallCaps w:val="false"/>
          <w:sz w:val="20"/>
        </w:rPr>
        <w:t xml:space="preserve"> On April 15 2026, Tilray acquired the Lyphe Group, a UK-based medical cannabis clinic and digital pharmacy platform. Through Lyphe’s online clinic and pharmacy platform, we will seek to enhance access to medical cannabis while accelerating its existing capabilities in dispensing traditional prescription medicines, creating a seamless, digitally enabled patient experience.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b/>
          <w:i/>
          <w:caps w:val="false"/>
          <w:smallCaps w:val="false"/>
          <w:sz w:val="20"/>
        </w:rPr>
        <w:t>Beverage segment Project 420:</w:t>
      </w:r>
      <w:r>
        <w:rPr>
          <w:rFonts w:ascii="Times New Roman" w:hAnsi="Times New Roman"/>
          <w:i/>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quarter ended February 28, 2026, we considered the Project 420 plan to be completed due to reaching the cost savings target that we had set out to achieve even though there are still ongoing initiatives relating to additional cost savings, SKU rationalization and distributor rationalization. As a result of the actions implemented under the plan, the Company expects to realize ongoing cost savings and operational efficiencies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2020, we entered the beverage category with the acquisition of SweetWater Brewing Company, one of the largest independent craft brewers in the U.S. by volume, with the vision of creating a larger and more diversified global lifestyle consumer products company. This initial acquisition provided us with a foundation to pursue additional acquisitions in the beverage category and scale our business on a national basis. We acquired Alpine Beer Company, Green Flash and Breckenridge Distillery in December 2021, Montauk Brewing Company in November 2022, Craft Acquisition I in October 2023 and Craft Acquisition II in September 2024.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Craft Acquisition I and Craft Acquisition II, we capitalized on opportunities to acquire additional beverage businesses that consisted of strong brands in decline and in need of investment in order to promote growth at a significantly reduced price. To support the growth of these acquired brands and establish a clear path to profitability, we implemented Project 420, which was a comprehensive plan covering (i) SKU rationalization; (ii) Geographic rationalization; (iii) Distributor rationalization; and (iv) synergy optimization plan through which we expect to invest in the acquired brands for growth and improve profitability:</w:t>
      </w:r>
    </w:p>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SKU optimization/rationalization</w:t>
            </w:r>
            <w:r>
              <w:rPr/>
              <w:t> – In response to the declining growth in the craft beer industry and consolidation of distributors, we are working with our distributors in various markets to streamline our portfolio by eliminating duplicative, lower margin and slower growth products, which has the immediate effect of reducing revenue. However, by eliminating these slower moving and lower margin SKUs, we are able to focus our attention and resources on our higher margin and faster growing SKUs, as well as the introduction of new innovation, which we expect will accelerate our revenue growth in future quarters. This initiative is still ongoing. </w:t>
            </w:r>
          </w:p>
        </w:tc>
      </w:tr>
    </w:tbl>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Geographic rationalization</w:t>
            </w:r>
            <w:r>
              <w:rPr/>
              <w:t xml:space="preserve"> – On a consolidated basis, we generate sales in all states however, our brands are significantly stronger in their home markets. For example, SweetWater is located in Georgia and, as a result, its revenues are stronger in Georgia, Alabama, North Carolina and Florida, while 10 Barrel, which is located in Oregon has stronger revenue in Oregon, Washington, Idaho and Wyoming. In away markets, like Oregon for SweetWater, and Georgia for 10 Barrel, the brands are not as strong and so distribution is de-empathized. Our geographic rationalization works to concentrate our efforts in individual states with our strongest brands in those states. As we reduce the distribution of away markets brands in those states, we are working to increase the distribution and shelf space of home market brands. This initiative is consistent with our Regional Jewel strategy developed in conjunction with the Boston Consulting Group.</w:t>
            </w:r>
          </w:p>
        </w:tc>
      </w:tr>
    </w:tbl>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Distributor rationalization</w:t>
            </w:r>
            <w:r>
              <w:rPr/>
              <w:t xml:space="preserve"> – As a result of our various acquisitions, we have over 750 distributors and 975 distributor shipping locations. As a result, we are shipping to multiple distributors in the same geography as well as splitting the allocation of local brands between multiple distributors. The goal of the distributor rationalization is to reduce our distributor footprint down to between 450 and 500 distributors, concentrating those distributors’ effort on our brands and SKUs, while minimizing logistical complexities. This initiative is still ongoing.</w:t>
            </w:r>
          </w:p>
        </w:tc>
      </w:tr>
    </w:tbl>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Synergy optimization plan</w:t>
            </w:r>
            <w:r>
              <w:rPr/>
              <w:t xml:space="preserve"> – We previously announced a $33.0 million synergy plan focused on optimizing our production footprint and eliminating redundancies in manufacturing and warehouse assets. By integrating the newly acquired facilities into our existing footprint, we are optimizing capacities, utilization and better absorbing fixed overheads. This in turn is improving our gross margins. During the fiscal year ended May 31, 2026, we have completed the synergy optimization plan achieving the $33.0 million target. While this initiative is complete, management remains focused on disciplined cost management and continues to advance additional cost</w:t>
              <w:noBreakHyphen/>
              <w:t>saving initiatives across the business to drive further margin improvement and operating efficiency.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283"/>
              <w:jc w:val="both"/>
              <w:rPr/>
            </w:pPr>
            <w:r>
              <w:rPr>
                <w:i/>
                <w:u w:val="single"/>
              </w:rPr>
              <w:t>Brand and</w:t>
            </w:r>
            <w:r>
              <w:rPr>
                <w:u w:val="single"/>
              </w:rPr>
              <w:t> </w:t>
            </w:r>
            <w:r>
              <w:rPr>
                <w:i/>
                <w:u w:val="single"/>
              </w:rPr>
              <w:t>business investment</w:t>
            </w:r>
            <w:r>
              <w:rPr/>
              <w:t> – We have been and are continuing to increase our investment in the marketing, promotion and infrastructure of our core brands in order to re-establish their dominance in their home markets. Our intention is to fund this investment through the cost savings and synergies achieved through Project 420 as well as future cost savings and operational efficiency initiatives.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Political and Economic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may continue to be affected by economic, political, legislative, regulatory, legal actions, global volatility and general market disruption resulting from geopolitical tensions, such as Russia’s continued incursion into Ukraine, the ongoing events in the Middle East, including the conflict involving Iran, and political uncertainty in certain countries in Europe. Escalation of hostilities in the Middle East, including Iran, could further disrupt global energy markets, fuel prices, transportation networks, and supply chains, particularly in Europe, which may indirectly impact operating costs and consumer demand. Economic conditions, such as recessionary trends, inflation, supply chain disruptions, interest and monetary exchange rates, government fiscal policies, and the recent economic uncertainties resulting from certain changes in U.S. global economic policy, including changes on global trade policies can have a significant effect on operations. More specifically, there are limited expected impacts on revenue from the recently enacted U.S. tariffs and foreign enacted retaliatory tariffs in most reporting segments. However, on July 20, 2026, the U.S. government announced additional 50% tariffs on certain Canadian imports. To the extent these tariffs become effective, they predominantly would apply to products sold by the Company’s Wellness reporting segment, and could increase costs, disrupt supply chains and distribution channels, and may adversely impact Wellness operating results. The Company is actively monitoring developments related to these tariffs, evaluating potential impacts on its business, and adapting its operations and mitigation strategies as appropriate. From a cost perspective, we believe the recently enacted tariffs have and may continue to impact input materials such as aluminum, hops, barley, malt and vape componentry, which are partially imported. We intend to mitigate these impacts to the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recent U.S. federal regulatory developments regarding cannabis rescheduling represent a significant shift in the political and legislative environment. This evolution is expected to lead to a legitimate regulatory framework for the provision and use of medical cannabis as a therapy for a multitude of conditions and disease states, bring U.S. drug policy in line with the drug policies of other countries around the world today. We expect that this will also lead to more research, clinical development, and education, aligning closely with Tilray’s established global expertise in regulated medical cannabis markets. We continue to monitor these recent developments, including the recent legal challenges to these regulatory developments in the D.C Circuit of Appeals. With more clarity on the regulatory framework and the outcomes of the legal challenges, we intend to leverage our proven compliance infrastructure, scientific knowledge, and operational scale to expand responsibly in the U.S. market, introducing medical-grade cannabis products in targeted therapeutic formats. While these developments present significant long-term growth opportunities, they also introduce new regulatory complexities and potential risks that we will continue to monitor closely.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results, in millions except for per share data, are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6"/>
        <w:gridCol w:w="60"/>
        <w:gridCol w:w="125"/>
        <w:gridCol w:w="755"/>
        <w:gridCol w:w="80"/>
        <w:gridCol w:w="60"/>
        <w:gridCol w:w="125"/>
        <w:gridCol w:w="905"/>
        <w:gridCol w:w="80"/>
        <w:gridCol w:w="60"/>
        <w:gridCol w:w="125"/>
        <w:gridCol w:w="755"/>
        <w:gridCol w:w="80"/>
        <w:gridCol w:w="60"/>
        <w:gridCol w:w="125"/>
        <w:gridCol w:w="905"/>
        <w:gridCol w:w="80"/>
        <w:gridCol w:w="60"/>
        <w:gridCol w:w="60"/>
        <w:gridCol w:w="395"/>
        <w:gridCol w:w="209"/>
        <w:gridCol w:w="60"/>
        <w:gridCol w:w="125"/>
        <w:gridCol w:w="905"/>
        <w:gridCol w:w="80"/>
        <w:gridCol w:w="60"/>
        <w:gridCol w:w="60"/>
        <w:gridCol w:w="485"/>
        <w:gridCol w:w="210"/>
      </w:tblGrid>
      <w:tr>
        <w:trPr/>
        <w:tc>
          <w:tcPr>
            <w:tcW w:w="3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10" w:type="dxa"/>
            <w:tcBorders/>
            <w:shd w:fill="FFFFFF" w:val="clear"/>
            <w:vAlign w:val="center"/>
          </w:tcPr>
          <w:p>
            <w:pPr>
              <w:pStyle w:val="TableContents"/>
              <w:bidi w:val="0"/>
              <w:spacing w:before="0" w:after="283"/>
              <w:jc w:val="left"/>
              <w:rPr/>
            </w:pPr>
            <w:r>
              <w:rPr/>
              <w:t> </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10" w:type="dxa"/>
            <w:tcBorders/>
            <w:shd w:fill="FFFFFF" w:val="clear"/>
            <w:vAlign w:val="center"/>
          </w:tcPr>
          <w:p>
            <w:pPr>
              <w:pStyle w:val="TableContents"/>
              <w:bidi w:val="0"/>
              <w:spacing w:before="0" w:after="283"/>
              <w:jc w:val="left"/>
              <w:rPr/>
            </w:pPr>
            <w:r>
              <w:rPr/>
              <w:t> </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915,454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655,013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580,739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565,591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20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15,148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2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260,441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 </w:t>
            </w:r>
          </w:p>
        </w:tc>
        <w:tc>
          <w:tcPr>
            <w:tcW w:w="210" w:type="dxa"/>
            <w:tcBorders/>
            <w:shd w:fill="FFFFFF" w:val="clear"/>
            <w:vAlign w:val="center"/>
          </w:tcPr>
          <w:p>
            <w:pPr>
              <w:pStyle w:val="TableContents"/>
              <w:bidi w:val="0"/>
              <w:spacing w:before="0" w:after="283"/>
              <w:jc w:val="left"/>
              <w:rPr/>
            </w:pPr>
            <w:r>
              <w:rPr/>
              <w:t> </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(69,031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 and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10" w:type="dxa"/>
            <w:tcBorders/>
            <w:shd w:fill="CCEEFF" w:val="clear"/>
            <w:vAlign w:val="center"/>
          </w:tcPr>
          <w:p>
            <w:pPr>
              <w:pStyle w:val="TableContents"/>
              <w:bidi w:val="0"/>
              <w:spacing w:before="0" w:after="283"/>
              <w:jc w:val="left"/>
              <w:rPr/>
            </w:pPr>
            <w:r>
              <w:rPr/>
              <w:t> </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323,468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2,523,275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398,096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(2,199,807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20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2,125,179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w:t>
            </w:r>
          </w:p>
        </w:tc>
        <w:tc>
          <w:tcPr>
            <w:tcW w:w="2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(63,027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(2,282,705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(174,745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2,219,678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(2,107,960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1,206</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(36,433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Non-operating (expense)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(37,842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(11,654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w:t>
            </w:r>
          </w:p>
        </w:tc>
        <w:tc>
          <w:tcPr>
            <w:tcW w:w="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(2,302,373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2,214,313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(2,053,353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(121,017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138,115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(94,401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w:t>
            </w:r>
          </w:p>
        </w:tc>
        <w:tc>
          <w:tcPr>
            <w:tcW w:w="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1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(1,958,952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reports its financial results in accordance with U.S. GAAP. However, throughout this Management’s Discussion and Analysis of Financial Condition and Results of Operations in this Annual Report on Form 10-K, we discuss non-GAAP financial measures, including reference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(excluding purchase price allocation (“PPA”) step up) consolidated and for each reporting segment (Cannabis, Beverage, Distribution and Wellness),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(excluding PPA step up) consolidated and for each reporting segment (Cannabis, Beverage, Distribution and Wellness),</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10"/>
        <w:gridCol w:w="15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0"/>
        <w:gridCol w:w="110"/>
        <w:gridCol w:w="4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restricted cash and marketable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10"/>
        <w:gridCol w:w="62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constant currency presentation of net revenue (by segment and consolidated).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non-GAAP financial measures should be considered in addition to, and not in lieu of, the financial measures calculated and presented in accordance with generally accepted accounting principles in the United States of America, (“GAAP”). These financial measures, which may be different than similarly titled financial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financial measures to the most directly comparable GAAP financial measures, as well as a discussion of our adjusted gross margin, adjusted gross profit and adjusted EBITDA measures and the calculation of such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i/>
          <w:caps w:val="false"/>
          <w:smallCaps w:val="false"/>
          <w:sz w:val="20"/>
        </w:rPr>
      </w:pPr>
      <w:r>
        <w:rPr>
          <w:rFonts w:ascii="Times New Roman" w:hAnsi="Times New Roman"/>
          <w:i/>
          <w:caps w:val="false"/>
          <w:smallCaps w:val="false"/>
          <w:sz w:val="20"/>
        </w:rPr>
        <w:t>Constant Currency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year’s results in local currencies multiplied by the change in average foreign currency exchange rate between the current fiscal period and the corresponding period of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Cash, Restricted Cash and Marketable Securities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combines the Cash and cash equivalent and restricted cash financial statement line item with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two GAAP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Metrics and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pStyle w:val="TextBody"/>
        <w:bidi w:val="0"/>
        <w:spacing w:before="0" w:after="0"/>
        <w:ind w:left="0" w:right="0" w:firstLine="720"/>
        <w:jc w:val="both"/>
        <w:rPr>
          <w:caps w:val="false"/>
          <w:smallCaps w:val="false"/>
        </w:rPr>
      </w:pPr>
      <w:r>
        <w:rPr>
          <w:caps w:val="false"/>
          <w:smallCaps w:val="false"/>
        </w:rPr>
        <w:t> </w:t>
      </w:r>
    </w:p>
    <w:tbl>
      <w:tblPr>
        <w:tblW w:w="8930" w:type="dxa"/>
        <w:jc w:val="left"/>
        <w:tblInd w:w="0" w:type="dxa"/>
        <w:tblLayout w:type="fixed"/>
        <w:tblCellMar>
          <w:top w:w="0" w:type="dxa"/>
          <w:left w:w="0" w:type="dxa"/>
          <w:bottom w:w="0" w:type="dxa"/>
          <w:right w:w="0" w:type="dxa"/>
        </w:tblCellMar>
      </w:tblPr>
      <w:tblGrid>
        <w:gridCol w:w="5735"/>
        <w:gridCol w:w="60"/>
        <w:gridCol w:w="125"/>
        <w:gridCol w:w="695"/>
        <w:gridCol w:w="185"/>
        <w:gridCol w:w="60"/>
        <w:gridCol w:w="125"/>
        <w:gridCol w:w="695"/>
        <w:gridCol w:w="185"/>
        <w:gridCol w:w="60"/>
        <w:gridCol w:w="125"/>
        <w:gridCol w:w="695"/>
        <w:gridCol w:w="185"/>
      </w:tblGrid>
      <w:tr>
        <w:trPr/>
        <w:tc>
          <w:tcPr>
            <w:tcW w:w="5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beverage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253,976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202,094</w:t>
            </w:r>
          </w:p>
        </w:tc>
        <w:tc>
          <w:tcPr>
            <w:tcW w:w="18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cannabis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272,798</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327,244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258,740</w:t>
            </w:r>
          </w:p>
        </w:tc>
        <w:tc>
          <w:tcPr>
            <w:tcW w:w="18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55,310</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162,743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113,522</w:t>
            </w:r>
          </w:p>
        </w:tc>
        <w:tc>
          <w:tcPr>
            <w:tcW w:w="18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182,594</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286,589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241,896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230,596</w:t>
            </w:r>
          </w:p>
        </w:tc>
        <w:tc>
          <w:tcPr>
            <w:tcW w:w="18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38,879</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gross profit (excluding PPA step-up)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242,180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235,581</w:t>
            </w:r>
          </w:p>
        </w:tc>
        <w:tc>
          <w:tcPr>
            <w:tcW w:w="18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adjusted gross margin (excluding PPA step-up)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adjusted gross margin (excluding PPA step-up)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3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60,465</w:t>
            </w:r>
          </w:p>
        </w:tc>
        <w:tc>
          <w:tcPr>
            <w:tcW w:w="185"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restricted cash and marketable securities (1) as at the year ended: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234,631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256,363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260,522</w:t>
            </w:r>
          </w:p>
        </w:tc>
        <w:tc>
          <w:tcPr>
            <w:tcW w:w="185"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 as at the year ended: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433,754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408,323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378,540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(1) </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Adjusted EBITDA, adjusted gross profit, adjusted gross margin for each of our segments are non-GAAP financial measures, and cash, restricted cash and marketable securities. See</w:t>
            </w:r>
            <w:r>
              <w:rPr>
                <w:rFonts w:ascii="Times New Roman" w:hAnsi="Times New Roman"/>
                <w:caps w:val="false"/>
                <w:smallCaps w:val="false"/>
                <w:sz w:val="20"/>
              </w:rPr>
              <w:t> “</w:t>
            </w:r>
            <w:r>
              <w:rPr>
                <w:rFonts w:ascii="Times New Roman" w:hAnsi="Times New Roman"/>
                <w:i/>
                <w:caps w:val="false"/>
                <w:smallCaps w:val="false"/>
                <w:sz w:val="20"/>
              </w:rPr>
              <w:t>Reconciliation of Non-GAAP Financial Measures to GAAP Measures</w:t>
            </w:r>
            <w:r>
              <w:rPr>
                <w:rFonts w:ascii="Times New Roman" w:hAnsi="Times New Roman"/>
                <w:caps w:val="false"/>
                <w:smallCaps w:val="false"/>
                <w:sz w:val="20"/>
              </w:rPr>
              <w:t>” </w:t>
            </w:r>
            <w:r>
              <w:rPr>
                <w:rFonts w:ascii="Times New Roman" w:hAnsi="Times New Roman"/>
                <w:i/>
                <w:caps w:val="false"/>
                <w:smallCaps w:val="false"/>
                <w:sz w:val="20"/>
              </w:rPr>
              <w:t>below for a reconciliation of these Non-GAAP Measures to our most comparable GAAP measure and the discussion above captioned "Cash, Restricted Cash and Marketable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reportable segments net revenue is primarily comprised of net revenues from our beverage, cannabis, distribution, and wellness operations, as follows:</w:t>
      </w:r>
    </w:p>
    <w:p>
      <w:pPr>
        <w:pStyle w:val="TextBody"/>
        <w:bidi w:val="0"/>
        <w:spacing w:before="0" w:after="0"/>
        <w:ind w:left="0" w:right="0" w:firstLine="720"/>
        <w:jc w:val="both"/>
        <w:rPr>
          <w:caps w:val="false"/>
          <w:smallCaps w:val="false"/>
        </w:rPr>
      </w:pPr>
      <w:r>
        <w:rPr>
          <w:caps w:val="false"/>
          <w:smallCaps w:val="false"/>
        </w:rPr>
        <w:t> </w:t>
      </w:r>
    </w:p>
    <w:tbl>
      <w:tblPr>
        <w:tblW w:w="8167" w:type="dxa"/>
        <w:jc w:val="left"/>
        <w:tblInd w:w="0" w:type="dxa"/>
        <w:tblLayout w:type="fixed"/>
        <w:tblCellMar>
          <w:top w:w="0" w:type="dxa"/>
          <w:left w:w="0" w:type="dxa"/>
          <w:bottom w:w="0" w:type="dxa"/>
          <w:right w:w="0" w:type="dxa"/>
        </w:tblCellMar>
      </w:tblPr>
      <w:tblGrid>
        <w:gridCol w:w="2420"/>
        <w:gridCol w:w="60"/>
        <w:gridCol w:w="125"/>
        <w:gridCol w:w="695"/>
        <w:gridCol w:w="60"/>
        <w:gridCol w:w="60"/>
        <w:gridCol w:w="125"/>
        <w:gridCol w:w="695"/>
        <w:gridCol w:w="60"/>
        <w:gridCol w:w="60"/>
        <w:gridCol w:w="125"/>
        <w:gridCol w:w="695"/>
        <w:gridCol w:w="60"/>
        <w:gridCol w:w="60"/>
        <w:gridCol w:w="130"/>
        <w:gridCol w:w="616"/>
        <w:gridCol w:w="62"/>
        <w:gridCol w:w="62"/>
        <w:gridCol w:w="62"/>
        <w:gridCol w:w="240"/>
        <w:gridCol w:w="185"/>
        <w:gridCol w:w="60"/>
        <w:gridCol w:w="125"/>
        <w:gridCol w:w="650"/>
        <w:gridCol w:w="80"/>
        <w:gridCol w:w="60"/>
        <w:gridCol w:w="60"/>
        <w:gridCol w:w="23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business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19,341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56,016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94,145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reportable segments net revenue reported in constant currency(1) are as follows:</w:t>
      </w:r>
    </w:p>
    <w:p>
      <w:pPr>
        <w:pStyle w:val="TextBody"/>
        <w:bidi w:val="0"/>
        <w:spacing w:before="0" w:after="0"/>
        <w:ind w:left="0" w:right="0" w:firstLine="720"/>
        <w:jc w:val="both"/>
        <w:rPr>
          <w:caps w:val="false"/>
          <w:smallCaps w:val="false"/>
        </w:rPr>
      </w:pPr>
      <w:r>
        <w:rPr>
          <w:caps w:val="false"/>
          <w:smallCaps w:val="false"/>
        </w:rPr>
        <w:t> </w:t>
      </w:r>
    </w:p>
    <w:tbl>
      <w:tblPr>
        <w:tblW w:w="7271" w:type="dxa"/>
        <w:jc w:val="left"/>
        <w:tblInd w:w="0" w:type="dxa"/>
        <w:tblLayout w:type="fixed"/>
        <w:tblCellMar>
          <w:top w:w="0" w:type="dxa"/>
          <w:left w:w="0" w:type="dxa"/>
          <w:bottom w:w="0" w:type="dxa"/>
          <w:right w:w="0" w:type="dxa"/>
        </w:tblCellMar>
      </w:tblPr>
      <w:tblGrid>
        <w:gridCol w:w="2420"/>
        <w:gridCol w:w="60"/>
        <w:gridCol w:w="194"/>
        <w:gridCol w:w="1087"/>
        <w:gridCol w:w="92"/>
        <w:gridCol w:w="92"/>
        <w:gridCol w:w="194"/>
        <w:gridCol w:w="1087"/>
        <w:gridCol w:w="60"/>
        <w:gridCol w:w="60"/>
        <w:gridCol w:w="125"/>
        <w:gridCol w:w="590"/>
        <w:gridCol w:w="60"/>
        <w:gridCol w:w="60"/>
        <w:gridCol w:w="187"/>
        <w:gridCol w:w="718"/>
        <w:gridCol w:w="18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business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252,893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business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260,773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business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304,728</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business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883,904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geographic net revenue is, as follows:</w:t>
      </w:r>
    </w:p>
    <w:p>
      <w:pPr>
        <w:pStyle w:val="TextBody"/>
        <w:bidi w:val="0"/>
        <w:spacing w:before="0" w:after="0"/>
        <w:ind w:left="0" w:right="0" w:firstLine="72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2420"/>
        <w:gridCol w:w="60"/>
        <w:gridCol w:w="125"/>
        <w:gridCol w:w="695"/>
        <w:gridCol w:w="60"/>
        <w:gridCol w:w="60"/>
        <w:gridCol w:w="125"/>
        <w:gridCol w:w="695"/>
        <w:gridCol w:w="60"/>
        <w:gridCol w:w="60"/>
        <w:gridCol w:w="125"/>
        <w:gridCol w:w="695"/>
        <w:gridCol w:w="60"/>
        <w:gridCol w:w="60"/>
        <w:gridCol w:w="125"/>
        <w:gridCol w:w="695"/>
        <w:gridCol w:w="80"/>
        <w:gridCol w:w="60"/>
        <w:gridCol w:w="60"/>
        <w:gridCol w:w="290"/>
        <w:gridCol w:w="245"/>
        <w:gridCol w:w="60"/>
        <w:gridCol w:w="125"/>
        <w:gridCol w:w="650"/>
        <w:gridCol w:w="80"/>
        <w:gridCol w:w="60"/>
        <w:gridCol w:w="60"/>
        <w:gridCol w:w="29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215,661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243,722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88"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Our geographic net revenue in constant currency(1) is, as follows:</w:t>
      </w:r>
    </w:p>
    <w:p>
      <w:pPr>
        <w:pStyle w:val="TextBody"/>
        <w:bidi w:val="0"/>
        <w:spacing w:before="0" w:after="0"/>
        <w:ind w:left="0" w:right="0" w:firstLine="660"/>
        <w:jc w:val="both"/>
        <w:rPr>
          <w:caps w:val="false"/>
          <w:smallCaps w:val="false"/>
        </w:rPr>
      </w:pPr>
      <w:r>
        <w:rPr>
          <w:caps w:val="false"/>
          <w:smallCaps w:val="false"/>
        </w:rPr>
        <w:t> </w:t>
      </w:r>
    </w:p>
    <w:tbl>
      <w:tblPr>
        <w:tblW w:w="7411" w:type="dxa"/>
        <w:jc w:val="left"/>
        <w:tblInd w:w="0" w:type="dxa"/>
        <w:tblLayout w:type="fixed"/>
        <w:tblCellMar>
          <w:top w:w="0" w:type="dxa"/>
          <w:left w:w="0" w:type="dxa"/>
          <w:bottom w:w="0" w:type="dxa"/>
          <w:right w:w="0" w:type="dxa"/>
        </w:tblCellMar>
      </w:tblPr>
      <w:tblGrid>
        <w:gridCol w:w="2420"/>
        <w:gridCol w:w="60"/>
        <w:gridCol w:w="194"/>
        <w:gridCol w:w="1087"/>
        <w:gridCol w:w="92"/>
        <w:gridCol w:w="92"/>
        <w:gridCol w:w="194"/>
        <w:gridCol w:w="1087"/>
        <w:gridCol w:w="60"/>
        <w:gridCol w:w="60"/>
        <w:gridCol w:w="125"/>
        <w:gridCol w:w="650"/>
        <w:gridCol w:w="80"/>
        <w:gridCol w:w="60"/>
        <w:gridCol w:w="155"/>
        <w:gridCol w:w="750"/>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242,390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213,708</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415,504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12,302</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883,904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(1)</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constant currency presentation of our Cannabis revenue based on market channel is a non-GAAP financial measure.</w:t>
            </w:r>
            <w:r>
              <w:rPr>
                <w:rFonts w:ascii="Times New Roman" w:hAnsi="Times New Roman"/>
                <w:caps w:val="false"/>
                <w:smallCaps w:val="false"/>
                <w:sz w:val="20"/>
              </w:rPr>
              <w:t> </w:t>
            </w:r>
            <w:r>
              <w:rPr>
                <w:rFonts w:ascii="Times New Roman" w:hAnsi="Times New Roman"/>
                <w:i/>
                <w:caps w:val="false"/>
                <w:smallCaps w:val="false"/>
                <w:sz w:val="20"/>
              </w:rPr>
              <w:t>See</w:t>
            </w:r>
            <w:r>
              <w:rPr>
                <w:rFonts w:ascii="Times New Roman" w:hAnsi="Times New Roman"/>
                <w:caps w:val="false"/>
                <w:smallCaps w:val="false"/>
                <w:sz w:val="20"/>
              </w:rPr>
              <w:t> “</w:t>
            </w:r>
            <w:r>
              <w:rPr>
                <w:rFonts w:ascii="Times New Roman" w:hAnsi="Times New Roman"/>
                <w:i/>
                <w:caps w:val="false"/>
                <w:smallCaps w:val="false"/>
                <w:sz w:val="20"/>
              </w:rPr>
              <w:t>Use of Non-GAAP Measures</w:t>
            </w:r>
            <w:r>
              <w:rPr>
                <w:rFonts w:ascii="Times New Roman" w:hAnsi="Times New Roman"/>
                <w:caps w:val="false"/>
                <w:smallCaps w:val="false"/>
                <w:sz w:val="20"/>
              </w:rPr>
              <w:t> –</w:t>
            </w:r>
            <w:r>
              <w:rPr>
                <w:rFonts w:ascii="Times New Roman" w:hAnsi="Times New Roman"/>
                <w:i/>
                <w:caps w:val="false"/>
                <w:smallCaps w:val="false"/>
                <w:sz w:val="20"/>
              </w:rPr>
              <w:t>Constant Currency Presentation</w:t>
            </w:r>
            <w:r>
              <w:rPr>
                <w:rFonts w:ascii="Times New Roman" w:hAnsi="Times New Roman"/>
                <w:caps w:val="false"/>
                <w:smallCaps w:val="false"/>
                <w:sz w:val="20"/>
              </w:rPr>
              <w:t>” </w:t>
            </w:r>
            <w:r>
              <w:rPr>
                <w:rFonts w:ascii="Times New Roman" w:hAnsi="Times New Roman"/>
                <w:i/>
                <w:caps w:val="false"/>
                <w:smallCaps w:val="false"/>
                <w:sz w:val="20"/>
              </w:rPr>
              <w:t>above for a discussion of these Non-GAAP Measures.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Our geographic capital assets are, as follows:</w:t>
      </w:r>
    </w:p>
    <w:p>
      <w:pPr>
        <w:pStyle w:val="TextBody"/>
        <w:bidi w:val="0"/>
        <w:spacing w:before="0" w:after="0"/>
        <w:ind w:left="0" w:right="0" w:firstLine="660"/>
        <w:jc w:val="both"/>
        <w:rPr>
          <w:caps w:val="false"/>
          <w:smallCaps w:val="false"/>
        </w:rPr>
      </w:pPr>
      <w:r>
        <w:rPr>
          <w:caps w:val="false"/>
          <w:smallCaps w:val="false"/>
        </w:rPr>
        <w:t> </w:t>
      </w:r>
    </w:p>
    <w:tbl>
      <w:tblPr>
        <w:tblW w:w="6542" w:type="dxa"/>
        <w:jc w:val="left"/>
        <w:tblInd w:w="0" w:type="dxa"/>
        <w:tblLayout w:type="fixed"/>
        <w:tblCellMar>
          <w:top w:w="0" w:type="dxa"/>
          <w:left w:w="0" w:type="dxa"/>
          <w:bottom w:w="0" w:type="dxa"/>
          <w:right w:w="0" w:type="dxa"/>
        </w:tblCellMar>
      </w:tblPr>
      <w:tblGrid>
        <w:gridCol w:w="2420"/>
        <w:gridCol w:w="60"/>
        <w:gridCol w:w="166"/>
        <w:gridCol w:w="926"/>
        <w:gridCol w:w="79"/>
        <w:gridCol w:w="79"/>
        <w:gridCol w:w="166"/>
        <w:gridCol w:w="926"/>
        <w:gridCol w:w="60"/>
        <w:gridCol w:w="60"/>
        <w:gridCol w:w="125"/>
        <w:gridCol w:w="695"/>
        <w:gridCol w:w="80"/>
        <w:gridCol w:w="60"/>
        <w:gridCol w:w="60"/>
        <w:gridCol w:w="335"/>
        <w:gridCol w:w="24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207,592</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245,799</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202,598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capital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Beverage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from our Beverage operations increased to $254.0 million for the fiscal year ended May 31, 2026, compared to net revenue of $240.6 million for the prior fiscal year ended May 31, 2025. Results for the current fiscal year include incremental net revenues of $51.1 million associated with the BrewDog Acquisition completed during the fourth fiscal quarter. Excluding the impact of the BrewDog Acquisition, the year-over-year decrease was primarily attributable to continued industry-wide challenges across the craft beer, spirits, and brewpub categories and broader competitive pressures, which resulted in lower volumes sold. Additionally, the decline was driven in part by margin</w:t>
        <w:noBreakHyphen/>
        <w:t>focused actions, which reduced net revenue by approximately $16.6 million during the fiscal year. Lastly, the HD-D9 category was negatively impacted by recently enacted changes to the Farm Bill, which will restrict the future sale of our HD</w:t>
        <w:noBreakHyphen/>
        <w:t>D9 beverages and, as a result, reduced net revenue by approximately $2.1 million during the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impacts were partially offset by the inclusion of sales from Craft Acquisition II, effective September 1, 2024, which were not reflected in the full comparative period and would have increased beverage revenue for the fiscal year ended May 31, 2025, by approximately $13.6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Cannabis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Cannabis revenue based on market channel is, as follows:</w:t>
      </w:r>
    </w:p>
    <w:p>
      <w:pPr>
        <w:pStyle w:val="TextBody"/>
        <w:bidi w:val="0"/>
        <w:spacing w:before="0" w:after="0"/>
        <w:ind w:left="0" w:right="0" w:firstLine="72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3545"/>
        <w:gridCol w:w="60"/>
        <w:gridCol w:w="125"/>
        <w:gridCol w:w="695"/>
        <w:gridCol w:w="80"/>
        <w:gridCol w:w="60"/>
        <w:gridCol w:w="125"/>
        <w:gridCol w:w="695"/>
        <w:gridCol w:w="80"/>
        <w:gridCol w:w="60"/>
        <w:gridCol w:w="125"/>
        <w:gridCol w:w="695"/>
        <w:gridCol w:w="80"/>
        <w:gridCol w:w="60"/>
        <w:gridCol w:w="125"/>
        <w:gridCol w:w="650"/>
        <w:gridCol w:w="80"/>
        <w:gridCol w:w="60"/>
        <w:gridCol w:w="60"/>
        <w:gridCol w:w="290"/>
        <w:gridCol w:w="245"/>
        <w:gridCol w:w="60"/>
        <w:gridCol w:w="125"/>
        <w:gridCol w:w="650"/>
        <w:gridCol w:w="80"/>
        <w:gridCol w:w="60"/>
        <w:gridCol w:w="60"/>
        <w:gridCol w:w="290"/>
        <w:gridCol w:w="245"/>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Cannabis revenue based on market channel in constant currency(1) is, as follows:</w:t>
      </w:r>
    </w:p>
    <w:p>
      <w:pPr>
        <w:pStyle w:val="TextBody"/>
        <w:bidi w:val="0"/>
        <w:spacing w:before="0" w:after="0"/>
        <w:ind w:left="0" w:right="0" w:firstLine="720"/>
        <w:jc w:val="left"/>
        <w:rPr>
          <w:caps w:val="false"/>
          <w:smallCaps w:val="false"/>
        </w:rPr>
      </w:pPr>
      <w:r>
        <w:rPr>
          <w:caps w:val="false"/>
          <w:smallCaps w:val="false"/>
        </w:rPr>
        <w:t> </w:t>
      </w:r>
    </w:p>
    <w:tbl>
      <w:tblPr>
        <w:tblW w:w="8557" w:type="dxa"/>
        <w:jc w:val="left"/>
        <w:tblInd w:w="0" w:type="dxa"/>
        <w:tblLayout w:type="fixed"/>
        <w:tblCellMar>
          <w:top w:w="0" w:type="dxa"/>
          <w:left w:w="0" w:type="dxa"/>
          <w:bottom w:w="0" w:type="dxa"/>
          <w:right w:w="0" w:type="dxa"/>
        </w:tblCellMar>
      </w:tblPr>
      <w:tblGrid>
        <w:gridCol w:w="3545"/>
        <w:gridCol w:w="60"/>
        <w:gridCol w:w="192"/>
        <w:gridCol w:w="1074"/>
        <w:gridCol w:w="123"/>
        <w:gridCol w:w="92"/>
        <w:gridCol w:w="192"/>
        <w:gridCol w:w="1074"/>
        <w:gridCol w:w="80"/>
        <w:gridCol w:w="60"/>
        <w:gridCol w:w="125"/>
        <w:gridCol w:w="650"/>
        <w:gridCol w:w="80"/>
        <w:gridCol w:w="60"/>
        <w:gridCol w:w="155"/>
        <w:gridCol w:w="750"/>
        <w:gridCol w:w="245"/>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reported in constant 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12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2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23,505</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234,365</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7,295</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78,899</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revenue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344,064</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(83,291</w:t>
            </w:r>
          </w:p>
        </w:tc>
        <w:tc>
          <w:tcPr>
            <w:tcW w:w="1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cannabis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260,773</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(1)</w:t>
            </w:r>
          </w:p>
        </w:tc>
        <w:tc>
          <w:tcPr>
            <w:tcW w:w="99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constant currency presentation of our Cannabis revenue based on market channel is a non-GAAP financial measure.</w:t>
            </w:r>
            <w:r>
              <w:rPr>
                <w:rFonts w:ascii="Times New Roman" w:hAnsi="Times New Roman"/>
                <w:caps w:val="false"/>
                <w:smallCaps w:val="false"/>
                <w:sz w:val="20"/>
              </w:rPr>
              <w:t> </w:t>
            </w:r>
            <w:r>
              <w:rPr>
                <w:rFonts w:ascii="Times New Roman" w:hAnsi="Times New Roman"/>
                <w:i/>
                <w:caps w:val="false"/>
                <w:smallCaps w:val="false"/>
                <w:sz w:val="20"/>
              </w:rPr>
              <w:t>See</w:t>
            </w:r>
            <w:r>
              <w:rPr>
                <w:rFonts w:ascii="Times New Roman" w:hAnsi="Times New Roman"/>
                <w:caps w:val="false"/>
                <w:smallCaps w:val="false"/>
                <w:sz w:val="20"/>
              </w:rPr>
              <w:t> “</w:t>
            </w:r>
            <w:r>
              <w:rPr>
                <w:rFonts w:ascii="Times New Roman" w:hAnsi="Times New Roman"/>
                <w:i/>
                <w:caps w:val="false"/>
                <w:smallCaps w:val="false"/>
                <w:sz w:val="20"/>
              </w:rPr>
              <w:t>Use of Non-GAAP Measures</w:t>
            </w:r>
            <w:r>
              <w:rPr>
                <w:rFonts w:ascii="Times New Roman" w:hAnsi="Times New Roman"/>
                <w:caps w:val="false"/>
                <w:smallCaps w:val="false"/>
                <w:sz w:val="20"/>
              </w:rPr>
              <w:t> –</w:t>
            </w:r>
            <w:r>
              <w:rPr>
                <w:rFonts w:ascii="Times New Roman" w:hAnsi="Times New Roman"/>
                <w:i/>
                <w:caps w:val="false"/>
                <w:smallCaps w:val="false"/>
                <w:sz w:val="20"/>
              </w:rPr>
              <w:t>Constant Currency Presentation</w:t>
            </w:r>
            <w:r>
              <w:rPr>
                <w:rFonts w:ascii="Times New Roman" w:hAnsi="Times New Roman"/>
                <w:caps w:val="false"/>
                <w:smallCaps w:val="false"/>
                <w:sz w:val="20"/>
              </w:rPr>
              <w:t>” </w:t>
            </w:r>
            <w:r>
              <w:rPr>
                <w:rFonts w:ascii="Times New Roman" w:hAnsi="Times New Roman"/>
                <w:i/>
                <w:caps w:val="false"/>
                <w:smallCaps w:val="false"/>
                <w:sz w:val="20"/>
              </w:rPr>
              <w:t>above for a discussion of these Non-GAAP Measures.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 from Canadian medical cannabis: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revenue from Canadian medical cannabis decreased 5% to $23.7 million for the fiscal year ended May 31, 2026</w:t>
      </w:r>
      <w:r>
        <w:rPr>
          <w:rFonts w:ascii="Times New Roman" w:hAnsi="Times New Roman"/>
          <w:b/>
          <w:i/>
          <w:caps w:val="false"/>
          <w:smallCaps w:val="false"/>
          <w:sz w:val="20"/>
        </w:rPr>
        <w:t>,</w:t>
      </w:r>
      <w:r>
        <w:rPr>
          <w:rFonts w:ascii="Times New Roman" w:hAnsi="Times New Roman"/>
          <w:caps w:val="false"/>
          <w:smallCaps w:val="false"/>
          <w:sz w:val="20"/>
        </w:rPr>
        <w:t xml:space="preserve"> compared to gross revenue of $25.0 million for the fiscal year ended May 31, 2025. On a constant currency basis, gross revenue from Canadian medical cannabis decreased to $23.5 million for the fiscal year ended May 31, 2026. The decrease in gross revenue from medical cannabis, on a constant currency basis, was primarily driven by a reduction in the Veterans Affairs Canada reimbursement ceiling from $8.50 to $6.00 per gram, effective April 1, 2026, as enacted under the Canadian federal government’s Budget 2025, which reduced revenue by approximately $0.8 million during the fiscal year. The remaining decrease was attributed to uninsured patient attrition to the adult-use recreational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 xml:space="preserve">Revenue from Canadian adult-use cannabis: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2026, our gross revenue from Canadian adult-use cannabis product increased 5% to $236.4 million, compared to revenue of $224.0 million for the prior fiscal year ended May 31, 2025. On a constant currency basis, our gross revenue from Canadian adult-use cannabis increased 5% to $234.4 million for the fiscal year ended May 31, 2026. The increase in gross adult-use revenue was primarily driven by a 28% increase in the traditional pre</w:t>
        <w:noBreakHyphen/>
        <w:t>roll category, reflecting the successful launch of innovation SKUs, including Good Supply Double Dutchies. This growth was partially offset by a 4% decline in our largest category, the whole flower category, primarily due to the commencement of strain rotation within our cultivation program, which temporarily constrained supply. In addition, certain inventory was redirected to international markets, which would otherwise have generated approximately $3.9 million of revenue in the Canadian market. Notably, the Company has continued to invest in its cultivation footprint, including the decision to restart cultivation at its Quebec facility to support the growing demand in both the Canadian and international markets. Given the higher margins generally realized on international cannabis sales, the Company may, when advantageous, continue to allocate inventory to international markets, which could negatively impact Canadian adult</w:t>
        <w:noBreakHyphen/>
        <w:t>use and wholesale cannabis revenue in future periods as the Company continues to scale its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 from wholesale cannabis: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revenue from wholesale cannabis decreased to $7.3 million for the fiscal year ended May 31, 2026, compared to revenue of $18.2 million for the prior fiscal year ended May 31, 2025. On a constant currency basis, gross revenue from wholesale cannabis for the fiscal year ended May 31, 2026 was $7.3 million. Due to the transition by many licensed producers in the Canadian market to asset-light business models, the Canadian cannabis industry has experienced a reduction in excess inventory resulting in price increases in the B2B market. As a result of this shift in market dynamics and demand, we continue to evaluate the market and may opportunistically sell into the wholesale market where it makes sense or allocate it to international markets. Specifically, during the fiscal year ended May 31, 2026, wholesale cannabis revenue declined compared to the prior year periods as the Company strategically redirected product to other markets, resulting in a 53% decrease in wholesale gram equivalents sold,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 from international cannabis: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from international cannabis increased 34% to $84.9 million for the fiscal year ended May 31, 2026, compared to net revenue of $63.4 million for the fiscal year ended May 31, 2025. On a constant currency basis, given the strengthening of the Euro against the U.S. Dollar when compared to the prior fiscal year, net revenue from international cannabis increased 25% to $78.9 million. The increase in net revenue from international cannabis markets during the fiscal year, was primarily attributable to growth in the German medical cannabis market, which increased by $9.7 million as a result of an enhanced supply chain, increased distribution, and the receipt of previously backlogged permits. This growth was further supported by a $8.0 million increase in Poland, driven by patient adoption of an in</w:t>
        <w:noBreakHyphen/>
        <w:t>person prescription model, and a $1.7 million increase in the United Kingdom through our targeted expansion into emerging markets and the Lyphe Acquisition. Despite increased gram equivalents sold, international cannabis revenue was negatively impacted by price compression of approximately $21.1 million. Notwithstanding this pricing pressure, international cannabis sales continue to generate higher margins than Canadian cannabis sales, and the Company remains focused on optimizing its product mix and geographic allocation to maximize profitability. Lastly, international cannabis revenue may fluctuate from quarter to quarter based upon the timing of the receipt of export/import permits as well as the timing of shipments from one quarter to the next.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Distribution revenue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from Distribution operations increased 21% to $327.2 million for the fiscal year ended May 31, 2026, compared to net revenue of $271.2 million for the prior fiscal year ended May 31, 2025. On a constant currency basis, given the change in the Euro and Argentine Peso against the U.S. Dollar during the fiscal year, net revenue from Distribution was $304.7 million for the fiscal year ended May 31, 2026. The currency adjusted increase in Distribution revenue for the fiscal year was primarily driven by a focus on competitive pricing and product mix, as evidenced by a 6% increase in average selling price, and an 8% increase in units sold, reflecting greater emphasis on higher</w:t>
        <w:noBreakHyphen/>
        <w:t>velocity SKUs, as well as favorable foreign exchange impacts.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Wellness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Wellness net revenue increased to $65.9 million for the fiscal year ended May 31, 2026, compared to $60.5 million for the fiscal year ended May 31, 2025. On a constant currency basis for the fiscal year ended May 31, 2026, Wellness net revenue increased to $65.5 million. The increase in revenue was driven by our strategic focus on value-add innovations, including high protein super-seeds, better-for-you breakfast products, better-for-you snacking, and the continued success of our Hi-Ball clean energy drinks, which contributed approximately $2.8 million of incremental revenue in the year. In addition, the acquisition of Blue Sky Hemp Venture’s customer list contributed to the growth of our ingredients sales channel with approximately $3.7 million of incremental revenue in the year. The remaining Wellness portfolio saw revenue decline of approximately $1.5 million primarily due to a shift in one of our supply agreements within the Club retailer channel. The Company is focused on improving performance through increased distribution, assortment optimization, and promotional activity across its Club and Retail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gross profit and gross margin for the fiscal years ended May 31, 2026, 2025 and 2024 were as follows for our each of our operating segments: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6"/>
        <w:gridCol w:w="60"/>
        <w:gridCol w:w="125"/>
        <w:gridCol w:w="695"/>
        <w:gridCol w:w="185"/>
        <w:gridCol w:w="60"/>
        <w:gridCol w:w="125"/>
        <w:gridCol w:w="695"/>
        <w:gridCol w:w="185"/>
        <w:gridCol w:w="60"/>
        <w:gridCol w:w="125"/>
        <w:gridCol w:w="695"/>
        <w:gridCol w:w="185"/>
        <w:gridCol w:w="60"/>
        <w:gridCol w:w="125"/>
        <w:gridCol w:w="590"/>
        <w:gridCol w:w="235"/>
        <w:gridCol w:w="60"/>
        <w:gridCol w:w="137"/>
        <w:gridCol w:w="768"/>
        <w:gridCol w:w="235"/>
        <w:gridCol w:w="60"/>
        <w:gridCol w:w="125"/>
        <w:gridCol w:w="650"/>
        <w:gridCol w:w="235"/>
        <w:gridCol w:w="60"/>
        <w:gridCol w:w="119"/>
        <w:gridCol w:w="786"/>
        <w:gridCol w:w="239"/>
      </w:tblGrid>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295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9" w:type="dxa"/>
            <w:tcBorders/>
            <w:shd w:fill="FFFFFF" w:val="clear"/>
            <w:vAlign w:val="center"/>
          </w:tcPr>
          <w:p>
            <w:pPr>
              <w:pStyle w:val="TableContents"/>
              <w:bidi w:val="0"/>
              <w:spacing w:before="0" w:after="283"/>
              <w:jc w:val="left"/>
              <w:rPr/>
            </w:pPr>
            <w:r>
              <w:rPr/>
              <w:t> </w:t>
            </w:r>
          </w:p>
        </w:tc>
      </w:tr>
      <w:tr>
        <w:trPr/>
        <w:tc>
          <w:tcPr>
            <w:tcW w:w="2526"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39" w:type="dxa"/>
            <w:tcBorders/>
            <w:shd w:fill="FFFFFF" w:val="clear"/>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13,381</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38,501</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15,152</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34,069</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accounting step-up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3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93,383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19,341</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(23,797</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11,251</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(32,589</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8,090</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8,792</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accounting step-up</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(7,628</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3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8,090</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56,016</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12,488</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44,693</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11,323</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Wellness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center"/>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center"/>
              <w:rPr/>
            </w:pPr>
            <w:r>
              <w:rPr/>
              <w:t> </w:t>
            </w:r>
          </w:p>
        </w:tc>
        <w:tc>
          <w:tcPr>
            <w:tcW w:w="239" w:type="dxa"/>
            <w:tcBorders/>
            <w:shd w:fill="CCEEFF" w:val="clear"/>
            <w:vAlign w:val="center"/>
          </w:tcPr>
          <w:p>
            <w:pPr>
              <w:pStyle w:val="TableContents"/>
              <w:bidi w:val="0"/>
              <w:spacing w:before="0" w:after="283"/>
              <w:jc w:val="left"/>
              <w:rPr/>
            </w:pPr>
            <w:r>
              <w:rPr/>
              <w:t> </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3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2,229</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3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94,145</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32,367</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655,013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580,739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565,591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74,274</w:t>
            </w:r>
          </w:p>
        </w:tc>
        <w:tc>
          <w:tcPr>
            <w:tcW w:w="2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2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3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260,441</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240,570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223,351</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19,871</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17,219</w:t>
            </w:r>
          </w:p>
        </w:tc>
        <w:tc>
          <w:tcPr>
            <w:tcW w:w="2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3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price accounting step-up</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profit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20,411</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6,599</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gross margin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lineRule="auto" w:line="288"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(1)</w:t>
            </w:r>
          </w:p>
        </w:tc>
        <w:tc>
          <w:tcPr>
            <w:tcW w:w="10014" w:type="dxa"/>
            <w:tcBorders/>
            <w:vAlign w:val="center"/>
          </w:tcPr>
          <w:p>
            <w:pPr>
              <w:pStyle w:val="TableContents"/>
              <w:bidi w:val="0"/>
              <w:spacing w:before="0" w:after="283"/>
              <w:jc w:val="left"/>
              <w:rPr/>
            </w:pPr>
            <w:r>
              <w:rPr>
                <w:i/>
              </w:rPr>
              <w:t>Adjusted gross profit is our Gross profit (adjusted to exclude purchase price accounting valuation step-up) and adjusted gross margin</w:t>
            </w:r>
            <w:r>
              <w:rPr/>
              <w:t> </w:t>
            </w:r>
            <w:r>
              <w:rPr>
                <w:i/>
              </w:rPr>
              <w:t>is our Gross margin (adjusted to exclude purchase price accounting valuation step-up) and are non-GAAP financial measures. See</w:t>
            </w:r>
            <w:r>
              <w:rPr/>
              <w:t xml:space="preserve"> “</w:t>
            </w:r>
            <w:r>
              <w:rPr>
                <w:i/>
              </w:rPr>
              <w:t>Reconciliation of Non-GAAP Financial Measures to GAAP Measures</w:t>
            </w:r>
            <w:r>
              <w:rPr/>
              <w:t xml:space="preserve">” </w:t>
            </w:r>
            <w:r>
              <w:rPr>
                <w:i/>
              </w:rPr>
              <w:t>for additional discussion regarding these non-GAAP measures. The Company</w:t>
            </w:r>
            <w:r>
              <w:rPr/>
              <w:t>’</w:t>
            </w:r>
            <w:r>
              <w:rPr>
                <w:i/>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Gross Profit and Adjusted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Adjusted gross profit and adjusted gross margin are non-GAAP financial measures and may not be comparable to similar measures presented by other companies. Adjusted gross profit is our Gross profit (adjusted to exclude purchase price accounting valuation step-up) and adjusted gross margin is our Gross margin (adjusted to exclude purchase price accounting valuation step-up) and are both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without the impacts of the aforementioned adjusted items. We do not consider adjusted gross profit and adjusted gross margin percentage in isolation or as an alternative to financial measures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Beverage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of 36% for the fiscal year ended May 31, 2026 decreased from 39% when compared to the fiscal year ended May 31, 2025. Adjusted gross margin of 37% decreased in the fiscal year ended May 31, 2026, from 39% in the fiscal year ended May 31, 2025. The change in the beverage gross margin and adjusted beverage gross margin for the fiscal year was driven by several factors, including our Craft Acquisition II, which historically has operated at a lower gross margin of approximately 25%, declining fixed overhead utilization as our volume levels relating to our legacy business have declined, higher input costs and timing delays in realizing the full benefits of our Project 420 cost savings initiatives. Additionally, increased discounting to support sales volume resulted in discounts of 6.9% for the fiscal year compared to 4.5% in the prior year period, which negatively impacted margins and was partially offset by reductions in marketing expenditures. These impacts were partially offset by the inclusion of BrewDog, which generated adjusted gross margin of approximately 40% and favorably impacted overall beverage adjusted gross margin for the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Cannabis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and adjusted gross margin remained consistent during the fiscal year ended May 31, 2026 at 40% when compared to the fiscal year ended May 31, 2025. Although both cannabis net revenue and gross profit increased during the fiscal year, gross margin percentage remained largely unchanged. This was primarily due to price compression in international markets, which negatively impacted international cannabis revenue during the fiscal year by approximately $21.1 million, despite having increased the gram equivalents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Distribution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increased to 12% for the fiscal year ended May 31, 2026, compared to 11% for the fiscal year ended May 31, 2025. The increase was primarily attributable to a favorable change in product mix, as evidenced by the increase in average selling price of approximately 6% during the fiscal year period, respectively, as well as initiatives undertaken to reduce input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Wellness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 increased to 33% for the fiscal year ended May 31, 2026, compared to gross margin of 32% for the fiscal year ended May 31, 2025. Gross margin remained relatively consistent period over period as strategic price increases largely offset unfavorable changes in sales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7"/>
        <w:gridCol w:w="60"/>
        <w:gridCol w:w="125"/>
        <w:gridCol w:w="695"/>
        <w:gridCol w:w="80"/>
        <w:gridCol w:w="60"/>
        <w:gridCol w:w="125"/>
        <w:gridCol w:w="845"/>
        <w:gridCol w:w="60"/>
        <w:gridCol w:w="60"/>
        <w:gridCol w:w="125"/>
        <w:gridCol w:w="695"/>
        <w:gridCol w:w="80"/>
        <w:gridCol w:w="60"/>
        <w:gridCol w:w="125"/>
        <w:gridCol w:w="905"/>
        <w:gridCol w:w="80"/>
        <w:gridCol w:w="60"/>
        <w:gridCol w:w="60"/>
        <w:gridCol w:w="395"/>
        <w:gridCol w:w="213"/>
        <w:gridCol w:w="60"/>
        <w:gridCol w:w="125"/>
        <w:gridCol w:w="845"/>
        <w:gridCol w:w="80"/>
        <w:gridCol w:w="60"/>
        <w:gridCol w:w="60"/>
        <w:gridCol w:w="395"/>
        <w:gridCol w:w="215"/>
      </w:tblGrid>
      <w:tr>
        <w:trPr/>
        <w:tc>
          <w:tcPr>
            <w:tcW w:w="34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15" w:type="dxa"/>
            <w:tcBorders/>
            <w:shd w:fill="FFFFFF" w:val="clear"/>
            <w:vAlign w:val="center"/>
          </w:tcPr>
          <w:p>
            <w:pPr>
              <w:pStyle w:val="TableContents"/>
              <w:bidi w:val="0"/>
              <w:spacing w:before="0" w:after="283"/>
              <w:jc w:val="left"/>
              <w:rPr/>
            </w:pPr>
            <w:r>
              <w:rPr/>
              <w:t> </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15" w:type="dxa"/>
            <w:tcBorders/>
            <w:shd w:fill="FFFFFF" w:val="clear"/>
            <w:vAlign w:val="center"/>
          </w:tcPr>
          <w:p>
            <w:pPr>
              <w:pStyle w:val="TableContents"/>
              <w:bidi w:val="0"/>
              <w:spacing w:before="0" w:after="283"/>
              <w:jc w:val="left"/>
              <w:rPr/>
            </w:pPr>
            <w:r>
              <w:rPr/>
              <w:t> </w:t>
            </w:r>
          </w:p>
        </w:tc>
      </w:tr>
      <w:tr>
        <w:trPr/>
        <w:tc>
          <w:tcPr>
            <w:tcW w:w="34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2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(69,031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2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2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 and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2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2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1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4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p>
        </w:tc>
        <w:tc>
          <w:tcPr>
            <w:tcW w:w="2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(2,199,807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2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2,125,179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2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Operating expenses are comprised of general and administrative; selling; amortization; marketing and promotion; research and development; change in fair value of contingent consideration; impairment of intangible assets and goodwill; other than temporary change in fair value of convertible notes receivable; litigation costs, net of recoveries; restructuring costs; and transaction costs (income), net. These costs decreased by $2,199.8 million to $323.5 million for the fiscal year ended May 31, 2026, compared to $2,523.3 million for the fiscal year ended May 31, 2025. These decreases were primarily attributable to $2,096.1 million of non</w:t>
        <w:noBreakHyphen/>
        <w:t>cash impairments of goodwill and intangible assets and a $21.7 million other</w:t>
        <w:noBreakHyphen/>
        <w:t>than</w:t>
        <w:noBreakHyphen/>
        <w:t>temporary decrease in the fair value of the MedMen convertible note recorded in the prior year, which did not repeat in the current period. In addition, the fiscal year ended May 31, 2026 had lower amortization expense following the intangible asset impairment recorded during the fiscal year ended May 31, 2025, a $15.0 million gain related to the change in fair value of the Montauk contingent consideration, and lower selling and non</w:t>
        <w:noBreakHyphen/>
        <w:t>recurring litigation, and restructuring costs. These decreases were partially offset by higher general and administrative, marketing and promotion, and transaction costs (income), net. Additionally results for the current fiscal year include incremental operating expenses of $28.7 million associated with the BrewDog Acquisition and Lyphe acquisition completed during the fourth fiscal quarter, which is discussed in further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and administrative costs</w:t>
      </w:r>
    </w:p>
    <w:p>
      <w:pPr>
        <w:pStyle w:val="TextBody"/>
        <w:bidi w:val="0"/>
        <w:spacing w:before="0" w:after="0"/>
        <w:ind w:left="0" w:right="0" w:hanging="0"/>
        <w:jc w:val="left"/>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3110"/>
        <w:gridCol w:w="60"/>
        <w:gridCol w:w="125"/>
        <w:gridCol w:w="695"/>
        <w:gridCol w:w="80"/>
        <w:gridCol w:w="60"/>
        <w:gridCol w:w="125"/>
        <w:gridCol w:w="695"/>
        <w:gridCol w:w="60"/>
        <w:gridCol w:w="60"/>
        <w:gridCol w:w="125"/>
        <w:gridCol w:w="695"/>
        <w:gridCol w:w="80"/>
        <w:gridCol w:w="60"/>
        <w:gridCol w:w="125"/>
        <w:gridCol w:w="590"/>
        <w:gridCol w:w="80"/>
        <w:gridCol w:w="60"/>
        <w:gridCol w:w="60"/>
        <w:gridCol w:w="395"/>
        <w:gridCol w:w="245"/>
        <w:gridCol w:w="60"/>
        <w:gridCol w:w="125"/>
        <w:gridCol w:w="545"/>
        <w:gridCol w:w="80"/>
        <w:gridCol w:w="60"/>
        <w:gridCol w:w="60"/>
        <w:gridCol w:w="395"/>
        <w:gridCol w:w="245"/>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4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and general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accommodation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general and administrative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Salaries and wages increased by 4% to $91.4 million during the fiscal year ended May 31, 2026 primarily due to incremental salaries of $5.2 million associated with the BrewDog Acquisition and Lyphe acquisition completed during the fourth fiscal quarter and $2.6 million of merit increases. These increases were partially offset by $3.5 million of net terminations and a $1.9 million decrease in retention payments, which were $2.8 million for the current year compared to $4.7 million in the prior year. The remaining period-over-period change was primarily attributable to changes in estimates related to discretionary compensation accruals.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Office and general increased by 49% to $42.2 million during the fiscal year ended May 31, 2026. The increase was driven by higher costs in the current year, including $5.8 million of incremental office and general expenses associated with the BrewDog Acquisition and Lyphe acquisition completed during the fourth fiscal quarter, $0.6 million of incremental costs from a full period of Craft Acquisition II, and a $0.7 million increase in bad debt provisions within the Distribution reporting segment. The increase also reflected the non-recurrence of a $5.6 million vendor credit and a $0.3 million property tax refund recorded in the prior year period.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recognized stock-based compensation expense of $45.9 million for the fiscal year ended May 31, 2026, compared to $24.3 million for the prior fiscal year period. Stock-based compensation expense is based on the time-based vesting schedules and varies according to the assumptions used in the vesting model. The increase in stock-based compensation was primarily due to the recognition of expense related to performance-based awards following the establishment and approval of their performance criteria during the second fiscal quarter. Because these awards were originally issued in fiscal 2024 but were not considered granted for accounting purposes until fiscal 2026, the current year expense reflects compensation attributable to employee service provided since the original award date, effectively resulting in the recognition of three fiscal years of expense in a single year. As a result, performance-based awards contributed approximately $23.2 million of stock-based compensation expense during the fiscal year ended May 31, 2026.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Insurance expense decreased by 17% for the fiscal year ended May 31, 2026 to $9.8 million from $11.8 million for the prior fiscal year period. The decrease in insurance expense for the fiscal year ended May 31, 2026 was driven by lower premiums as a result of management’s decision to self-insure a portion of our property and casualty insurance. For the fiscal year ended May 31, 2026, insurance expense as a percentage of revenue improved 37 basis points compared to the prior year period reflecting improvements in insurance costs relative to business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Professional fees decreased by 11% to $4.2 million in the fiscal year ended May 31, 2026 from $4.8 million when compared to the prior fiscal year, which is a direct result of our cost savings initiatives.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Rent expense increased by 44% for the fiscal year ended May 31, 2026 to $5.0 million from $3.5 million for the prior fiscal year period. The increase reflected incremental rent costs of $1.0 million associated with the BrewDog Acquisition and Lyphe acquisition completed during the fourth fiscal quarter, $0.8 million from a full period of Craft Acquisition II, and $0.2 million of annual rent increases, partially offset by a $0.5 million reduction related to exited leases. Rent expense is predominantly comprised of operating lease expense for our brew pubs and office spaces.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Selling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2026, the Company incurred selling costs of $49.3 million or 5.4% of net revenue as compared to $56.0 million or 6.8% of net revenue in the prior fiscal year. These costs relate to third-party shipping costs for all segments, in addition to distributor commission incurred by the cannabis segment, Health Canada cannabis fees, and patient acquisition and maintenance costs. The decrease was driven by lower freight costs in the beverage segment as a result of Project 420 cost-saving initiatives, which improved freight as a percentage of sales by approximately 144 basis points, and lower freight costs in the Canadian cannabis segment following contract renegotiations, which improved freight as a percentage of sales by approximately 210 basis points. The decrease was further supported by lower commission rates in the Canadian cannabis sales channels. These improvements were partially offset by $2.3 million of incremental fuel and freight surcharges incurred during the fourth fiscal quarter, primarily attributable to elevated global fuel prices and shipping disruptions resulting from the ongoing geopolitical conflict in the Middle East, as well as $2.3 million of incremental selling costs associated with the BrewDog Acquisition and Lyphe acquisition completed during the fourth fiscal quarter.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Amortization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incurred non-production related amortization charges of $19.6 million for the fiscal year ended May 31, 2026, compared to $88.6 million in the prior fiscal year period based on depreciable capital and intangible assets useful lives. The decrease reflected a lower amortizable asset base following the impairment charges recognized during the fiscal year ended May 31, 2025, partially offset by $3.6 million of amortization expense related to assets acquired in connection with the BrewDog Acquisition and Lyphe acquisition completed during the fourth fiscal quarter of fiscal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Marketing and promotion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2026, the Company incurred marketing and promotion costs of $42.3 million, as compared to $37.0 in the prior fiscal year. The increase was driven by $3.9 million of incremental costs associated with the BrewDog Acquisition and Lyphe acquisition completed during the fourth fiscal quarter, a $3.0 million increase in the Distribution reporting segment consistent with higher sales, and a $1.0 million increase in the Cannabis reporting segment to support international growth. These increases were partially offset by a $1.5 million reduction in discretionary beverage marketing spend, excluding BrewDog, as Project 420 initiatives focused spending on more targeted marketing programs and profitability optimization. The remaining change was primarily attributable to global marketing and communications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costs were $0.4 million in the fiscal year ended May 31, 2026, compared to $0.3 million in the prior fiscal year. These relate to external costs incurred in connection with the development of new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 in fair value of contingent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portion of the total consideration to be paid in connection with the Company’s acquisition of Montauk Brewing Company (“Montauk”) was contingent upon the achievement by Montauk of certain financial measures as of December 31, 2025. In the event that Montauk achieved either the pre-determined sales volume target or EBITDA target, then $15.0 million of contingent consideration would be deemed earned and payable. If both the sales volume target and the EBITDA target were achieved, an additional $3.0 million would be deemed earned and payable for a total contingent consideration payment of $18.0 million.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year ended May 31, 2025, the Company assessed the estimated value of the contingent consideration liability as $15.0 million, which was estimated to be achieved based on management’s forecast, applying a probability of achievement of 100% for the sales volume target and 0% on the remaining criteria, which was not expected to be achieved as EBITDA targets were not forecasted to be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August 31, 2025, the Company reassessed the estimated fair value of the contingent consideration liability as $nil, based on subsequent information regarding Montauk’s operating results and revised expectations for the remainder of the earn</w:t>
        <w:noBreakHyphen/>
        <w:t>out period. As a result of lower</w:t>
        <w:noBreakHyphen/>
        <w:t>than</w:t>
        <w:noBreakHyphen/>
        <w:t>anticipated sales volumes during the peak selling periods of June, July and August 2025, and the loss of certain national retail programs, management concluded that Montauk no longer had a viable path to achieving the sales volume target or the EBITDA target within the earn</w:t>
        <w:noBreakHyphen/>
        <w:t>out period. Accordingly, the Company applied a probability of achievement of 0% to the sales volume target and 0% to the remaining criteria. The resulting $15.0 million change in fair value of the contingent consideration liability was recorded within the statement of profit and loss and contributed to the Company’s net income generated during the period ended August 31, 2025, despite historically reporting a net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February 28, 2026, the earn-out period concluded and neither financial measure was achieved. Accordingly, no further changes to the fair value of the contingent consideration liability were recognized during the fiscal year ended May 31, 2026 as no contingent consideration obligation was payable.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Impairment of intangible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performed the annual impairment test during the fourth quarter ended May 31, 2026 and, as a result, assessed for indicators of impairment and concluded that there were no indicators and accordingly, no further impairment testing was required and no impairment charges were recognized during the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2025, based upon a combination of factors including a sustained decline in the Company’s market capitalization stemming from the uncertainty resulting from certain changes in U.S. global economic policy, including slower than anticipated progress in global cannabis legalization, overall declines in the craft beer industry sector, and a change in the Company's discount rate, the Company recognized the following impairment charges: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Intangible assets</w:t>
            </w:r>
            <w:r>
              <w:rPr>
                <w:rFonts w:ascii="Times New Roman" w:hAnsi="Times New Roman"/>
                <w:caps w:val="false"/>
                <w:smallCaps w:val="false"/>
                <w:sz w:val="20"/>
              </w:rPr>
              <w:t>. Non-cash impairment charges of $334.2 million related to customer relationships &amp; distribution channel, $186.6 million related to licenses, permits &amp; applications, which were considered indefinite-lived intangible assets and $327.1 million related to intellectual property, trademarks, knowhow &amp; brands. See Note 8 (Intangible assets) for additional details.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Goodwill</w:t>
            </w:r>
            <w:r>
              <w:rPr>
                <w:rFonts w:ascii="Times New Roman" w:hAnsi="Times New Roman"/>
                <w:caps w:val="false"/>
                <w:smallCaps w:val="false"/>
                <w:sz w:val="20"/>
              </w:rPr>
              <w:t>. Non-cash impairment charges of $1,070.0 million related to cannabis goodwill, $120.8 million related to beverage goodwill, $53.2 million related to wellness goodwill and $4.2 million related to distribution goodwill. See Note 10 (Goodwill) for additional details.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Deferred tax liabilities</w:t>
            </w:r>
            <w:r>
              <w:rPr>
                <w:rFonts w:ascii="Times New Roman" w:hAnsi="Times New Roman"/>
                <w:caps w:val="false"/>
                <w:smallCaps w:val="false"/>
                <w:sz w:val="20"/>
              </w:rPr>
              <w:t>. These non-cash impairment charges were offset by an income tax recovery of $121.4 million, resulting in the corresponding reduction in deferred tax liabilities. See Note 12 (Income taxes and deferred income taxes) for additional details.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Intangible asset impairments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performed the annual impairment test on its indefinite-life intangible assets, and for its finite-lived intangible assets, management assessed for asset specific indicators of impairment during the fourth quarter ended May 31, 2025, and based upon a combination of factors including a sustained decline in the Company’s market capitalization stemming from the uncertainty resulting from certain changes in U.S. global economic policy, including slower than anticipated progress in global cannabis legalization and overall declines in the craft beer industry sector, and a change in non-discretionary market inputs in the Company's discount rate, the Company recorded non-cash impairments of $334.2 million related to its finite-lived customer relationships &amp; distribution channel, $186.6 million related to its licenses, permits &amp; applications, which were considered indefinite-lived intangible assets and $327.1 million related to its finite-lived intellectual property, trademarks, knowhow &amp; brands. This impairment charge resulted in a corresponding income tax recovery of $121.4 million, resulting in the corresponding reduction in deferred tax liabilities. In calculating the impairment charge, using an income approach, the Company used a discount rate of 10.00%-14.50%, a terminal growth rate of 2%, and an average revenue growth rate of 5%-30% over 5 years to correlate with the cash flows anticipated with the individual intangible assets that were assessed. A reasonably possible change in any of the inputs within the determination of fair value would not result in a material change to the impairment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 impairments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fiscal year ended May 31, 2025, the Company identified indicators of impairment based on a combination of factors, including a sustained decline in market capitalization, driven in part by uncertainty related to changes in U.S. and global economic conditions, including slower-than-anticipated progress in global cannabis legalization and continued declines in the craft beer industry. In addition, changes in non-discretionary market inputs, including increases in the Company’s discount rate, negatively impacted the estimated future cash flows of its reporting units. As a result, the Company concluded it was more likely than not that the fair value of certain reporting units was less than their carrying amounts as of May 31, 2025. Accordingly, the Company utilized the income approach, which uses future discounted cash flows, to determine the fair value of each reporting unit. As a result, the Company recorded non-cash impairment charges of $1,070.0 million of cannabis goodwill, $120.8 million of beverage goodwill, $53.2 million of wellness goodwill and $4.2 million of distribution goodwill. The non-cash charge had no impact on the Company’s compliance with debt covenants at May 31, 2025, its cash flows or available liquidity.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Company’s cannabis goodwill assessment, the Company used a discount rate of 14.50%, a terminal growth rate of 5%, and an average revenue growth rate of 34% over 5 years, based on an 65% and 25% average probability of anticipated EU and U.S. cannabis legalization, respectively and/or changes in drug policy in various countries within the next 5 years. A 1% increase in the discount rate would result in an additional $133.8 million in impairment, a 1% decrease in the terminal growth rate would result in an additional $93.5 million in impairment, a 5% decrease in the average growth rate would result in an additional $23.4 million in impairment, a 5% decrease in the probability of EU cannabis legalization would result in an additional $44.0 million in impairment and a 5% decrease in the probability of US cannabis legalization would result in an additional $17.1 million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may result in a material impairment expense recognized in future reporting periods.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Company’s beverage goodwill assessment, the Company used a discount rate of 10.00%, a terminal growth rate of 2%, and an average revenue growth rate of 2% over 5 years, which brought the remaining beverage goodwill balance to $nil.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Company’s wellness goodwill assessment, the Company used a discount rate of 12.25%, a terminal growth rate of 2%, and an average revenue growth rate of 7% over 5 years, which brought the remaining wellness goodwill balance to $nil.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Company’s distribution goodwill assessment, the Company recorded $4.2 million of impairments which brought the remaining distribution goodwill balance to $nil.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Other than temporary write-down of convertible notes receivable</w:t>
      </w:r>
    </w:p>
    <w:p>
      <w:pPr>
        <w:pStyle w:val="TextBody"/>
        <w:bidi w:val="0"/>
        <w:spacing w:before="0" w:after="0"/>
        <w:ind w:left="160" w:right="0" w:hanging="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2026, the Company no longer held MedMen Convertible Notes, and thus did not recognize any further changes in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 ended May 31, 2025, the Company recognized an other-than-temporary change in fair value, which resulted in a non-cash expense of $21.7 million. The MedMen Convertible Note was valued based upon the estimated fair value of the collateral assets net of estimated disposal costs and has been reduced to reflect recent developments in restructuring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the impairment recorded during the fiscal year ended May 31, 2025, MedMen exited receivership and substantially all of its remaining assets were transferred to a new entity owned by MedMen’s secured creditors, including SH Acquisition. In connection with the foregoing, the Company disposed of its MedMen Convertible Note in exchange for an option to acquire a 68% membership interest in SH Acquisition for $1.00 upon U.S. federal cannabis legalization. See Note 11 (Long-term investments). This option was recorded as a Level 3 equity investment measured at fair value by assessing the discounted cash flows of SH Acquisition.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both"/>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Litigation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Litigation costs of $3.9 million were expensed during the fiscal year ended May 31, 2026, compared $17.3 million in the prior fiscal year. Litigation costs include fees and expenses incurred in connection with defending and settling ongoing legacy inherited litigation matters, net of any judgments or settlement recoveries received from third parties. The decrease is related to period-to-period variability as litigation and settlement costs are non-recurring in nature. See Note 27 (Commitments and contingencies) for additional details.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Restructuring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execution of our acquisition strategy and strategic transactions, the Company incurred non-recurring restructuring and exit costs associated with the integration efforts of these transactions. In connection with these efforts, during the fiscal year ended May 31, 2026, the Company incurred $13.1 million of restructuring charges compared to $34.3 million for the prior fiscal year period. All restructuring plans are approved at the executive level, and their associated expenses are recognized in the fiscal period in which the plan is committed.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Cannabis segment, during the fiscal year ended May 31, 2026, the Company incurred restructuring expenses totaling $6.3 million. These charges included $4.6 million associated with the restructuring of the Quebec facility to transition from vegetable cultivation to cannabis cultivation in response to increased global cannabis demand, $1.1 million related to employee termination severance and benefits associated with the reorganization of the Canadian cannabis commercial function, and $0.2 million related to the wind-down of certain non-operating entities. Additionally, the Company recognized $0.4 million related to its Fort Collins, CO partially vacant warehouse that was previously held for sale and was divested during the fiscal year ended May 31, 2026. See Note 6 (capital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Beverage segment, restructuring activities primarily related to Project 420, a business optimization plan designed to consolidate production, streamline operations, and improve the Company’s cost structure. Activities implemented under the plan included the closure and consolidation of certain brewery and related facilities, including Redhook, Terrapin, Atwater, Hop Valley, and Revolver, as well as costs incurred by the restructuring team established to execute the plan. Restructuring charges primarily consisted of employee termination severance and benefits, facility closure and exit costs, contract and other termination costs, costs associated with SKU rationalization activities, and other costs directly associated with the execution of the plan. During the fiscal year ended May 31, 2025, the Company accrued $8.5 million of restructuring charges related to these initiatives. During the fiscal year ended May 31, 2026, the related accrual was fully utilized. In addition, during the fiscal year ended May 31, 2026, the Company incurred $6.8 million of additional restructuring related expenses associated with these efforts, including costs related to facility closures, production consolidation, and other activities under Project 420. The Company expects these initiatives to be substantially completed by the end of fiscal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Transaction (income) costs,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Transaction (income) costs, net, consists of acquisition related income and expenses, including legal fees, financial advisor and other third-party due diligence cost and expenses as well as any transaction related compensation. During the fiscal year ended May 31, 2026, transaction (income) costs, net increased 38% to $6.3 million from $4.5 million the prior fiscal year period as a result of higher transaction costs associated with the BrewDog Acquisition and Lyphe acquisition compared to the lower transaction costs associated with Craft Acquisition II in the prior fiscal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Non-operating income (expense),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0"/>
        <w:gridCol w:w="60"/>
        <w:gridCol w:w="125"/>
        <w:gridCol w:w="545"/>
        <w:gridCol w:w="80"/>
        <w:gridCol w:w="60"/>
        <w:gridCol w:w="125"/>
        <w:gridCol w:w="590"/>
        <w:gridCol w:w="80"/>
        <w:gridCol w:w="60"/>
        <w:gridCol w:w="125"/>
        <w:gridCol w:w="650"/>
        <w:gridCol w:w="80"/>
        <w:gridCol w:w="60"/>
        <w:gridCol w:w="125"/>
        <w:gridCol w:w="650"/>
        <w:gridCol w:w="80"/>
        <w:gridCol w:w="60"/>
        <w:gridCol w:w="60"/>
        <w:gridCol w:w="395"/>
        <w:gridCol w:w="242"/>
        <w:gridCol w:w="60"/>
        <w:gridCol w:w="125"/>
        <w:gridCol w:w="590"/>
        <w:gridCol w:w="80"/>
        <w:gridCol w:w="60"/>
        <w:gridCol w:w="60"/>
        <w:gridCol w:w="485"/>
        <w:gridCol w:w="243"/>
      </w:tblGrid>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3"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of US dollars)</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3"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debenture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43"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(losses) gains,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non-operating income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2026, the Company recognized a change in fair value of its warrants, resulting in a loss of ($3.5) million compared to a gain of $2.2 million in the prior fiscal year, as a result of the change in our share price and the exercise price of the instrument. The Company recognized a gain of $6.6 million resulting from the changes in foreign exchange rates during the period compared to a gain of $9.6 million for the prior fiscal year period. The Company recognized a loss of $4.5 million on long-term investments, compared to a loss of $5.6 million for the prior period. The other non-operating (losses) gains, net were $0.4 million of gains for the fiscal year ended May 31, 2026, which was mainly comprised of a loss of $1.8 million on the change in fair value of assets held for sale related to the Fort Collins, CO partially vacant warehouse, as described in Note 6 (capital assets), offset by a gain of $2.0 million resulting from the exchange transaction of the TLRY 27 Note, as described in Note 16 (Convertible debentures payable). The other non-operating (losses) gains, net for the fiscal year ended May 31, 2025 were gains of $4.0 million and were mainly comprised of a $5.8 million gain resulting from the exchange transaction of the TLRY 27 Note, offset by a $1.0 million loss resulting from the downside protection from the Double Diamond Holdings note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Reconciliation of Non-GAAP Financial Measures to 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that does not have a standardized meaning prescribed by GAAP and may not be comparable to similar measures presented by other companies. The Company calculates adjusted EBITDA as net loss/net income before income taxes, net interest expense, depreciation and amortization, non-operating income (expense), net, purchase price accounting step-up on inventory, stock-based compensation, impairments, other than temporary change in fair value of convertible notes receivable, Project 420 business optimization, loss (gain) on sale of capital assets - non-operating facility, restructuring costs, transaction (income) costs, net, litigation costs net of recoveries, change in fair value of contingent consideration, and unrealized currency gains and losses.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this presentation provides useful information to management, analysts and investors regarding certain additional financial and business trends relating to our results of operations and financial condition. In addition, management uses this measure for reviewing the financial results of the Company and as a component of performance-based executive compensation decisions.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fiscal year ended May 31, 2026, adjusted EBITDA increased by $6.1 million to $61.1 million compared to $55.0 million in the prior fiscal year as we continue to execute on our strategic plan.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5"/>
        <w:gridCol w:w="60"/>
        <w:gridCol w:w="125"/>
        <w:gridCol w:w="755"/>
        <w:gridCol w:w="80"/>
        <w:gridCol w:w="60"/>
        <w:gridCol w:w="125"/>
        <w:gridCol w:w="905"/>
        <w:gridCol w:w="80"/>
        <w:gridCol w:w="60"/>
        <w:gridCol w:w="125"/>
        <w:gridCol w:w="755"/>
        <w:gridCol w:w="80"/>
        <w:gridCol w:w="60"/>
        <w:gridCol w:w="125"/>
        <w:gridCol w:w="905"/>
        <w:gridCol w:w="80"/>
        <w:gridCol w:w="60"/>
        <w:gridCol w:w="60"/>
        <w:gridCol w:w="395"/>
        <w:gridCol w:w="209"/>
        <w:gridCol w:w="60"/>
        <w:gridCol w:w="125"/>
        <w:gridCol w:w="905"/>
        <w:gridCol w:w="80"/>
        <w:gridCol w:w="60"/>
        <w:gridCol w:w="60"/>
        <w:gridCol w:w="395"/>
        <w:gridCol w:w="211"/>
      </w:tblGrid>
      <w:tr>
        <w:trPr/>
        <w:tc>
          <w:tcPr>
            <w:tcW w:w="3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0" w:type="dxa"/>
            <w:gridSpan w:val="10"/>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For the year ended May 31,</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25" w:type="dxa"/>
            <w:gridSpan w:val="6"/>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Change</w:t>
            </w:r>
          </w:p>
        </w:tc>
        <w:tc>
          <w:tcPr>
            <w:tcW w:w="2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25" w:type="dxa"/>
            <w:gridSpan w:val="6"/>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Change</w:t>
            </w:r>
          </w:p>
        </w:tc>
        <w:tc>
          <w:tcPr>
            <w:tcW w:w="211" w:type="dxa"/>
            <w:tcBorders/>
            <w:shd w:fill="FFFFFF" w:val="clear"/>
            <w:vAlign w:val="center"/>
          </w:tcPr>
          <w:p>
            <w:pPr>
              <w:pStyle w:val="TableContents"/>
              <w:bidi w:val="0"/>
              <w:spacing w:before="0" w:after="283"/>
              <w:jc w:val="left"/>
              <w:rPr/>
            </w:pPr>
            <w:r>
              <w:rPr/>
              <w:t> </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 reconciliation:</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vs. 2025</w:t>
            </w:r>
          </w:p>
        </w:tc>
        <w:tc>
          <w:tcPr>
            <w:tcW w:w="2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vs. 2024</w:t>
            </w:r>
          </w:p>
        </w:tc>
        <w:tc>
          <w:tcPr>
            <w:tcW w:w="211"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(2,181,356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(1,958,952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(recovery)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Non-operating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 and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11"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temporary change in fair value of convertible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Project 420 business optimization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NM</w:t>
            </w:r>
          </w:p>
        </w:tc>
        <w:tc>
          <w:tcPr>
            <w:tcW w:w="211"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(gain) on sale of capital assets - non-operating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price accounting step-up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Facility start-up and closure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NM</w:t>
            </w:r>
          </w:p>
        </w:tc>
        <w:tc>
          <w:tcPr>
            <w:tcW w:w="2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costs, net of recoveries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Restructuring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2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Adjusted EBITDA should not be considered in isolation from, or as a substitute for, net loss. There are a number of limitations related to the use of Adjusted EBITDA as compared to net loss, the closest comparable GAAP measure. Adjusted EBITDA adjusts for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amortization expenses and, although these are non-cash charges, the assets being depreciated and amortized may have to be replaced in the future;</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expenses, are non-cash expenses and are an important part of our compensation strategy;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impairment charges, as the charges are not expected to be a recurring business activity;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other than temporary write-down of convertible notes receivable, as the charges are not expected to be a recurring business activity;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foreign exchange gains or losses, which accounts for the effect of both realized and unrealized foreign exchange transactions. Unrealized gains or losses represent foreign exchange revaluation of foreign denominated monetary assets and liabilities;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change in fair value of warrant liability;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 net;</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incurred to start up new facilities, and to fund emerging market operations;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Project 420 business optimization costs;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(gain) on sale of capital assets - non-operating facility;</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Restructuring charges;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costs, net of favorable recoveries and the third party fees associated with defending these claims, includes costs related to legacy and non-operational litigation matters, legal settlements and recoveries;</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purchase accounting fair value step-up in inventory value included in costs of goods sold; and</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deferred income tax expenses and recoveries, which could be a significant recurring expense or recovery in our business in the future and reduce or increase cash available to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Adjusted Gross Profit and Adjusted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Adjusted gross profit and adjusted gross margin are non-GAAP financial measures and may not be comparable to similar measures presented by other companies. Adjusted gross profit is our Gross profit, adjusted to exclude purchase price accounting valuation step-up and adjusted gross margin is our Gross margin, adjusted to exclude purchase price accounting valuation step-up. Both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both"/>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are prepared in accordance with accounting principles generally accepted in the United States of America (“GAAP”). A detailed discussion of our significant accounting policies can be found in Part II, Item 8, Note 3,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and the impact and risks associated with our accounting policies are discussed throughout this Form 10</w:t>
        <w:noBreakHyphen/>
        <w:t>K and in the Notes to the Consolidated Financial Statements. We have identified certain policies and estimates as critical to our business operations and the understanding of our past or present results of operations related to (i) revenue recognition, (ii) valuation of inventory (iii) impairment of goodwill and indefinite-lived intangible assets, (iv) business combinations and goodwill, and (v) convertible debentures.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200"/>
        <w:gridCol w:w="1730"/>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w:t>
            </w:r>
          </w:p>
        </w:tc>
        <w:tc>
          <w:tcPr>
            <w:tcW w:w="173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recognized when the control of the promised goods, through performance obligation, is transferred to the customer in an amount that reflects the consideration we expect to be entitled to in exchange for the performance obligations or as advisory services are provided. Payments received for the goods or services in advance of performance are recognized as a contract liability.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amounts disclosed as net revenue are net of excise taxes, sales tax, duty tax, allowances, discounts and rebates.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determining the transaction price for the sale of goods, the Company considers the effects of variable consideration and the existence of significant financing components,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260"/>
        <w:gridCol w:w="1895"/>
      </w:tblGrid>
      <w:tr>
        <w:trPr/>
        <w:tc>
          <w:tcPr>
            <w:tcW w:w="6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(ii)</w:t>
            </w:r>
          </w:p>
        </w:tc>
        <w:tc>
          <w:tcPr>
            <w:tcW w:w="1895"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Valuation of inventory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 to Part II, Item 8, Note 3,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for further details on our inventory cost policy.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 Changes in the regulatory structure, lack of retail distribution locations or lack of consumer demand could result in future inventory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2365" w:type="dxa"/>
        <w:jc w:val="left"/>
        <w:tblInd w:w="0" w:type="dxa"/>
        <w:tblLayout w:type="fixed"/>
        <w:tblCellMar>
          <w:top w:w="0" w:type="dxa"/>
          <w:left w:w="0" w:type="dxa"/>
          <w:bottom w:w="0" w:type="dxa"/>
          <w:right w:w="0" w:type="dxa"/>
        </w:tblCellMar>
      </w:tblPr>
      <w:tblGrid>
        <w:gridCol w:w="60"/>
        <w:gridCol w:w="320"/>
        <w:gridCol w:w="1985"/>
      </w:tblGrid>
      <w:tr>
        <w:trPr/>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(iii)</w:t>
            </w:r>
          </w:p>
        </w:tc>
        <w:tc>
          <w:tcPr>
            <w:tcW w:w="1985"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Impairment of goodwill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is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290"/>
        <w:gridCol w:w="3050"/>
      </w:tblGrid>
      <w:tr>
        <w:trPr/>
        <w:tc>
          <w:tcPr>
            <w:tcW w:w="6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(iv)</w:t>
            </w:r>
          </w:p>
        </w:tc>
        <w:tc>
          <w:tcPr>
            <w:tcW w:w="305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combinations and goodwill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use judgement in applying the acquisition method of accounting for business combinations and estimates to value contingent consideration, identifiable assets and liabilities assumed at the acquisition date. Judgement is used in determining whether an acquisition is a business combination or an asset acquisition. Judgment is also applied in determining the date on which control of certain acquired businesses was obtained, particularly in situations involving pending regulatory approvals, licensing transfers or other administrative matters, where management must evaluate all relevant facts and circumstances to determine the acquisition date for accounting purposes. We use judgement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In certain circumstances, management also considers whether economic obsolescence or other market participant assumptions should be reflected in the valuation of acquired assets, including where external economic factors, market conditions, asset utilization, or the transaction price indicate that replacement cost may not be representative of acquisition-date fair value.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0"/>
        <w:gridCol w:w="230"/>
        <w:gridCol w:w="194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w:t>
            </w:r>
          </w:p>
        </w:tc>
        <w:tc>
          <w:tcPr>
            <w:tcW w:w="1940"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Convertible debentures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its convertible debentures in accordance with ASC 470-20 </w:t>
      </w:r>
      <w:r>
        <w:rPr>
          <w:rFonts w:ascii="Times New Roman" w:hAnsi="Times New Roman"/>
          <w:i/>
          <w:caps w:val="false"/>
          <w:smallCaps w:val="false"/>
          <w:sz w:val="20"/>
        </w:rPr>
        <w:t>Debt with Conversion and Other Options</w:t>
      </w:r>
      <w:r>
        <w:rPr>
          <w:rFonts w:ascii="Times New Roman" w:hAnsi="Times New Roman"/>
          <w:caps w:val="false"/>
          <w:smallCaps w:val="false"/>
          <w:sz w:val="20"/>
        </w:rPr>
        <w:t xml:space="preserve">, whereby the convertible instrument is initially accounted for as a single unit of account, unless it contains a derivative that must be bifurcated from the host contract in accordance with ASC 815-15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Embedded Derivatives</w:t>
      </w:r>
      <w:r>
        <w:rPr>
          <w:rFonts w:ascii="Times New Roman" w:hAnsi="Times New Roman"/>
          <w:caps w:val="false"/>
          <w:smallCaps w:val="false"/>
          <w:sz w:val="20"/>
        </w:rPr>
        <w:t xml:space="preserve"> or the substantial premium model in ASC 470-20 </w:t>
      </w:r>
      <w:r>
        <w:rPr>
          <w:rFonts w:ascii="Times New Roman" w:hAnsi="Times New Roman"/>
          <w:i/>
          <w:caps w:val="false"/>
          <w:smallCaps w:val="false"/>
          <w:sz w:val="20"/>
        </w:rPr>
        <w:t xml:space="preserve">Debt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with Conversion and Other Options </w:t>
      </w:r>
      <w:r>
        <w:rPr>
          <w:rFonts w:ascii="Times New Roman" w:hAnsi="Times New Roman"/>
          <w:caps w:val="false"/>
          <w:smallCaps w:val="false"/>
          <w:sz w:val="20"/>
        </w:rPr>
        <w:t>applies. Where the substantial premium model applies, the premium is recorded in additional paid-in capital. The resulting debt discount is amortized over the period during which the convertible notes are expected to be outstanding as additional non-cash interest expenses.</w:t>
      </w:r>
    </w:p>
    <w:p>
      <w:pPr>
        <w:pStyle w:val="TextBody"/>
        <w:bidi w:val="0"/>
        <w:spacing w:before="0" w:after="0"/>
        <w:ind w:left="0" w:right="0" w:hanging="0"/>
        <w:jc w:val="both"/>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convertible debentures with an embedded conversion feature that did not meet the equity scope exception from derivative accounting pursuant to ASC 815-15, the Company elected the fair value option under ASC 825 </w:t>
      </w:r>
      <w:r>
        <w:rPr>
          <w:rFonts w:ascii="Times New Roman" w:hAnsi="Times New Roman"/>
          <w:i/>
          <w:caps w:val="false"/>
          <w:smallCaps w:val="false"/>
          <w:sz w:val="20"/>
        </w:rPr>
        <w:t>Fair Value Measurements</w:t>
      </w:r>
      <w:r>
        <w:rPr>
          <w:rFonts w:ascii="Times New Roman" w:hAnsi="Times New Roman"/>
          <w:caps w:val="false"/>
          <w:smallCaps w:val="false"/>
          <w:sz w:val="20"/>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New Standards and Interpretations Applicable Effective June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Refer to Part II, Item 8, Note 3, </w:t>
      </w:r>
      <w:r>
        <w:rPr>
          <w:rFonts w:ascii="Times New Roman" w:hAnsi="Times New Roman"/>
          <w:i/>
          <w:caps w:val="false"/>
          <w:smallCaps w:val="false"/>
          <w:sz w:val="20"/>
        </w:rPr>
        <w:t>Significant Accounting Policies,</w:t>
      </w:r>
      <w:r>
        <w:rPr>
          <w:rFonts w:ascii="Times New Roman" w:hAnsi="Times New Roman"/>
          <w:caps w:val="false"/>
          <w:smallCaps w:val="false"/>
          <w:sz w:val="20"/>
        </w:rPr>
        <w:t xml:space="preserve"> of this Form 10-K for additional information on changes in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actively manage our cash, marketable securities and digital assets in order to internally fund operating needs, make scheduled interest and principal payments on our borrowings, and complete acquisitions. We believe that existing cash, cash equivalents, marketable securities, Bitcoin digital assets and cash generated by operations, together with access to external sources of funds, will be sufficient to meet our domestic and foreign capital needs for the short and long term outlook.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Company’s short-term liquidity requirements, we are focused on generating positive cash flows from operations and being free cash flow positive. Certain of our business segments, such as cannabis, are working capital intensive and have longer cash conversion cycles. In order to mitigate these effects, management continues to optimize our infrastructure, headcount, as well as the elimination of other discretionary operational costs. Additionally, the Company continues to work on improvements to the cash conversion cycles across its businesses and invest our excess cash in short-term marketable securities which are comprised of U.S. treasury bills, high grade corporate bonds and term deposits with major Canadian, European and Australian banks as well as in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Company’s long-term liquidity requirements, we are focused on funding operations through profitable organic growth and through acquisitions of businesses that are accretive to earnings. We may need to take on additional debt or equity financing arrangements in order to achieve this strategic plan on a long-term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17, 2024, the Company entered into an equity distribution agreement with TD Securities (USA) LLC and Jefferies LLC in connection with an aggregate offering value of up to $250 million through an at-the-market equity program (“ATM Program”). During the fiscal year ended May 31, 2026, the Company issued 6,777,224 shares under the ATM Program generating gross proceeds of $74.7 million. The Company paid $1.6 million in commissions and other fees associated with these issuances generating net proceeds of $73.1 million. The Company intends to use the net proceeds from the ATM Program to fund strategic and accretive acquisitions or investments in businesses and capital expenditures for acquired businesses, including potential acquisitions of assets in the U.S. and internationally in order to capitalize on expected regulatory advancements or expansion opportunities. As of our second fiscal quarter ended November 30, 2025, the ATM program was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15, 2026, the Company entered into a separate ATM Program with Jefferies LLC, TD Securities (USA) LLC and Roth Capital Partners, LLC, pursuant to which the Company may offer and sell shares of the Company’s common stock, par value US$0.0001 per share (the “Common Stock”), having an aggregate offering price of up to $180 million from time to time through the Agents, acting as sales agents, or directly to the Agents, acting as principals. During the fiscal year ended May 31, 2026, the Company issued 12,848,281 shares under this ATM Program, generating gross proceeds of $87.0 million at an average sales price of $6.77 per share. A substantial portion of these shares were issued on April 22 and April 23, 2026, during a period of increased trading activity and share price appreciation following developments related to the potential U.S. cannabis rescheduling process. The Company paid $2.1 million in commissions and other fees associated with these issuances generating net proceeds of $84.9 million. The Company intends to use the net proceeds from the ATM Program to fund strategic and accretive acquisitions or investments in businesses and capital expenditures for acquired businesses, including potential acquisitions of assets in the U.S. and internationally in order to capitalize on expected regulatory advancements or expansion opportunities. </w:t>
      </w:r>
    </w:p>
    <w:p>
      <w:pPr>
        <w:pStyle w:val="TextBody"/>
        <w:bidi w:val="0"/>
        <w:ind w:left="0" w:right="0" w:firstLine="720"/>
        <w:jc w:val="left"/>
        <w:rPr/>
      </w:pPr>
      <w:r>
        <w:rPr/>
        <w:t xml:space="preserve">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All current and prior year share amounts have been retrospectively adjusted to reflect the Reverse Stock Split, which became effective on December 2,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we are committed to optimizing our capital structure and enhancing financial flexibility as we intend to continue to opportunistically purchase or exchange equity for the TLRY 27 Notes prior to their underlying maturity date in June 2027, subject to market conditions. See Note 30 (Subsequent events), for additional transactions.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major components of our statements of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80"/>
        <w:gridCol w:w="60"/>
        <w:gridCol w:w="125"/>
        <w:gridCol w:w="695"/>
        <w:gridCol w:w="80"/>
        <w:gridCol w:w="60"/>
        <w:gridCol w:w="125"/>
        <w:gridCol w:w="695"/>
        <w:gridCol w:w="80"/>
        <w:gridCol w:w="60"/>
        <w:gridCol w:w="125"/>
        <w:gridCol w:w="695"/>
        <w:gridCol w:w="80"/>
        <w:gridCol w:w="60"/>
        <w:gridCol w:w="125"/>
        <w:gridCol w:w="650"/>
        <w:gridCol w:w="80"/>
        <w:gridCol w:w="60"/>
        <w:gridCol w:w="60"/>
        <w:gridCol w:w="290"/>
        <w:gridCol w:w="242"/>
        <w:gridCol w:w="60"/>
        <w:gridCol w:w="125"/>
        <w:gridCol w:w="755"/>
        <w:gridCol w:w="80"/>
        <w:gridCol w:w="60"/>
        <w:gridCol w:w="60"/>
        <w:gridCol w:w="395"/>
        <w:gridCol w:w="243"/>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3"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 vs. 2025</w:t>
            </w:r>
          </w:p>
        </w:tc>
        <w:tc>
          <w:tcPr>
            <w:tcW w:w="2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 vs. 2024</w:t>
            </w:r>
          </w:p>
        </w:tc>
        <w:tc>
          <w:tcPr>
            <w:tcW w:w="243"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(94,599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on cash of foreign currency translation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229,342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4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4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restricted cash and marketable securities(1)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4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(1) </w:t>
            </w:r>
          </w:p>
        </w:tc>
        <w:tc>
          <w:tcPr>
            <w:tcW w:w="997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cash, restricted cash and marketable securities presentation of our cash flows is a non-GAAP financial measure. See “Use of Non-GAAP Measures –Cash, Restricted Cash and Marketable Securities” above for a discussion of these Non-GAAP Measures.</w:t>
            </w:r>
          </w:p>
        </w:tc>
      </w:tr>
    </w:tbl>
    <w:p>
      <w:pPr>
        <w:pStyle w:val="TextBody"/>
        <w:bidi w:val="0"/>
        <w:spacing w:before="0" w:after="0"/>
        <w:ind w:left="260" w:right="0" w:hanging="0"/>
        <w:jc w:val="both"/>
        <w:rPr>
          <w:caps w:val="false"/>
          <w:smallCaps w:val="false"/>
        </w:rPr>
      </w:pPr>
      <w:r>
        <w:rPr>
          <w:caps w:val="false"/>
          <w:smallCaps w:val="false"/>
        </w:rPr>
        <w:t> </w:t>
      </w:r>
    </w:p>
    <w:p>
      <w:pPr>
        <w:pStyle w:val="TextBody"/>
        <w:bidi w:val="0"/>
        <w:spacing w:before="0" w:after="0"/>
        <w:ind w:left="26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$69.1 million for the fiscal year ended May 31, 2026, compared to $94.6 million for the prior fiscal year period. Excluding the impact of changes in working capital, operating cash flow was $18.2 million compared to cash used in operations of $32.0 million in the prior fiscal year, which was negatively impacted by the integration of Craft Acquisition I and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working capital was $87.3 million for the fiscal year ended May 31, 2026, compared to $62.6 million in the prior fiscal year. The current year use of working capital was primarily driven by the $43.7 million working capital impact of the BrewDog Acquisition, as well as inventory investments to support international cannabis growth. The significant components of the current year working capital change were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Accounts receivable. </w:t>
            </w:r>
            <w:r>
              <w:rPr>
                <w:rFonts w:ascii="Times New Roman" w:hAnsi="Times New Roman"/>
                <w:caps w:val="false"/>
                <w:smallCaps w:val="false"/>
                <w:sz w:val="20"/>
              </w:rPr>
              <w:t>Accounts receivable increased by $66.4 million, including $51.7 million of trade receivables from sales generated by BrewDog following the acquisition. These receivables had not yet been collected as of May 31, 2026, as a result of the 60-90 day payment terms for BrewDog UK. The remaining $14.7 million increase in accounts receivable was primarily attributable to higher sales near the end of the fourth fiscal quarter in the international cannabis business and extended payment terms in certain international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Prepaids and other current assets. </w:t>
            </w:r>
            <w:r>
              <w:rPr>
                <w:rFonts w:ascii="Times New Roman" w:hAnsi="Times New Roman"/>
                <w:caps w:val="false"/>
                <w:smallCaps w:val="false"/>
                <w:sz w:val="20"/>
              </w:rPr>
              <w:t>Prepaid expenses and other current assets increased by $26.9 million, primarily driven by $20.7 million related to the BrewDog transaction. This included $14.4 million recorded in other receivables for amounts collected from customers and held in trust in connection with the BrewDog administration process, which were released subsequent to the fiscal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Inventory. </w:t>
            </w:r>
            <w:r>
              <w:rPr>
                <w:rFonts w:ascii="Times New Roman" w:hAnsi="Times New Roman"/>
                <w:caps w:val="false"/>
                <w:smallCaps w:val="false"/>
                <w:sz w:val="20"/>
              </w:rPr>
              <w:t>Inventory increased by $13.4 million, including $1.1 million related to the BrewDog Acquisition, with the remaining increase primarily attributable to the international cannabis business as the Company managed permit delays and built inventory to support anticipated fiscal 2027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Accounts Payable. </w:t>
            </w:r>
            <w:r>
              <w:rPr>
                <w:rFonts w:ascii="Times New Roman" w:hAnsi="Times New Roman"/>
                <w:caps w:val="false"/>
                <w:smallCaps w:val="false"/>
                <w:sz w:val="20"/>
              </w:rPr>
              <w:t>Accounts payable increased by $19.4 million, which partially offset the use of cash from other working capital items. The increase included $29.8 million of payables associated with the BrewDog Acquisition, partially offset by a $12.4 million decrease in payables primarily due to cash conversion terms in the beverage business and accelerated excise tax payments in Canada.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6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$55.8 million for the fiscal year ended May 31, 2026 compared to net cash used in investing activities of $46.7 million for the prior fiscal year period. The current year use of cash was primarily driven by $53.7 million of cash consideration paid for the BrewDog Acquisition, which was partially funded through proceeds from investments in marketable securities, compared to $18.0 million paid for Craft Acquisition II in fiscal 2025.</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26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$131.0 million for the fiscal year ended May 31, 2026, compared to net cash provided in financing activities of $133.5 million for the prior fiscal year period and remained largely unchanged.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resources and working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constantly monitors and manages its cash flows to assess the liquidity necessary to fund operations. As of May 31, 2026, the Company had $234.6 million of cash and cash equivalents on hand, restricted cash and marketable securities, compared to $256.4 million in cash and cash equivalents as of May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Working capital provides funds for the Company to meet its operational and capital requirements. As of May 31, 2026, the Company had working capital of $433.8 million. We historically financed our operations through the issuance of common stock, sale of convertible notes and revenue generating activities. While we believe we have sufficient cash to meet existing working capital requirements in the short term, we may need additional sources of capital and/or financing to meet our U.S. growth ambitions, expansion of our international operations and other strategic transactions. See Item 7A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lease various facilities, under non-cancelable operating leases, which expire on various dates through September 2040:</w:t>
      </w:r>
    </w:p>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2555"/>
        <w:gridCol w:w="60"/>
        <w:gridCol w:w="143"/>
        <w:gridCol w:w="747"/>
        <w:gridCol w:w="80"/>
        <w:gridCol w:w="60"/>
        <w:gridCol w:w="125"/>
        <w:gridCol w:w="695"/>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19,067</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19,067</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18,919</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148,357</w:t>
            </w:r>
          </w:p>
        </w:tc>
        <w:tc>
          <w:tcPr>
            <w:tcW w:w="80" w:type="dxa"/>
            <w:tcBorders/>
            <w:shd w:fill="CCEEFF" w:val="clear"/>
            <w:vAlign w:val="center"/>
          </w:tcPr>
          <w:p>
            <w:pPr>
              <w:pStyle w:val="TableContents"/>
              <w:bidi w:val="0"/>
              <w:spacing w:before="0" w:after="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224,093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(99,306</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i/>
          <w:caps w:val="false"/>
          <w:smallCaps w:val="false"/>
          <w:sz w:val="20"/>
        </w:rPr>
      </w:pPr>
      <w:r>
        <w:rPr>
          <w:rFonts w:ascii="Times New Roman" w:hAnsi="Times New Roman"/>
          <w:i/>
          <w:caps w:val="false"/>
          <w:smallCaps w:val="false"/>
          <w:sz w:val="20"/>
        </w:rPr>
        <w:t>Purchase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has payments on long-term debt, refer to Note 15 (Long-term debt), convertible notes, refer to Note 16 (Convertible debentures payable), material purchase commitments and construction commitments as follows:</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2615"/>
        <w:gridCol w:w="60"/>
        <w:gridCol w:w="125"/>
        <w:gridCol w:w="695"/>
        <w:gridCol w:w="60"/>
        <w:gridCol w:w="60"/>
        <w:gridCol w:w="125"/>
        <w:gridCol w:w="590"/>
        <w:gridCol w:w="60"/>
        <w:gridCol w:w="60"/>
        <w:gridCol w:w="125"/>
        <w:gridCol w:w="695"/>
        <w:gridCol w:w="60"/>
        <w:gridCol w:w="60"/>
        <w:gridCol w:w="125"/>
        <w:gridCol w:w="590"/>
        <w:gridCol w:w="60"/>
        <w:gridCol w:w="60"/>
        <w:gridCol w:w="125"/>
        <w:gridCol w:w="485"/>
        <w:gridCol w:w="60"/>
        <w:gridCol w:w="60"/>
        <w:gridCol w:w="163"/>
        <w:gridCol w:w="772"/>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 repayment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25,800</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Material 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commitments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287,403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67,079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139,276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26,408</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Except as disclosed elsewhere in this Part II, Item 7,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there have been no material changes with respect to the contractual obligations of the Company during the year-to-date period except for those related to the Company’s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 See Note 27 (Commitments and contingencies)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item7a"/>
      <w:bookmarkEnd w:id="14"/>
      <w:r>
        <w:rPr>
          <w:rFonts w:ascii="Times New Roman" w:hAnsi="Times New Roman"/>
          <w:b/>
          <w:caps w:val="false"/>
          <w:smallCaps w:val="false"/>
          <w:sz w:val="20"/>
        </w:rPr>
        <w:t xml:space="preserve">Item 7A.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exposure to the following risks from its use of financial instruments: credit; liquidity; currency rate; and, interest rate price.</w:t>
      </w:r>
    </w:p>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60"/>
        <w:gridCol w:w="245"/>
        <w:gridCol w:w="9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w:t>
            </w:r>
          </w:p>
        </w:tc>
        <w:tc>
          <w:tcPr>
            <w:tcW w:w="90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Credit risk is the risk of financial loss to the Company if a customer or counterparty to a financial instrument fails to meet its contractual obligations. The maximum credit exposure as of May 31, 2026 is the carrying amount of cash and cash equivalents, restricted cash, accounts receivable, prepaids and other current assets and convertible notes receivable. All cash and cash equivalents are placed with major financial institutions in Canada, Australia, Portugal, Germany, UK, Colombia, Argentina and the United States, with the exception of Lyphe which uses a digital bank. To date, the Company has not experienced any losses on its cash deposits. Accounts receivable are unsecured, and the Company does not require collateral from its customers.</w:t>
      </w:r>
    </w:p>
    <w:p>
      <w:pPr>
        <w:pStyle w:val="TextBody"/>
        <w:bidi w:val="0"/>
        <w:spacing w:before="0" w:after="0"/>
        <w:ind w:left="0" w:right="0" w:hanging="0"/>
        <w:jc w:val="left"/>
        <w:rPr/>
      </w:pPr>
      <w:r>
        <w:rPr/>
        <w:t> </w:t>
      </w:r>
    </w:p>
    <w:tbl>
      <w:tblPr>
        <w:tblW w:w="1450" w:type="dxa"/>
        <w:jc w:val="left"/>
        <w:tblInd w:w="0" w:type="dxa"/>
        <w:tblLayout w:type="fixed"/>
        <w:tblCellMar>
          <w:top w:w="0" w:type="dxa"/>
          <w:left w:w="0" w:type="dxa"/>
          <w:bottom w:w="0" w:type="dxa"/>
          <w:right w:w="0" w:type="dxa"/>
        </w:tblCellMar>
      </w:tblPr>
      <w:tblGrid>
        <w:gridCol w:w="60"/>
        <w:gridCol w:w="245"/>
        <w:gridCol w:w="11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w:t>
            </w:r>
          </w:p>
        </w:tc>
        <w:tc>
          <w:tcPr>
            <w:tcW w:w="11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Liquidity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May 31, 2026, the Company’s financial liabilities consist of bank indebtedness and accounts payable and accrued liabilities, which have contractual maturity dates within one-year, long-term debt, and convertible debentures which are due in June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maintains debt service charge and leverage covenants on certain loans secured by its Aphria Diamond facilities and ABC Group that are measured quarterly. The Company believes that it has sufficient operating room with respect to its financial covenants for the next fiscal year and does not anticipate being in breach of any of its financial covenants.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manages its liquidity risk by reviewing its capital requirements on an ongoing basis. Based on the Company’s working capital position as of May 31, 2026, management regards liquidity risk to be low.</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230"/>
        <w:gridCol w:w="152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w:t>
            </w:r>
          </w:p>
        </w:tc>
        <w:tc>
          <w:tcPr>
            <w:tcW w:w="1520"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Currency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May 31, 2026, a portion of the Company’s financial assets and liabilities held in Canadian dollars, British Pound Sterling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As of the date of this Form 10-K, the Company does not use foreign exchange contracts to hedge its exposure of its foreign currency cash flows as management has determined that this risk is not significant at this point in time.</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245"/>
        <w:gridCol w:w="13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w:t>
            </w:r>
          </w:p>
        </w:tc>
        <w:tc>
          <w:tcPr>
            <w:tcW w:w="1385" w:type="dxa"/>
            <w:tcBorders/>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5" w:name="item8"/>
      <w:bookmarkEnd w:id="15"/>
      <w:r>
        <w:rPr>
          <w:rFonts w:ascii="Times New Roman" w:hAnsi="Times New Roman"/>
          <w:b/>
          <w:caps w:val="false"/>
          <w:smallCaps w:val="false"/>
          <w:sz w:val="20"/>
        </w:rPr>
        <w:t xml:space="preserve">Item 8. Financial Statements and Supplementary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67"/>
        <w:gridCol w:w="538"/>
      </w:tblGrid>
      <w:tr>
        <w:trPr/>
        <w:tc>
          <w:tcPr>
            <w:tcW w:w="9667"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Consolidated Statement of Financial Position as of May 31, 2026 and 2025</w:t>
              </w:r>
            </w:hyperlink>
          </w:p>
        </w:tc>
        <w:tc>
          <w:tcPr>
            <w:tcW w:w="538"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68</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u w:val="single"/>
                </w:rPr>
                <w:t>Consolidated Statements of Loss and Comprehensive Loss for the Years ended May 31, 2026, 2025, and 2024</w:t>
              </w:r>
            </w:hyperlink>
          </w:p>
        </w:tc>
        <w:tc>
          <w:tcPr>
            <w:tcW w:w="538"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69</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she">
              <w:r>
                <w:rPr>
                  <w:rStyle w:val="InternetLink"/>
                  <w:rFonts w:ascii="Times New Roman" w:hAnsi="Times New Roman"/>
                  <w:caps w:val="false"/>
                  <w:smallCaps w:val="false"/>
                  <w:sz w:val="20"/>
                  <w:u w:val="single"/>
                </w:rPr>
                <w:t>Consolidated Statements of Changes in Equity for the Years ended May 31, 2026, 2025, and 2024</w:t>
              </w:r>
            </w:hyperlink>
          </w:p>
        </w:tc>
        <w:tc>
          <w:tcPr>
            <w:tcW w:w="538" w:type="dxa"/>
            <w:tcBorders/>
            <w:vAlign w:val="center"/>
          </w:tcPr>
          <w:p>
            <w:pPr>
              <w:pStyle w:val="TableContents"/>
              <w:bidi w:val="0"/>
              <w:spacing w:before="0" w:after="0"/>
              <w:ind w:left="0" w:right="0" w:hanging="0"/>
              <w:jc w:val="right"/>
              <w:rPr/>
            </w:pPr>
            <w:hyperlink w:anchor="she">
              <w:r>
                <w:rPr>
                  <w:rStyle w:val="InternetLink"/>
                  <w:rFonts w:ascii="Times New Roman" w:hAnsi="Times New Roman"/>
                  <w:caps w:val="false"/>
                  <w:smallCaps w:val="false"/>
                  <w:sz w:val="20"/>
                </w:rPr>
                <w:t>70</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cfs">
              <w:r>
                <w:rPr>
                  <w:rStyle w:val="InternetLink"/>
                  <w:rFonts w:ascii="Times New Roman" w:hAnsi="Times New Roman"/>
                  <w:caps w:val="false"/>
                  <w:smallCaps w:val="false"/>
                  <w:sz w:val="20"/>
                  <w:u w:val="single"/>
                </w:rPr>
                <w:t>Consolidated Statements of Cash Flows for the Years ended May 31, 2026, 2025, and 2024</w:t>
              </w:r>
            </w:hyperlink>
          </w:p>
        </w:tc>
        <w:tc>
          <w:tcPr>
            <w:tcW w:w="538" w:type="dxa"/>
            <w:tcBorders/>
            <w:vAlign w:val="center"/>
          </w:tcPr>
          <w:p>
            <w:pPr>
              <w:pStyle w:val="TableContents"/>
              <w:bidi w:val="0"/>
              <w:spacing w:before="0" w:after="0"/>
              <w:ind w:left="0" w:right="0" w:hanging="0"/>
              <w:jc w:val="right"/>
              <w:rPr/>
            </w:pPr>
            <w:hyperlink w:anchor="cfs">
              <w:r>
                <w:rPr>
                  <w:rStyle w:val="InternetLink"/>
                  <w:rFonts w:ascii="Times New Roman" w:hAnsi="Times New Roman"/>
                  <w:caps w:val="false"/>
                  <w:smallCaps w:val="false"/>
                  <w:sz w:val="20"/>
                </w:rPr>
                <w:t>71</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the Consolidated Financial Statements</w:t>
              </w:r>
            </w:hyperlink>
          </w:p>
        </w:tc>
        <w:tc>
          <w:tcPr>
            <w:tcW w:w="538"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72</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667"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u w:val="single"/>
                </w:rPr>
                <w:t>Report of Independent Registered Public Accounting Firm</w:t>
              </w:r>
            </w:hyperlink>
            <w:hyperlink w:anchor="report">
              <w:r>
                <w:rPr>
                  <w:rStyle w:val="InternetLink"/>
                  <w:rFonts w:ascii="Times New Roman" w:hAnsi="Times New Roman"/>
                  <w:caps w:val="false"/>
                  <w:smallCaps w:val="false"/>
                  <w:sz w:val="20"/>
                </w:rPr>
                <w:t>  PCAOB ID 271</w:t>
              </w:r>
            </w:hyperlink>
          </w:p>
        </w:tc>
        <w:tc>
          <w:tcPr>
            <w:tcW w:w="538"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112</w:t>
              </w:r>
            </w:hyperlink>
          </w:p>
        </w:tc>
      </w:tr>
      <w:tr>
        <w:trPr/>
        <w:tc>
          <w:tcPr>
            <w:tcW w:w="966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6" w:name="bs"/>
      <w:bookmarkEnd w:id="16"/>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Financial Position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w:t>
      </w:r>
    </w:p>
    <w:tbl>
      <w:tblPr>
        <w:tblW w:w="10205" w:type="dxa"/>
        <w:jc w:val="left"/>
        <w:tblInd w:w="0" w:type="dxa"/>
        <w:tblLayout w:type="fixed"/>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221,666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34,697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121,489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270,882</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34,092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Assets held for sale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5,800</w:t>
            </w:r>
          </w:p>
        </w:tc>
        <w:tc>
          <w:tcPr>
            <w:tcW w:w="80" w:type="dxa"/>
            <w:tcBorders/>
            <w:shd w:fill="CCEEFF" w:val="clear"/>
            <w:vAlign w:val="center"/>
          </w:tcPr>
          <w:p>
            <w:pPr>
              <w:pStyle w:val="TableContents"/>
              <w:bidi w:val="0"/>
              <w:spacing w:before="0" w:after="0"/>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688,626</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Capital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22,279</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21,423</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752,350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2,328,012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2,074,327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Bank indebtedness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235,322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280,303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Long - 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64,925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148,493</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Convertible debentures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86,428</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Deferred tax liabilities,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584,752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(refer to Note 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lineRule="auto" w:line="288" w:before="0" w:after="0"/>
              <w:ind w:left="0" w:right="0" w:firstLine="180"/>
              <w:jc w:val="left"/>
              <w:rPr>
                <w:rFonts w:ascii="Times New Roman" w:hAnsi="Times New Roman"/>
                <w:sz w:val="20"/>
              </w:rPr>
            </w:pPr>
            <w:r>
              <w:rPr>
                <w:rFonts w:ascii="Times New Roman" w:hAnsi="Times New Roman"/>
                <w:sz w:val="20"/>
              </w:rPr>
              <w:t>Common stock ($0.0001 par value; 1,416,000,000 common shares authorized;131,683,075 and 106,067,875 common shares issued and outstanding, respectively)(1)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lineRule="auto" w:line="288" w:before="0" w:after="0"/>
              <w:ind w:left="0" w:right="0" w:firstLine="180"/>
              <w:jc w:val="left"/>
              <w:rPr>
                <w:rFonts w:ascii="Times New Roman" w:hAnsi="Times New Roman"/>
                <w:sz w:val="20"/>
              </w:rPr>
            </w:pPr>
            <w:r>
              <w:rPr>
                <w:rFonts w:ascii="Times New Roman" w:hAnsi="Times New Roman"/>
                <w:sz w:val="20"/>
              </w:rPr>
              <w:t>Treasury Stock (589,217 and 200,422 treasury shares issued and outstanding, respectively)(1)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Preferred shares ($0.0001 par value; 10,000,000 preferred shares authorized; nil and nil preferred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6,627,056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6,401,657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(4,968,623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(4,847,226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Tilray Brands, Inc.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1,614,332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1,511,474</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(21,899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86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1,594,867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1,489,575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2,328,012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2,074,327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(1)Current and prior year share amounts have been retrospectively adjusted to reflect the Reverse Stock Split, which became effective on December 2, 2025. See Note 2 (Basis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7" w:name="income"/>
      <w:bookmarkEnd w:id="17"/>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Loss and Comprehensive Loss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9695" w:type="dxa"/>
        <w:jc w:val="left"/>
        <w:tblInd w:w="0" w:type="dxa"/>
        <w:tblLayout w:type="fixed"/>
        <w:tblCellMar>
          <w:top w:w="0" w:type="dxa"/>
          <w:left w:w="0" w:type="dxa"/>
          <w:bottom w:w="0" w:type="dxa"/>
          <w:right w:w="0" w:type="dxa"/>
        </w:tblCellMar>
      </w:tblPr>
      <w:tblGrid>
        <w:gridCol w:w="5945"/>
        <w:gridCol w:w="60"/>
        <w:gridCol w:w="125"/>
        <w:gridCol w:w="1055"/>
        <w:gridCol w:w="80"/>
        <w:gridCol w:w="60"/>
        <w:gridCol w:w="125"/>
        <w:gridCol w:w="950"/>
        <w:gridCol w:w="80"/>
        <w:gridCol w:w="60"/>
        <w:gridCol w:w="125"/>
        <w:gridCol w:w="950"/>
        <w:gridCol w:w="80"/>
      </w:tblGrid>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1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years ended May 31,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788,942</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565,591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223,351</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37,233</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84,752</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Marketing and promotion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41,933</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of intangible assets and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42,681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Litigation costs, net of recoveries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8,251</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Transaction costs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15,462</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398,096</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(2,282,705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(174,745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Non-operating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(2,302,373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(249,020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(recovery),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(2,181,356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income (loss) attributable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Stockholders of Tilray Brands,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(2,186,738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(244,981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22,577</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gain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3,121</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(2,180,926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(219,283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comprehensive income (loss) attributable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Stockholders of Tilray Brands,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(122,567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(2,186,302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(241,870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22,587</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Weighted average number of common shares - basic(1)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111,832,375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89,032,602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74,264,948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45" w:type="dxa"/>
            <w:tcBorders/>
            <w:shd w:fill="CCEE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Weighted average number of common shares - diluted(1)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111,832,375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89,032,602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74,264,948</w:t>
            </w:r>
          </w:p>
        </w:tc>
        <w:tc>
          <w:tcPr>
            <w:tcW w:w="80" w:type="dxa"/>
            <w:tcBorders/>
            <w:shd w:fill="CCEEFF" w:val="clear"/>
            <w:vAlign w:val="center"/>
          </w:tcPr>
          <w:p>
            <w:pPr>
              <w:pStyle w:val="TableContents"/>
              <w:bidi w:val="0"/>
              <w:spacing w:before="0" w:after="0"/>
              <w:jc w:val="left"/>
              <w:rPr/>
            </w:pPr>
            <w:r>
              <w:rPr/>
              <w:t> </w:t>
            </w:r>
          </w:p>
        </w:tc>
      </w:tr>
      <w:tr>
        <w:trPr/>
        <w:tc>
          <w:tcPr>
            <w:tcW w:w="594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basic(1)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4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diluted(1)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1Current and prior year share amounts have been retrospectively adjusted to reflect the Reverse Stock Split, which became effective on December 2, 2025. See Note 2 (Basis of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1944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8" w:name="she"/>
      <w:bookmarkEnd w:id="18"/>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Changes in Equity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11300" w:type="dxa"/>
        <w:jc w:val="left"/>
        <w:tblInd w:w="0" w:type="dxa"/>
        <w:tblLayout w:type="fixed"/>
        <w:tblCellMar>
          <w:top w:w="0" w:type="dxa"/>
          <w:left w:w="0" w:type="dxa"/>
          <w:bottom w:w="0" w:type="dxa"/>
          <w:right w:w="0" w:type="dxa"/>
        </w:tblCellMar>
      </w:tblPr>
      <w:tblGrid>
        <w:gridCol w:w="1310"/>
        <w:gridCol w:w="60"/>
        <w:gridCol w:w="60"/>
        <w:gridCol w:w="1055"/>
        <w:gridCol w:w="80"/>
        <w:gridCol w:w="60"/>
        <w:gridCol w:w="209"/>
        <w:gridCol w:w="561"/>
        <w:gridCol w:w="60"/>
        <w:gridCol w:w="60"/>
        <w:gridCol w:w="60"/>
        <w:gridCol w:w="755"/>
        <w:gridCol w:w="80"/>
        <w:gridCol w:w="60"/>
        <w:gridCol w:w="245"/>
        <w:gridCol w:w="510"/>
        <w:gridCol w:w="60"/>
        <w:gridCol w:w="60"/>
        <w:gridCol w:w="125"/>
        <w:gridCol w:w="845"/>
        <w:gridCol w:w="80"/>
        <w:gridCol w:w="60"/>
        <w:gridCol w:w="200"/>
        <w:gridCol w:w="1050"/>
        <w:gridCol w:w="80"/>
        <w:gridCol w:w="60"/>
        <w:gridCol w:w="135"/>
        <w:gridCol w:w="980"/>
        <w:gridCol w:w="80"/>
        <w:gridCol w:w="60"/>
        <w:gridCol w:w="153"/>
        <w:gridCol w:w="797"/>
        <w:gridCol w:w="80"/>
        <w:gridCol w:w="60"/>
        <w:gridCol w:w="125"/>
        <w:gridCol w:w="905"/>
        <w:gridCol w:w="80"/>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interests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65,665,546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5,777,743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3,329,943</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HEXO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3,970,596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65,162</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contractual change of control severance incurred from HEXO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Double Diamond Holdings dividend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2,478,099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21,487</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HTI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52,313</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effectively repurchased for employee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component related to issuance of convertible debt,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3,953</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litigation claims from MediPharm Labs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TLRY 23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20,458</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equity component of TLRY 23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APHA 24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7,348,415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140,661</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At-the-Market (“ATM”) program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8,619</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RSUs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31,769</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83,192,538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6,146,810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(2,660,488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3,443,178</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At-the-Market (“ATM”) program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13,593,874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161,188</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TLRY 27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7,175,505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67,258</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TLRY 27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Double Diamond Holdings dividend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1,321,759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RSUs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effectively repurchased for employee withholding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24,289</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Disposal of SH Acquisition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(2,186,738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(2,180,926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106,067,875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6,401,657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1,489,575</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At-the-Market (“ATM”) program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19,625,505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157,974</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Repurchase of TLRY 27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(379,420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17,160</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Settlement of TLRY 27 convertible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Double Diamond Holdings dividend settlement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Warrant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6,955</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Fractional shares cancelled pursuant to Reverse Stock Split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effectively repurchased for employee withholding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Lyphe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2,795</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 RSUs exercised, net of cancellations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31,699</w:t>
            </w:r>
          </w:p>
        </w:tc>
        <w:tc>
          <w:tcPr>
            <w:tcW w:w="8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year ended May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131,683,075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6,627,056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(4,968,623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1,594,867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1Current and prior year share amounts have been retrospectively adjusted to reflect the Reverse Stock Split, which became effective on December 2, 2025. See Note 2 (Basis of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1944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9" w:name="cfs"/>
      <w:bookmarkEnd w:id="19"/>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amounts)</w:t>
      </w:r>
    </w:p>
    <w:p>
      <w:pPr>
        <w:pStyle w:val="TextBody"/>
        <w:bidi w:val="0"/>
        <w:spacing w:before="0" w:after="0"/>
        <w:ind w:left="0" w:right="0" w:hanging="0"/>
        <w:jc w:val="left"/>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6125"/>
        <w:gridCol w:w="60"/>
        <w:gridCol w:w="125"/>
        <w:gridCol w:w="755"/>
        <w:gridCol w:w="80"/>
        <w:gridCol w:w="60"/>
        <w:gridCol w:w="125"/>
        <w:gridCol w:w="905"/>
        <w:gridCol w:w="80"/>
        <w:gridCol w:w="60"/>
        <w:gridCol w:w="125"/>
        <w:gridCol w:w="755"/>
        <w:gridCol w:w="80"/>
      </w:tblGrid>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foreign exchange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3,756</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126,913</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sale of capital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convertible debt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14,459</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than temporary change in fair value of convertible notes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Unrealized loss on 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13,626</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31,769</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4,855</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Loss (gain) on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21,172</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non-cash working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13,069</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(69,144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(30,905</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capital and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capital and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8,509</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digital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(purchase) of marketable securities,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209,715</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acquisitions, net of cash acquired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128,349</w:t>
            </w:r>
          </w:p>
        </w:tc>
        <w:tc>
          <w:tcPr>
            <w:tcW w:w="80" w:type="dxa"/>
            <w:tcBorders/>
            <w:shd w:fill="CCEEFF" w:val="clear"/>
            <w:vAlign w:val="center"/>
          </w:tcPr>
          <w:p>
            <w:pPr>
              <w:pStyle w:val="TableContents"/>
              <w:bidi w:val="0"/>
              <w:spacing w:before="0" w:after="0"/>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Share capital issued, net of cash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8,619</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in lieu of fractional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convertible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21,553</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Repayment of convertible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bank indebtedness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paid to NCI</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(75,187</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21,708</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206,632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year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229,342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228,340</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Within the consolidated statements of cash flows, cash and cash equivalents includes $3,365 of restricted cash as of May 31, 2026, and $nil as of May 31,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0" w:name="notes"/>
      <w:bookmarkEnd w:id="20"/>
      <w:r>
        <w:rPr>
          <w:rFonts w:ascii="Times New Roman" w:hAnsi="Times New Roman"/>
          <w:b/>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the Consolidated Financial Statements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 of U.S. dollars,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110" w:type="dxa"/>
        <w:jc w:val="left"/>
        <w:tblInd w:w="0" w:type="dxa"/>
        <w:tblLayout w:type="fixed"/>
        <w:tblCellMar>
          <w:top w:w="0" w:type="dxa"/>
          <w:left w:w="0" w:type="dxa"/>
          <w:bottom w:w="0" w:type="dxa"/>
          <w:right w:w="0" w:type="dxa"/>
        </w:tblCellMar>
      </w:tblPr>
      <w:tblGrid>
        <w:gridCol w:w="170"/>
        <w:gridCol w:w="194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w:t>
            </w:r>
          </w:p>
        </w:tc>
        <w:tc>
          <w:tcPr>
            <w:tcW w:w="19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Tilray Brands, Inc., a Delaware corporation (collectively, along with its subsidiaries, the “Company”, “Tilray”, “we”, “us” and “our”) is a leading global lifestyle consumer products company, which was incorporated on </w:t>
      </w:r>
      <w:r>
        <w:rPr>
          <w:rStyle w:val="Emphasis"/>
          <w:rFonts w:ascii="Times New Roman" w:hAnsi="Times New Roman"/>
          <w:caps w:val="false"/>
          <w:smallCaps w:val="false"/>
          <w:sz w:val="20"/>
        </w:rPr>
        <w:t xml:space="preserve">January 24, 2018 </w:t>
      </w:r>
      <w:r>
        <w:rPr>
          <w:rFonts w:ascii="Times New Roman" w:hAnsi="Times New Roman"/>
          <w:caps w:val="false"/>
          <w:smallCaps w:val="false"/>
          <w:sz w:val="20"/>
        </w:rPr>
        <w:t xml:space="preserve">and is headquartered in Leamington and New York, with operations in Canada, the United States, Europe, Australia, and Latin America. Tilray’s mission is to be the trusted partner for its patients and consumers by providing them with a cultivated experience and health and wellbeing through high-quality, differentiated brands and innovative products. Focused in cannabis research, cultivation and distribution, Tilray’s production platform supports over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brands in over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countries, including beverages, comprehensive cannabis offerings, and hemp-based foods.</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1915" w:type="dxa"/>
        <w:jc w:val="left"/>
        <w:tblInd w:w="0" w:type="dxa"/>
        <w:tblLayout w:type="fixed"/>
        <w:tblCellMar>
          <w:top w:w="0" w:type="dxa"/>
          <w:left w:w="0" w:type="dxa"/>
          <w:bottom w:w="0" w:type="dxa"/>
          <w:right w:w="0" w:type="dxa"/>
        </w:tblCellMar>
      </w:tblPr>
      <w:tblGrid>
        <w:gridCol w:w="170"/>
        <w:gridCol w:w="174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w:t>
            </w:r>
          </w:p>
        </w:tc>
        <w:tc>
          <w:tcPr>
            <w:tcW w:w="17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policies applied in these consolidated financial statements are prepared in accordance with accounting principles generally accepted in the United States of America (“GAAP”) and pursuant to the rules and regulations of the United States Securities and Exchange Commission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and digital assets that are measured at fair value, as detailed in the Company’s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presented in U.S. dollars (“USD”), which is the Company’s reporting currency; however, the functional currency of the entities in these financial statements are their respective local currencies, including Canadian dollar, USD, Euro, Australian dollar, Argentinian peso, Colombian peso, and British Pound Sterling.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Foreign currency transactions are remeasured to the respective functional currencies of the Company’s entities at the exchange rates in effect on the date of the transactions. Monetary assets and liabilities denominated in foreign currencies are remeasured to the functional currency at the foreign exchange rate applicable at the statement of financial position date. Non-monetary items carried at historical cost denominated in foreign currencies are remeasured to the functional currency at the date of the transactions. Non-monetary items carried at fair value denominated in foreign currencies are remeasured to the functional currency at the date when the fair value was determined. Realized and unrealized exchange gains and losses are recognized through profit and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consolidation, the assets and liabilities of foreign operations reported in their functional currencies are translated into USD, the Group’s presentation currency, at period-end exchange rates. Income and expenses, and cash flows of foreign operations are translated into USD using average exchange rates. Exchange differences resulting from translating foreign operations are recognized in other comprehensive income (loss) and accumulated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Basis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Subsidiaries are entities controlled by the Company. Control exists when the Company either has a controlling voting interest or is the primary beneficiary of a variable interest entity. In certain circumstances, such as with the BrewDog US acquisition,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consolidate an entity or a group of acquired assets and assumed liabilities where the Company has obtained effective control over the relevant operations, notwithstanding that certain regulatory approvals, licensing transfers, or other administrative matters remain pending as of the date control is obtained. In such cases, consolidation commences on the date the Company obtains the power to direct the relevant activities and is exposed to the variable returns of the operations, consistent with the guidance in ASC </w:t>
      </w:r>
      <w:r>
        <w:rPr>
          <w:rStyle w:val="Emphasis"/>
          <w:rFonts w:ascii="Times New Roman" w:hAnsi="Times New Roman"/>
          <w:caps w:val="false"/>
          <w:smallCaps w:val="false"/>
          <w:sz w:val="20"/>
        </w:rPr>
        <w:t>810</w:t>
      </w:r>
      <w:r>
        <w:rPr>
          <w:rFonts w:ascii="Times New Roman" w:hAnsi="Times New Roman"/>
          <w:caps w:val="false"/>
          <w:smallCaps w:val="false"/>
          <w:sz w:val="20"/>
        </w:rPr>
        <w:t xml:space="preserve"> and, where applicable, the acquisition date determined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(Business combinations).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financial statements of all subsidiaries are included in the Financial Statements from the date that control commences until the date that control ceases. All intercompany balances and transactions have been eliminated on consolidation. A complete list of our subsidiaries that existed as of our most recent fiscal year end is included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Effective </w:t>
      </w:r>
      <w:r>
        <w:rPr>
          <w:rStyle w:val="Emphasis"/>
          <w:rFonts w:ascii="Times New Roman" w:hAnsi="Times New Roman"/>
          <w:caps w:val="false"/>
          <w:smallCaps w:val="false"/>
          <w:sz w:val="20"/>
        </w:rPr>
        <w:t xml:space="preserve"> December 2, 2025, </w:t>
      </w:r>
      <w:r>
        <w:rPr>
          <w:rFonts w:ascii="Times New Roman" w:hAnsi="Times New Roman"/>
          <w:caps w:val="false"/>
          <w:smallCaps w:val="false"/>
          <w:sz w:val="20"/>
        </w:rPr>
        <w:t>the Company implemented a reverse stock split of its outstanding shares of Common Stock, at a ratio of </w:t>
      </w:r>
      <w:r>
        <w:rPr>
          <w:rStyle w:val="Emphasis"/>
          <w:rFonts w:ascii="Times New Roman" w:hAnsi="Times New Roman"/>
          <w:caps w:val="false"/>
          <w:smallCaps w:val="false"/>
          <w:sz w:val="20"/>
        </w:rPr>
        <w:t>one</w:t>
      </w:r>
      <w:r>
        <w:rPr>
          <w:rFonts w:ascii="Times New Roman" w:hAnsi="Times New Roman"/>
          <w:caps w:val="false"/>
          <w:smallCaps w:val="false"/>
          <w:sz w:val="20"/>
        </w:rPr>
        <w:t>-for-ten (the “Reverse Stock Split”).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fractional shares were issued in connection with the Reverse Stock Split. Fractional shares resulting from the Reverse Stock Split were rounded down to the nearest whole share and stockholders received cash in lieu of any fractional shares that were created by the Reverse Stock Split. Each stockholder's percentage ownership interest in the Company and proportional voting power remained unchanged as a result of the Reverse Stock Split, except for adjustments that resulted from rounding fractional shares down to 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issued and outstanding Common Stock, per share amounts, and outstanding equity instruments and awards exercisable into Common Stock contained in the consolidated financial statements of the Company and notes thereto have been retroactively adjusted to reflect the Reverse Stock Split for all prior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323,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Investments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Method and Joint Ventures, </w:t>
      </w:r>
      <w:r>
        <w:rPr>
          <w:rFonts w:ascii="Times New Roman" w:hAnsi="Times New Roman"/>
          <w:caps w:val="false"/>
          <w:smallCaps w:val="false"/>
          <w:sz w:val="20"/>
        </w:rPr>
        <w:t xml:space="preserve">investments in entities over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recognized initially at cost, which includes transaction costs. After initial recognition, the consolidated financial statements include the Company’s share of undistributed earnings or losses, and impairment, if any, until the date on which significant influence ceases.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If the Company’s share of losses in an equity investment equals or exceeds its interest in the entity, including any net advances, the group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further losses, unless it has guaranteed obligations of the investee or is otherwise committed to provide further financial support for the investee.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Unrealized gains on transactions between the Company and its equity-method investees are eliminated only to the extent of the Company’s interest in these entities. Unrealized losses are also eliminated, except to the extent that the underlying asset is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2770" w:type="dxa"/>
        <w:jc w:val="left"/>
        <w:tblInd w:w="0" w:type="dxa"/>
        <w:tblLayout w:type="fixed"/>
        <w:tblCellMar>
          <w:top w:w="0" w:type="dxa"/>
          <w:left w:w="0" w:type="dxa"/>
          <w:bottom w:w="0" w:type="dxa"/>
          <w:right w:w="0" w:type="dxa"/>
        </w:tblCellMar>
      </w:tblPr>
      <w:tblGrid>
        <w:gridCol w:w="170"/>
        <w:gridCol w:w="2600"/>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3.</w:t>
            </w:r>
          </w:p>
        </w:tc>
        <w:tc>
          <w:tcPr>
            <w:tcW w:w="260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significant accounting policies used by the Company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are comprised of cash and highly liquid investments that are both readily convertible into known amounts of cash with original maturities of three months or less. Cash and cash equivalents include amounts held in United States dollar, Canadian dollar, Euro, Australian dollar, Colombian peso, Argentine peso, British Pound Sterling, and corporate bonds, commercial paper, treasury bills and money market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classify cash that is legally or contractually restricted as to withdrawal or usage as restricted cash. As of </w:t>
      </w:r>
      <w:r>
        <w:rPr>
          <w:rStyle w:val="Emphasis"/>
          <w:rFonts w:ascii="Times New Roman" w:hAnsi="Times New Roman"/>
          <w:caps w:val="false"/>
          <w:smallCaps w:val="false"/>
          <w:sz w:val="20"/>
        </w:rPr>
        <w:t xml:space="preserve"> May 31, 2026</w:t>
      </w:r>
      <w:r>
        <w:rPr>
          <w:rFonts w:ascii="Times New Roman" w:hAnsi="Times New Roman"/>
          <w:i/>
          <w:caps w:val="false"/>
          <w:smallCaps w:val="false"/>
          <w:sz w:val="20"/>
        </w:rPr>
        <w:t>,</w:t>
      </w:r>
      <w:r>
        <w:rPr>
          <w:rFonts w:ascii="Times New Roman" w:hAnsi="Times New Roman"/>
          <w:caps w:val="false"/>
          <w:smallCaps w:val="false"/>
          <w:sz w:val="20"/>
        </w:rPr>
        <w:t> the Company reported $3,365 of restricted cash related to the funds held in trust in connection with the acquisition of BrewDog, which was completed on </w:t>
      </w:r>
      <w:r>
        <w:rPr>
          <w:rStyle w:val="Emphasis"/>
          <w:rFonts w:ascii="Times New Roman" w:hAnsi="Times New Roman"/>
          <w:caps w:val="false"/>
          <w:smallCaps w:val="false"/>
          <w:sz w:val="20"/>
        </w:rPr>
        <w:t xml:space="preserve"> March 2, 2026</w:t>
      </w:r>
      <w:r>
        <w:rPr>
          <w:rFonts w:ascii="Times New Roman" w:hAnsi="Times New Roman"/>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classify term deposits and other investments that have maturities of greater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but less than </w:t>
      </w:r>
      <w:r>
        <w:rPr>
          <w:rStyle w:val="Emphasis"/>
          <w:rFonts w:ascii="Times New Roman" w:hAnsi="Times New Roman"/>
          <w:caps w:val="false"/>
          <w:smallCaps w:val="false"/>
          <w:sz w:val="20"/>
        </w:rPr>
        <w:t>one</w:t>
      </w:r>
      <w:r>
        <w:rPr>
          <w:rFonts w:ascii="Times New Roman" w:hAnsi="Times New Roman"/>
          <w:caps w:val="false"/>
          <w:smallCaps w:val="false"/>
          <w:sz w:val="20"/>
        </w:rPr>
        <w:t> year as marketable securities. The fair value of marketable securities is based on quoted market prices for publicly traded securities. Marketable securities are carried at fair value with changes in fair value recorded in the consolidated statement of net loss and comprehensive loss within the line “Non-operating income (expense), net”.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maintains an allowance for credit losses at an amount sufficient to absorb losses inherent in its accounts receivable portfolio as of the reporting dates based on the projection of expected credit losses. The Company applies the aging method to estimate the allowance for expected credit losses. The aging method is applied to accounts receivable at the business unit level to reflect shared risk characteristics, such as receivable type, customer type and geographical location. The aging method assigns accounts receivable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 considering economic and business conditions, default trends, changes in its class composition, among other internal and external factors. The expected credit loss estimates are adjusted for current conditions and reasonable supportable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part of the Company’s analysis of expected credit losses,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analyze contracts on an individual basis in situations where such accounts receivables exhibit unique risk characteristics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experience similar losses to the rest of their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Inventory is valued at the lower of cost and net realizable value, and determined by using the weighted average cost. All direct and indirect costs related to inventory are capitalized as they are incurred, and they are subsequently recorded in cost of goods sold on the consolidated statements of loss and comprehensive loss at the time inventory is sold. Net realizable value is defined as the estimated selling price in the ordinary course of business, less reasonably predictable costs of completion, disposal and transportation.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management’s estimates and such differences could be material to the Company’s consolidated statements of financial position, statements of loss and comprehensive loss and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Capital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Capital assets are recorded at cost and amortized on a straight-line basis over the estimated useful lives or lease term, whichever is shorter. The Company’s capital assets are reviewed when impairment indicators are present by analyzing the underlying cash flow projections. Maintenance and repairs are charged to expenses as incurred. The Company uses the following ranges of asset lives:</w:t>
      </w:r>
    </w:p>
    <w:p>
      <w:pPr>
        <w:pStyle w:val="TextBody"/>
        <w:bidi w:val="0"/>
        <w:spacing w:before="0" w:after="0"/>
        <w:ind w:left="0" w:right="0" w:hanging="0"/>
        <w:jc w:val="both"/>
        <w:rPr>
          <w:caps w:val="false"/>
          <w:smallCaps w:val="false"/>
        </w:rPr>
      </w:pPr>
      <w:r>
        <w:rPr>
          <w:caps w:val="false"/>
          <w:smallCaps w:val="false"/>
        </w:rPr>
        <w:t> </w:t>
      </w:r>
    </w:p>
    <w:tbl>
      <w:tblPr>
        <w:tblW w:w="9360" w:type="dxa"/>
        <w:jc w:val="left"/>
        <w:tblInd w:w="0" w:type="dxa"/>
        <w:tblLayout w:type="fixed"/>
        <w:tblCellMar>
          <w:top w:w="0" w:type="dxa"/>
          <w:left w:w="0" w:type="dxa"/>
          <w:bottom w:w="28" w:type="dxa"/>
          <w:right w:w="0" w:type="dxa"/>
        </w:tblCellMar>
      </w:tblPr>
      <w:tblGrid>
        <w:gridCol w:w="2615"/>
        <w:gridCol w:w="1790"/>
        <w:gridCol w:w="4955"/>
      </w:tblGrid>
      <w:tr>
        <w:trPr/>
        <w:tc>
          <w:tcPr>
            <w:tcW w:w="261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type</w:t>
            </w:r>
          </w:p>
        </w:tc>
        <w:tc>
          <w:tcPr>
            <w:tcW w:w="179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Depreciation method</w:t>
            </w:r>
          </w:p>
        </w:tc>
        <w:tc>
          <w:tcPr>
            <w:tcW w:w="495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Depreciation term (estimated useful life)</w:t>
            </w:r>
          </w:p>
        </w:tc>
      </w:tr>
      <w:tr>
        <w:trPr/>
        <w:tc>
          <w:tcPr>
            <w:tcW w:w="2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Production facility</w:t>
            </w:r>
          </w:p>
        </w:tc>
        <w:tc>
          <w:tcPr>
            <w:tcW w:w="179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Straight-line</w:t>
            </w:r>
          </w:p>
        </w:tc>
        <w:tc>
          <w:tcPr>
            <w:tcW w:w="495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 – 30 years</w:t>
            </w:r>
          </w:p>
        </w:tc>
      </w:tr>
      <w:tr>
        <w:trPr/>
        <w:tc>
          <w:tcPr>
            <w:tcW w:w="261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Equipment</w:t>
            </w:r>
          </w:p>
        </w:tc>
        <w:tc>
          <w:tcPr>
            <w:tcW w:w="179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Straight-line</w:t>
            </w:r>
          </w:p>
        </w:tc>
        <w:tc>
          <w:tcPr>
            <w:tcW w:w="495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 25 years</w:t>
            </w:r>
          </w:p>
        </w:tc>
      </w:tr>
      <w:tr>
        <w:trPr/>
        <w:tc>
          <w:tcPr>
            <w:tcW w:w="2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1790" w:type="dxa"/>
            <w:tcBorders/>
            <w:shd w:fill="CCEE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Straight-line</w:t>
            </w:r>
          </w:p>
        </w:tc>
        <w:tc>
          <w:tcPr>
            <w:tcW w:w="4955" w:type="dxa"/>
            <w:tcBorders/>
            <w:shd w:fill="CCEE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Lesser of estimated useful life or lease term</w:t>
            </w:r>
          </w:p>
        </w:tc>
      </w:tr>
      <w:tr>
        <w:trPr/>
        <w:tc>
          <w:tcPr>
            <w:tcW w:w="2615" w:type="dxa"/>
            <w:tcBorders>
              <w:bottom w:val="single" w:sz="2" w:space="0" w:color="000000"/>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Finance lease right-of-use assets</w:t>
            </w:r>
          </w:p>
        </w:tc>
        <w:tc>
          <w:tcPr>
            <w:tcW w:w="1790" w:type="dxa"/>
            <w:tcBorders>
              <w:bottom w:val="single" w:sz="2" w:space="0" w:color="000000"/>
            </w:tcBorders>
            <w:shd w:fill="FFFFFF" w:val="cle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Straight-line</w:t>
            </w:r>
          </w:p>
        </w:tc>
        <w:tc>
          <w:tcPr>
            <w:tcW w:w="4955" w:type="dxa"/>
            <w:tcBorders>
              <w:bottom w:val="single" w:sz="2" w:space="0" w:color="000000"/>
            </w:tcBorders>
            <w:shd w:fill="FFFFFF" w:val="cle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Lesser of the lease term and the useful life of the leased asset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firstLine="180"/>
        <w:jc w:val="both"/>
        <w:rPr>
          <w:rFonts w:ascii="Times New Roman" w:hAnsi="Times New Roman"/>
          <w:i/>
          <w:caps w:val="false"/>
          <w:smallCaps w:val="false"/>
          <w:sz w:val="20"/>
        </w:rPr>
      </w:pPr>
      <w:r>
        <w:rPr>
          <w:rFonts w:ascii="Times New Roman" w:hAnsi="Times New Roman"/>
          <w:i/>
          <w:caps w:val="false"/>
          <w:smallCaps w:val="false"/>
          <w:sz w:val="20"/>
        </w:rPr>
        <w:t>Assets held for sale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classify capital assets that are available for immediate sale in their present condition, which the Company has approved the action or plan to sell, and the sale is probable within </w:t>
      </w:r>
      <w:r>
        <w:rPr>
          <w:rStyle w:val="Emphasis"/>
          <w:rFonts w:ascii="Times New Roman" w:hAnsi="Times New Roman"/>
          <w:caps w:val="false"/>
          <w:smallCaps w:val="false"/>
          <w:sz w:val="20"/>
        </w:rPr>
        <w:t>one</w:t>
      </w:r>
      <w:r>
        <w:rPr>
          <w:rFonts w:ascii="Times New Roman" w:hAnsi="Times New Roman"/>
          <w:caps w:val="false"/>
          <w:smallCaps w:val="false"/>
          <w:sz w:val="20"/>
        </w:rPr>
        <w:t> year, as assets held for sale.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the Company reported $2,449 in assets held for sale related to Atwater Brewing from its Beverage reporting unit,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(Capital assets). Assets held for sale are measured at the lower of carrying amount and the fair value less costs to sell, and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depreciated. Disposition of assets held for sale are recorded in the consolidated statement of net loss and comprehensive loss.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When there are changes in circumstances that were previously considered unlikely to occur, and it is decided </w:t>
      </w:r>
      <w:r>
        <w:rPr>
          <w:rStyle w:val="Emphasis"/>
          <w:rFonts w:ascii="Times New Roman" w:hAnsi="Times New Roman"/>
          <w:caps w:val="false"/>
          <w:smallCaps w:val="false"/>
          <w:sz w:val="20"/>
        </w:rPr>
        <w:t>not</w:t>
      </w:r>
      <w:r>
        <w:rPr>
          <w:rFonts w:ascii="Times New Roman" w:hAnsi="Times New Roman"/>
          <w:caps w:val="false"/>
          <w:smallCaps w:val="false"/>
          <w:sz w:val="20"/>
        </w:rPr>
        <w:t> to proceed with a sale, an asset that was previously classified as assets held for sale is reclassified as held and used. The asset is then remeasured at the lower of its carrying amount before being classified as held for sale less the amortization that would have occurred and the fair value on the date the decision </w:t>
      </w:r>
      <w:r>
        <w:rPr>
          <w:rStyle w:val="Emphasis"/>
          <w:rFonts w:ascii="Times New Roman" w:hAnsi="Times New Roman"/>
          <w:caps w:val="false"/>
          <w:smallCaps w:val="false"/>
          <w:sz w:val="20"/>
        </w:rPr>
        <w:t>not</w:t>
      </w:r>
      <w:r>
        <w:rPr>
          <w:rFonts w:ascii="Times New Roman" w:hAnsi="Times New Roman"/>
          <w:caps w:val="false"/>
          <w:smallCaps w:val="false"/>
          <w:sz w:val="20"/>
        </w:rPr>
        <w:t> to proceed with a sale was made. Changes in the carrying amount are recorded in the consolidated statement of net loss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Intangible assets are recorded at cost and amortized on a straight-line basis over the estimated useful lives. The Company uses the following ranges of asset lives:</w:t>
      </w:r>
    </w:p>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28" w:type="dxa"/>
          <w:right w:w="0" w:type="dxa"/>
        </w:tblCellMar>
      </w:tblPr>
      <w:tblGrid>
        <w:gridCol w:w="3785"/>
        <w:gridCol w:w="2120"/>
      </w:tblGrid>
      <w:tr>
        <w:trPr/>
        <w:tc>
          <w:tcPr>
            <w:tcW w:w="378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type</w:t>
            </w:r>
          </w:p>
        </w:tc>
        <w:tc>
          <w:tcPr>
            <w:tcW w:w="212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Amortization term</w:t>
            </w:r>
          </w:p>
        </w:tc>
      </w:tr>
      <w:tr>
        <w:trPr/>
        <w:tc>
          <w:tcPr>
            <w:tcW w:w="378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Customer relationships &amp; distribution channel</w:t>
            </w:r>
          </w:p>
        </w:tc>
        <w:tc>
          <w:tcPr>
            <w:tcW w:w="21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 – 16 years</w:t>
            </w:r>
          </w:p>
        </w:tc>
      </w:tr>
      <w:tr>
        <w:trPr/>
        <w:tc>
          <w:tcPr>
            <w:tcW w:w="378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Licences, permits &amp; applications</w:t>
            </w:r>
          </w:p>
        </w:tc>
        <w:tc>
          <w:tcPr>
            <w:tcW w:w="2120" w:type="dxa"/>
            <w:tcBorders/>
            <w:shd w:fill="FFFF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12 months – indefinite</w:t>
            </w:r>
          </w:p>
        </w:tc>
      </w:tr>
      <w:tr>
        <w:trPr/>
        <w:tc>
          <w:tcPr>
            <w:tcW w:w="378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trademarks &amp; brands</w:t>
            </w:r>
          </w:p>
        </w:tc>
        <w:tc>
          <w:tcPr>
            <w:tcW w:w="21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 months – 25 years</w:t>
            </w:r>
          </w:p>
        </w:tc>
      </w:tr>
      <w:tr>
        <w:trPr/>
        <w:tc>
          <w:tcPr>
            <w:tcW w:w="3785" w:type="dxa"/>
            <w:tcBorders/>
            <w:shd w:fill="FFFF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Non-compete agreements</w:t>
            </w:r>
          </w:p>
        </w:tc>
        <w:tc>
          <w:tcPr>
            <w:tcW w:w="2120" w:type="dxa"/>
            <w:tcBorders/>
            <w:shd w:fill="FFFFFF" w:val="clear"/>
            <w:tcMar>
              <w:bottom w:w="0" w:type="dxa"/>
            </w:tcM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Over term of non-compete</w:t>
            </w:r>
          </w:p>
        </w:tc>
      </w:tr>
      <w:tr>
        <w:trPr/>
        <w:tc>
          <w:tcPr>
            <w:tcW w:w="3785" w:type="dxa"/>
            <w:tcBorders>
              <w:bottom w:val="single" w:sz="2" w:space="0" w:color="000000"/>
            </w:tcBorders>
            <w:shd w:fill="CCEEFF" w:val="clear"/>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Know how</w:t>
            </w:r>
          </w:p>
        </w:tc>
        <w:tc>
          <w:tcPr>
            <w:tcW w:w="2120" w:type="dxa"/>
            <w:tcBorders>
              <w:bottom w:val="single" w:sz="2" w:space="0" w:color="000000"/>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years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Multi-year sports and other sponsorships rights are capitalized in Licenses, permits &amp; applications and are amortized over the life of the contract. </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reviews long-lived assets, including capital assets and definite life intangible assets for impairment whenever events or changes in circumstances indicate that the carrying value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determined using a market approach or income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Business combinations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business combinations using the acquisition method in accordance with Accounting Standards Codification,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which requires recognition of assets acquired and liabilities assumed, including contingent assets and liabilities, at their respective fair values on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Contingent consideration is measured at its acquisition-date fair value and included as part of the consideration transferred in a business combination. Contingent consideration that is classified as a liability is remeasured at subsequent reporting dates, with the corresponding gain or loss recognized in profit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Non-controlling interests in the acquiree are measured at fair value on acquisition date. Acquisition-related costs are recognized as expenses in the periods in which the costs are incurred and the services are received (except for the costs to issue debt or equity securities which are recognized according to specific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Purchase price allocations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preliminary and, during the measurement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of acquisition, changes in assumptions and estimates that result in adjustments to the fair value of assets acquired and liabilities assumed are recorded in the period the adjustments are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represents the excess of the consideration transferred for the acquisition of subsidiaries over the net of the acquisition-date amounts of the identifiable assets acquired and the liabilities assumed. Following initial recognition, goodwill is measured at cost less any accumulated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Impairment of goodwill and indefinite-lived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is allocated to the reporting unit in which the business that created the goodwill resides. A reporting unit is an operating segment, or a business unit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level below that operating segment, for which discrete financial information is prepared and regularly reviewed by segment management. We operate in four operating segments, which are our reporting units, and goodwill is allocated at the operating segment level. The Company reviews goodwill and indefinite-lived intangible assets annually for impairment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or more frequently if events or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performing its annual goodwill impairment test,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assesses qualitative factors including macroeconomic factors, industry trends, cost factors, overall financial performance and the Company’s share price and resultant market value capitalization in comparison to its book value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value. If further testing is required, the Company estimates the fair value of the reporting unit using valuation approaches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discounted cash flow, market, and asset-based methodologies. These analyses require significant judgment, including assumptions related to future cash flows, long-term growth rates, probability of anticipated EU and U.S. cannabis regulatory changes, profitability, and discount rates. If the carrying value of a reporting unit exceeds its fair value, an impairment charge is recognized for the amount by which the carrying value exceeds the reporting unit’s fair value,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the carrying amount of 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Arrangements containing leases are evaluated as an operating or finance lease at lease inception. For operating leases, the Company recognizes an operating lease right-of-use (“ROU”) asset and operating lease liability at lease commencement based on the present value of lease payments over the lease term. With the exception of certain finance leases, an implicit rate of return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for the Company's leases. For these leases, an incremental borrowing rate is used in determining the present value of lease payments and is calculated based on information available at the lease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incremental borrowing rate is determined using a portfolio approach based on the rate of interest the Company would have to pay to borrow funds on a collateralized basis over a similar term. The Company references market yield curves which are risk-adjusted to approximate a collateralized rate in the currency of the lease. These rates are updated on a quarterly basis for measurement of new lease obligations.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when it is reasonably certain that the option will be exercised. 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on the Company's consolidated statements of financial position. Operating lease assets are presented as right-of-use assets, and corresponding operating lease liabilities are presented within lease liabilities, on the Company’s consolidated statements of financial position. Finance lease assets are included in capital assets, and corresponding finance lease liabilities are included within current lease liabilities, on the Company’s consolidated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Long-term investments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Investments in equity securities of entities over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have a controlling financial interest or significant influence are classified as an equity investment and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an individual equity investment is less than its carrying value. Changes in value are recorded in the consolidated statement of net loss and comprehensive loss, within the line, “Non-operating income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Style w:val="Emphasis"/>
          <w:rFonts w:ascii="Times New Roman" w:hAnsi="Times New Roman"/>
          <w:sz w:val="20"/>
        </w:rPr>
        <w:t>76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Investments in entities over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controlling financial interest but has significant influence, are accounted for using the equity method, with the Company’s share of losses reported in loss from equity method investments on the statements of loss and comprehensive loss in "Other non-operating (losses) gains, net". Equity method investments are recorded at cost, plus the Company’s share of undistributed earnings or losses, and impairment, if any, within interest in equity investees on the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Convertible debentures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its convertible debentures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Debt with Conversion and Other Options</w:t>
      </w:r>
      <w:r>
        <w:rPr>
          <w:rFonts w:ascii="Times New Roman" w:hAnsi="Times New Roman"/>
          <w:caps w:val="false"/>
          <w:smallCaps w:val="false"/>
          <w:sz w:val="20"/>
        </w:rPr>
        <w:t xml:space="preserve">, whereby the convertible instrument is initially accounted for as a single unit of account, unless it contains a derivative that must be bifurcated from the host contract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Embedded Derivatives</w:t>
      </w:r>
      <w:r>
        <w:rPr>
          <w:rFonts w:ascii="Times New Roman" w:hAnsi="Times New Roman"/>
          <w:caps w:val="false"/>
          <w:smallCaps w:val="false"/>
          <w:sz w:val="20"/>
        </w:rPr>
        <w:t xml:space="preserve"> or the substantial premium model in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Debt with Conversion and Other Options </w:t>
      </w:r>
      <w:r>
        <w:rPr>
          <w:rFonts w:ascii="Times New Roman" w:hAnsi="Times New Roman"/>
          <w:caps w:val="false"/>
          <w:smallCaps w:val="false"/>
          <w:sz w:val="20"/>
        </w:rPr>
        <w:t>applies. Where the substantial premium model applies, the premium is recorded in additional paid-in capital. The resulting debt discount is amortized over the period during which the convertible notes are expected to be outstanding as additional non-cash interest expenses.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Upon repurchase of convertible debt instruments,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convertible debentures with an embedded conversion feature that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equity scope exception from derivative accounting 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the Company elected the fair value option under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Warrants are accounted for in accordance with applicable accounting guidance provided in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Contracts in Entity's Own Equity</w:t>
      </w:r>
      <w:r>
        <w:rPr>
          <w:rFonts w:ascii="Times New Roman" w:hAnsi="Times New Roman"/>
          <w:caps w:val="false"/>
          <w:smallCaps w:val="false"/>
          <w:sz w:val="20"/>
        </w:rPr>
        <w:t xml:space="preserve">, as either liabilities or as equity instruments depending on the specific terms of the warrant agreement. Warrants classified as liabilities are recorded at fair value and are remeasured at each reporting date until settlement. Changes in fair value are recognized as change in fair value of the warrant liability in the consolidated statements of loss and comprehensive loss. Transaction costs allocated to warrants that are presented as a liability are immediately expensed in the statements of loss and comprehensive loss. Warrants classified as equity instruments are initially recognized at fair value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subsequently remeasured.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is defined as the price that would be received to sell an asset or paid to transfer a liability in an orderly transaction between market participants at the measurement date. The carrying values of accounts receivable, prepaids and other current assets, bank indebtedness and accounts payable and accrued liabilities approximate their fair values due to their short periods to maturity. The Company calculates the estimated fair value of financial instruments, including convertible notes receivable, long-term investments, warrant liability, contingent consideration, and convertible debentures, using quoted market prices when available. When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fair value is determined based on valuation techniques using the best information available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quoted market prices, market comparable, and discounted cash flow projections.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recognized in the consolidated statements of loss and comprehensive loss and are comprised of current and deferred taxes. Current tax is recognized in connection with income for tax purposes, unrealized tax benefits and the recovery of tax paid in a prior period and measured using enacted tax rates and laws applicable to the taxation period during which the income for tax purposes arose. Deferred tax assets and liabilities are determined based on the differences between the financial reporting and the tax basis of assets and liabilities and are measured using the enacted tax rates and laws that will be in effect when the differences are expected to reverse. Management makes an assessment of the likelihood that a deferred tax asset will be realized, and a valuation allowance is provided to the extent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all or a portion of a deferred tax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recognizes uncertain income tax positions at the largest amount that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upon audit by the relevant tax authority. An uncertain income tax position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recognized if it has less than a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sustained. A change in the recognition or measurement of an unrealized tax benefit is reflected in the period during which the change occurs.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recognized when the control of the promised goods or services, through performance obligation, is transferred or provided to the customer in an amount that reflects the consideration we expect to be entitled to in exchange for the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Excise taxes remitted to tax authorities are government-imposed excise taxes on cannabis and beer. Excise taxes are recorded as a reduction of sales in net revenue in the consolidated statements of loss and comprehensive loss and recognized as a current liability within accounts payable and accrued liabilities on the consolidated balance sheets, with the liability subsequently reduced when the taxes are remitted to the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amounts disclosed as net revenue are net of excise taxes, sales tax, duty tax, allowances, discounts and rebates.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determining the transaction price for the sale of goods or services, the Company considers the effects of variable consideration and the existence of significant financing components,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enter into certain contracts for the sale of goods or services, which provide customers with rights of return, volume discounts, bonuses for volume/quality achievement, and/or sales allowances. In addition,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provide in certain circumstances, a retrospective price reduction to a customer based primarily on inventory movement. The inclusion of these items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give rise to variable consideration. The Company uses the expected value method to estimate the variable consideration because this method provides the most accurate estimation of the amount of variable consideration to which the Company will be entitled. The Company uses historical evidence, current information and forecasts to estimate the variable consideration. The Company reduces revenue and recognizes a contract liability, recorded in accounts receivable, net, equal to the amount expected to be refunded to the customer in the form of a future rebate or credit for a retrospective price reduction, representing its obligation to return the customer’s consideration. The estimate is updated at each reporting period date.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Cost of goods sold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goods sold represents costs directly related to manufacturing and distribution of the Company’s products. Primary costs include raw materials, packaging, direct labor, overhead, shipping and handling, the amortization of manufacturing equipment and production facilities and tariffs. Manufacturing overhead and related expenses include salaries, wages, employee benefits, utilities, maintenance and property taxes. Cost of goods sold also includes inventory valuation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are comprised primarily of (i) personnel related costs such as salaries, benefits, annual employee bonus expense and stock-based compensation costs; (ii) legal, accounting, consulting and other professional fees; and (iii) corporate insurance and other facilities costs associated with our corporate and administrative locations.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 xml:space="preserve">Selling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Selling expenses are comprised of direct selling costs which primarily consist of (i) commissions paid to our </w:t>
      </w:r>
      <w:r>
        <w:rPr>
          <w:rStyle w:val="Emphasis"/>
          <w:rFonts w:ascii="Times New Roman" w:hAnsi="Times New Roman"/>
          <w:caps w:val="false"/>
          <w:smallCaps w:val="false"/>
          <w:sz w:val="20"/>
        </w:rPr>
        <w:t>third</w:t>
      </w:r>
      <w:r>
        <w:rPr>
          <w:rFonts w:ascii="Times New Roman" w:hAnsi="Times New Roman"/>
          <w:caps w:val="false"/>
          <w:smallCaps w:val="false"/>
          <w:sz w:val="20"/>
        </w:rPr>
        <w:t>-party workforce, (ii) patient acquisition and maintenance fees, (iii) Health Canada’s cannabis fees and (iv) outbound freight.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Marketing and promotion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Marketing and promotion expenses are comprised primarily of marketing and advertising expenses.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costs are expensed as incurred. Research and development are comprised primarily of costs for clinical study costs, contracted research, consulting services, materials, supplies and other expenses incurred to sustain our overall research and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an omnibus plan which includes issuances of stock options, restricted stock units (“RSUs”) and stock appreciation rights (“SARs”). The Company estimates the fair value of stock options on the date of grant using the Black-Scholes option pricing model. The fair value of RSUs is based on the share price as at date of grant and no SARs were issued to date. The share-based compensation expense is based on the fair value of the stock-based awards at the grant date and the expense is recognized over the related service period following a straight-line vesting expense schedule. The Company estimates forfeitures at the time of grant and revises these estimates in subsequent periods if actual forfeitures differ from those estimates. Any revisions are recognized in the consolidated statements of loss and comprehensive loss such that the cumulative expense reflects the revised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Transaction (income) costs, net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expenses costs net of any gains directly attributable to business acquisitions and classifies these items as transaction (income) costs, net. These items include among other things, legal fees to complete the acquisition, financial advisor and due diligence costs, and transaction related compensation. These items are recognized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see Note </w:t>
      </w:r>
      <w:r>
        <w:rPr>
          <w:rStyle w:val="Emphasis"/>
          <w:rFonts w:ascii="Times New Roman" w:hAnsi="Times New Roman"/>
          <w:caps w:val="false"/>
          <w:smallCaps w:val="false"/>
          <w:sz w:val="20"/>
        </w:rPr>
        <w:t>16</w:t>
      </w:r>
      <w:r>
        <w:rPr>
          <w:rFonts w:ascii="Times New Roman" w:hAnsi="Times New Roman"/>
          <w:caps w:val="false"/>
          <w:smallCaps w:val="false"/>
          <w:sz w:val="20"/>
        </w:rPr>
        <w:t> (Convertible debentures payable) are excluded from the calculation of basic and diluted earnings per share because the borrower of the shares is required to refund any dividends paid on the shares lent under the share lending arrangement.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computing diluted earnings (loss) per share, common share equivalents are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in periods in which a net loss is reported, as the inclusion of the common share equivalents would be anti-dilutive. For the fiscal years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the dilutive potential common share equivalents outstanding consisted of the following: 7,583,186 and 2,132,358 common shares from RSUs, 303,148 and 303,139 common shares from share options, nil and 620,900 common shares for warrants and 3,314,080 and 3,954,802 common shares for convertible debentures, respectively. Current and prior year share amounts have been retrospectively adjusted to reflect the Reverse Stock Split, which became effective on </w:t>
      </w:r>
      <w:r>
        <w:rPr>
          <w:rStyle w:val="Emphasis"/>
          <w:rFonts w:ascii="Times New Roman" w:hAnsi="Times New Roman"/>
          <w:caps w:val="false"/>
          <w:smallCaps w:val="false"/>
          <w:sz w:val="20"/>
        </w:rPr>
        <w:t xml:space="preserve"> December 2,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Digital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Intangibles—Goodwill and Other—Crypto Assets (Subtopic </w:t>
      </w:r>
      <w:r>
        <w:rPr>
          <w:rStyle w:val="Emphasis"/>
          <w:rFonts w:ascii="Times New Roman" w:hAnsi="Times New Roman"/>
          <w:caps w:val="false"/>
          <w:smallCaps w:val="false"/>
          <w:sz w:val="20"/>
        </w:rPr>
        <w:t>350</w:t>
      </w:r>
      <w:r>
        <w:rPr>
          <w:rFonts w:ascii="Times New Roman" w:hAnsi="Times New Roman"/>
          <w:caps w:val="false"/>
          <w:smallCaps w:val="false"/>
          <w:sz w:val="20"/>
        </w:rPr>
        <w:t>-</w:t>
      </w:r>
      <w:r>
        <w:rPr>
          <w:rStyle w:val="Emphasis"/>
          <w:rFonts w:ascii="Times New Roman" w:hAnsi="Times New Roman"/>
          <w:caps w:val="false"/>
          <w:smallCaps w:val="false"/>
          <w:sz w:val="20"/>
        </w:rPr>
        <w:t>60</w:t>
      </w:r>
      <w:r>
        <w:rPr>
          <w:rFonts w:ascii="Times New Roman" w:hAnsi="Times New Roman"/>
          <w:caps w:val="false"/>
          <w:smallCaps w:val="false"/>
          <w:sz w:val="20"/>
        </w:rPr>
        <w:t>): Accounting for and Disclosure of Crypto Assets.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requires certain crypto assets to be measured at fair value separately on the balance sheet with gains and losses from changes in the fair value reported as unrealized gains or losses in the consolidated statement of income (loss) and comprehensive income (loss) each reporting period.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also enhances the other intangible asset disclosure requirements by requiring the name, cost basis, fair value, and number of units for each significant crypto asset holding. In conjunction with the acquisition of digital assets during the fiscal quarter ended </w:t>
      </w:r>
      <w:r>
        <w:rPr>
          <w:rStyle w:val="Emphasis"/>
          <w:rFonts w:ascii="Times New Roman" w:hAnsi="Times New Roman"/>
          <w:caps w:val="false"/>
          <w:smallCaps w:val="false"/>
          <w:sz w:val="20"/>
        </w:rPr>
        <w:t xml:space="preserve"> August 31, 2025, </w:t>
      </w:r>
      <w:r>
        <w:rPr>
          <w:rFonts w:ascii="Times New Roman" w:hAnsi="Times New Roman"/>
          <w:caps w:val="false"/>
          <w:smallCaps w:val="false"/>
          <w:sz w:val="20"/>
        </w:rPr>
        <w:t>the Company adopted and applied ASU-</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caps w:val="false"/>
          <w:smallCaps w:val="false"/>
          <w:sz w:val="20"/>
        </w:rPr>
        <w:t> henceforth.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Company's digital assets are initially recorded at cost, and are subsequently measured at fair value as of each reporting period. The Company determines the fair value of its digital assets in accordance with ASC </w:t>
      </w:r>
      <w:r>
        <w:rPr>
          <w:rStyle w:val="Emphasis"/>
          <w:rFonts w:ascii="Times New Roman" w:hAnsi="Times New Roman"/>
          <w:caps w:val="false"/>
          <w:smallCaps w:val="false"/>
          <w:sz w:val="20"/>
        </w:rPr>
        <w:t>820,</w:t>
      </w:r>
      <w:r>
        <w:rPr>
          <w:rFonts w:ascii="Times New Roman" w:hAnsi="Times New Roman"/>
          <w:caps w:val="false"/>
          <w:smallCaps w:val="false"/>
          <w:sz w:val="20"/>
        </w:rPr>
        <w:t> Fair Value Measurement, based on quoted prices in its principal market for Bitcoin (Level </w:t>
      </w:r>
      <w:r>
        <w:rPr>
          <w:rStyle w:val="Emphasis"/>
          <w:rFonts w:ascii="Times New Roman" w:hAnsi="Times New Roman"/>
          <w:caps w:val="false"/>
          <w:smallCaps w:val="false"/>
          <w:sz w:val="20"/>
        </w:rPr>
        <w:t>1</w:t>
      </w:r>
      <w:r>
        <w:rPr>
          <w:rFonts w:ascii="Times New Roman" w:hAnsi="Times New Roman"/>
          <w:caps w:val="false"/>
          <w:smallCaps w:val="false"/>
          <w:sz w:val="20"/>
        </w:rPr>
        <w:t>). Changes in fair value are recognized as incurred in the Company's consolidated statement of income (loss) and comprehensive income (loss), as “Unrealized (gain) loss on digital assets,” within non-operating (income) and expenses, net. Cash flows associated with the purchase and sale of digital assets are classified as investing activities in the Company's consolidated statements of cash flows.</w:t>
      </w:r>
    </w:p>
    <w:p>
      <w:pPr>
        <w:pStyle w:val="TextBody"/>
        <w:bidi w:val="0"/>
        <w:spacing w:before="0" w:after="0"/>
        <w:ind w:left="0" w:right="0" w:firstLine="180"/>
        <w:jc w:val="both"/>
        <w:rPr/>
      </w:pPr>
      <w:r>
        <w:rPr/>
        <w:t> </w:t>
      </w:r>
    </w:p>
    <w:p>
      <w:pPr>
        <w:pStyle w:val="TextBody"/>
        <w:bidi w:val="0"/>
        <w:spacing w:before="0" w:after="0"/>
        <w:ind w:left="0" w:right="0" w:firstLine="180"/>
        <w:jc w:val="center"/>
        <w:rPr/>
      </w:pPr>
      <w:r>
        <w:rPr>
          <w:rStyle w:val="Emphasis"/>
          <w:rFonts w:ascii="Times New Roman" w:hAnsi="Times New Roman"/>
          <w:sz w:val="20"/>
        </w:rPr>
        <w:t>80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Critical accounting estimates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these estimates. The estimates and underlying assumptions are reviewed on an ongoing basis. Revisions to accounting estimates are recognized prospectively.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Financial statement areas that require significant judgement and estimates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Estimated useful lives, impairment considerations and amortization of capital and intangible assets </w:t>
      </w:r>
      <w:r>
        <w:rPr>
          <w:rFonts w:ascii="Times New Roman" w:hAnsi="Times New Roman"/>
          <w:caps w:val="false"/>
          <w:smallCaps w:val="false"/>
          <w:sz w:val="20"/>
        </w:rPr>
        <w:t>– Amortization of capital and intangible assets is dependent upon estimates of useful lives based on management’s judgment.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and indefinite-lived intangible asset impairment testing require management to make estimates in the impairment testing model. On at least an annual basis, the Company tests whether goodwill and indefinite-lived intangible assets are impaired. Impairment of definite long-lived assets is influenced by judgment in defining a reporting unit and determining the indicators of impairment, and estimates used to measure impairment losses. Management uses significant judgement in assessing the qualitative factors to be considered in the qualitative goodwill impairment assessment, including macroeconomic factors, industry trends, cost factors, overall financial performance and the Company’s share price and resultant market value capitalization in comparison to its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reporting unit’s fair value is determined using discounted future cash flow models, which incorporate assumptions regarding future events, specifically future cash flows, growth rates, probability of anticipated EU and U.S. cannabis regulatory changes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i/>
          <w:caps w:val="false"/>
          <w:smallCaps w:val="false"/>
          <w:sz w:val="20"/>
        </w:rPr>
        <w:t xml:space="preserve">Business combinations </w:t>
      </w:r>
      <w:r>
        <w:rPr>
          <w:rFonts w:ascii="Times New Roman" w:hAnsi="Times New Roman"/>
          <w:caps w:val="false"/>
          <w:smallCaps w:val="false"/>
          <w:sz w:val="20"/>
        </w:rPr>
        <w:t xml:space="preserve">– Judgement is used in determining whether an acquisition is a business combination or an asset acquisition. Judgment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be required in determining the date on which control of an acquired business is obtained, particularly in situations involving pending regulatory approvals, licensing transfers or other administrative matters, where management must evaluate all relevant facts and circumstances to determine the acquisition date for accounting purposes. We use judgement in applying the acquisition method of accounting for business combinations and estimates to value contingent consideration, identifiable assets and liabilities assumed at the acquisition date. Estimates are used to determine cash flow projections, including the period of future benefit, and future growth and discount rates, among other factors. In certain circumstances, management also considers whether economic obsolescence or other market participant assumptions should be reflected in the valuation of acquired assets, including where external economic factors, market conditions, asset utilization, or the transaction price indicate that replacement cost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representative of acquisition-date fair value.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experts to assist in the valuation of material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60" w:right="0" w:firstLine="360"/>
        <w:jc w:val="both"/>
        <w:rPr/>
      </w:pPr>
      <w:r>
        <w:rPr>
          <w:rFonts w:ascii="Times New Roman" w:hAnsi="Times New Roman"/>
          <w:i/>
          <w:caps w:val="false"/>
          <w:smallCaps w:val="false"/>
          <w:sz w:val="20"/>
        </w:rPr>
        <w:t xml:space="preserve">New 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August 2023,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Business Combination - Joint Venture Formations (Subtopic </w:t>
      </w:r>
      <w:r>
        <w:rPr>
          <w:rStyle w:val="Emphasis"/>
          <w:rFonts w:ascii="Times New Roman" w:hAnsi="Times New Roman"/>
          <w:caps w:val="false"/>
          <w:smallCaps w:val="false"/>
          <w:sz w:val="20"/>
        </w:rPr>
        <w:t>805</w:t>
      </w:r>
      <w:r>
        <w:rPr>
          <w:rFonts w:ascii="Times New Roman" w:hAnsi="Times New Roman"/>
          <w:caps w:val="false"/>
          <w:smallCaps w:val="false"/>
          <w:sz w:val="20"/>
        </w:rPr>
        <w:t>-</w:t>
      </w:r>
      <w:r>
        <w:rPr>
          <w:rStyle w:val="Emphasis"/>
          <w:rFonts w:ascii="Times New Roman" w:hAnsi="Times New Roman"/>
          <w:caps w:val="false"/>
          <w:smallCaps w:val="false"/>
          <w:sz w:val="20"/>
        </w:rPr>
        <w:t>60</w:t>
      </w:r>
      <w:r>
        <w:rPr>
          <w:rFonts w:ascii="Times New Roman" w:hAnsi="Times New Roman"/>
          <w:caps w:val="false"/>
          <w:smallCaps w:val="false"/>
          <w:sz w:val="20"/>
        </w:rPr>
        <w:t>) Recognition and Initial Measurement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which is intended to address the accounting for contributions made to a joint venture.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is effective for the Company beginning </w:t>
      </w:r>
      <w:r>
        <w:rPr>
          <w:rStyle w:val="Emphasis"/>
          <w:rFonts w:ascii="Times New Roman" w:hAnsi="Times New Roman"/>
          <w:caps w:val="false"/>
          <w:smallCaps w:val="false"/>
          <w:sz w:val="20"/>
        </w:rPr>
        <w:t xml:space="preserve"> June 1, 2026. </w:t>
      </w:r>
      <w:r>
        <w:rPr>
          <w:rFonts w:ascii="Times New Roman" w:hAnsi="Times New Roman"/>
          <w:caps w:val="false"/>
          <w:smallCaps w:val="false"/>
          <w:sz w:val="20"/>
        </w:rPr>
        <w:t>This update will be applied prospectively and the Company is currently evaluating the effect of adopting this ASU.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Disaggregation of Income Statement Expenses, which requires disaggregated disclosure of income statement expenses for public business entities.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is effective for the Company beginning fiscal year ended </w:t>
      </w:r>
      <w:r>
        <w:rPr>
          <w:rStyle w:val="Emphasis"/>
          <w:rFonts w:ascii="Times New Roman" w:hAnsi="Times New Roman"/>
          <w:caps w:val="false"/>
          <w:smallCaps w:val="false"/>
          <w:sz w:val="20"/>
        </w:rPr>
        <w:t xml:space="preserve"> May 31, 2028 </w:t>
      </w:r>
      <w:r>
        <w:rPr>
          <w:rFonts w:ascii="Times New Roman" w:hAnsi="Times New Roman"/>
          <w:caps w:val="false"/>
          <w:smallCaps w:val="false"/>
          <w:sz w:val="20"/>
        </w:rPr>
        <w:t>and will be disclosed in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such period. The Company is currently evaluating the effect of adopting this ASU.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New accounting pronouncements recently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Debt with Conversion and Other Options (Subtopic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Induced Conversions of Convertible Debt Instruments, which seeks to clarify the requirements for determining whether certain settlements of convertible debt instruments should be accounted for as an induced conversion. The Company adopted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beginning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however, it did </w:t>
      </w:r>
      <w:r>
        <w:rPr>
          <w:rStyle w:val="Emphasis"/>
          <w:rFonts w:ascii="Times New Roman" w:hAnsi="Times New Roman"/>
          <w:caps w:val="false"/>
          <w:smallCaps w:val="false"/>
          <w:sz w:val="20"/>
        </w:rPr>
        <w:t>not</w:t>
      </w:r>
      <w:r>
        <w:rPr>
          <w:rFonts w:ascii="Times New Roman" w:hAnsi="Times New Roman"/>
          <w:caps w:val="false"/>
          <w:smallCaps w:val="false"/>
          <w:sz w:val="20"/>
        </w:rPr>
        <w:t> have any impact on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Improvements to Income Tax Disclosures, which requires public entities to disclose specific categories in the rate reconciliation and provide additional information for reconciling items that meet a quantitative threshold on an annual basis. We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 our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period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on a prospective basis,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(Income taxes and deferred income taxes).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30" w:type="dxa"/>
        <w:jc w:val="left"/>
        <w:tblInd w:w="0" w:type="dxa"/>
        <w:tblLayout w:type="fixed"/>
        <w:tblCellMar>
          <w:top w:w="0" w:type="dxa"/>
          <w:left w:w="0" w:type="dxa"/>
          <w:bottom w:w="0" w:type="dxa"/>
          <w:right w:w="0" w:type="dxa"/>
        </w:tblCellMar>
      </w:tblPr>
      <w:tblGrid>
        <w:gridCol w:w="170"/>
        <w:gridCol w:w="86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4.</w:t>
            </w:r>
          </w:p>
        </w:tc>
        <w:tc>
          <w:tcPr>
            <w:tcW w:w="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Inventory is comprised of:</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005"/>
        <w:gridCol w:w="60"/>
        <w:gridCol w:w="125"/>
        <w:gridCol w:w="695"/>
        <w:gridCol w:w="60"/>
        <w:gridCol w:w="60"/>
        <w:gridCol w:w="125"/>
        <w:gridCol w:w="695"/>
        <w:gridCol w:w="6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63,965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24,045</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Dried 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103,507</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derivatives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7,877</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Cannabis vapes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Packaging and other inventory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15,366</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Distribution 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38,735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Wellness inventory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15,527</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cost of goods sold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xml:space="preserve"> are $nil and $1,610 of fair value step up adjustments under purchase accounting (PPA) for beverage inventory sold during the course of the fiscal year,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425" w:type="dxa"/>
        <w:jc w:val="left"/>
        <w:tblInd w:w="0" w:type="dxa"/>
        <w:tblLayout w:type="fixed"/>
        <w:tblCellMar>
          <w:top w:w="0" w:type="dxa"/>
          <w:left w:w="0" w:type="dxa"/>
          <w:bottom w:w="0" w:type="dxa"/>
          <w:right w:w="0" w:type="dxa"/>
        </w:tblCellMar>
      </w:tblPr>
      <w:tblGrid>
        <w:gridCol w:w="170"/>
        <w:gridCol w:w="225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5.</w:t>
            </w:r>
          </w:p>
        </w:tc>
        <w:tc>
          <w:tcPr>
            <w:tcW w:w="22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normal course of business, the Company enters into related party transactions with certain entities under common control and joint ventures as detailed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Solana Life Group, S. de R.L.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13, 2025, </w:t>
      </w:r>
      <w:r>
        <w:rPr>
          <w:rFonts w:ascii="Times New Roman" w:hAnsi="Times New Roman"/>
          <w:caps w:val="false"/>
          <w:smallCaps w:val="false"/>
          <w:sz w:val="20"/>
        </w:rPr>
        <w:t xml:space="preserve">the Company entered into a strategic partnership for medical cannabis operations in Panama. Under this partnership, the Company holds a 25% equity interest in Solana Life Group, S. de R.L., a Panamanian entity. The joint venture is engaged in the importation, distribution, and commercialization of medical cannabis products in Panama. During the fiscal year ended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transactions with this entity.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RIKI Ventures, LLC</w:t>
      </w:r>
    </w:p>
    <w:p>
      <w:pPr>
        <w:pStyle w:val="TextBody"/>
        <w:bidi w:val="0"/>
        <w:spacing w:before="0" w:after="0"/>
        <w:ind w:left="2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entered into a strategic partnership on </w:t>
      </w:r>
      <w:r>
        <w:rPr>
          <w:rStyle w:val="Emphasis"/>
          <w:rFonts w:ascii="Times New Roman" w:hAnsi="Times New Roman"/>
          <w:caps w:val="false"/>
          <w:smallCaps w:val="false"/>
          <w:sz w:val="20"/>
        </w:rPr>
        <w:t>December 12, 2022 </w:t>
      </w:r>
      <w:r>
        <w:rPr>
          <w:rFonts w:ascii="Times New Roman" w:hAnsi="Times New Roman"/>
          <w:caps w:val="false"/>
          <w:smallCaps w:val="false"/>
          <w:sz w:val="20"/>
        </w:rPr>
        <w:t xml:space="preserve">with RIKI Ventures, LLC. in which the Company had a joint venture arrangement with a 50% ownership and voting interest. This venture was held by our craft beverage company Breckenridge. During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transactions with this entity and the Company dissolved its membership interest in RIKI Ventures, LLC. During the fiscal year ended </w:t>
      </w:r>
      <w:r>
        <w:rPr>
          <w:rStyle w:val="Emphasis"/>
          <w:rFonts w:ascii="Times New Roman" w:hAnsi="Times New Roman"/>
          <w:caps w:val="false"/>
          <w:smallCaps w:val="false"/>
          <w:sz w:val="20"/>
        </w:rPr>
        <w:t>May 31, 2026, </w:t>
      </w:r>
      <w:r>
        <w:rPr>
          <w:rFonts w:ascii="Times New Roman" w:hAnsi="Times New Roman"/>
          <w:caps w:val="false"/>
          <w:smallCaps w:val="false"/>
          <w:sz w:val="20"/>
        </w:rPr>
        <w:t>as a result of the sold membership interest, RIKI Ventures paid a termination fee of $77 that was recorded within the Consolidated Statement of Loss, within other non-operating (losses) gains,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also has the following related party employment arrangements. Benjamin Persofsky (son of Director, Renah Persofsky) is employed as Senior Legal Counsel in the Company’s legal department. Garrett Simon (son of Irwin Simon) is employed in the Company’s beverage marketing group. In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 Mr. Persofsky earned total compensation equal to $130 and (ii) Mr. Simon earned total compensation equal to £90 ($127). Their respective compensation amounts are commensurate with that of similarly situated employees at other companies. The Company’s Board of Directors, through its Audit Committee, reviewed and approved these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jc w:val="left"/>
        <w:rPr/>
      </w:pPr>
      <w:r>
        <w:rPr/>
        <w:t xml:space="preserve">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6.</w:t>
            </w:r>
          </w:p>
        </w:tc>
        <w:tc>
          <w:tcPr>
            <w:tcW w:w="11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Capital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Capital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2660"/>
        <w:gridCol w:w="60"/>
        <w:gridCol w:w="125"/>
        <w:gridCol w:w="755"/>
        <w:gridCol w:w="80"/>
        <w:gridCol w:w="60"/>
        <w:gridCol w:w="125"/>
        <w:gridCol w:w="755"/>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44,529</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407,650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280,585</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20,415</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40,308</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11,241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968,896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804,728</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(288,671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(236,295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performs ongoing impairment assessments whenever events or changes in circumstances indicate that the carrying amount of an asset group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During the fiscal years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2025</w:t>
      </w:r>
      <w:r>
        <w:rPr>
          <w:rFonts w:ascii="Times New Roman" w:hAnsi="Times New Roman"/>
          <w:caps w:val="false"/>
          <w:smallCaps w:val="false"/>
          <w:sz w:val="20"/>
        </w:rPr>
        <w:t>, after completing an assessment for indicators of impairment, it was determined that the asset groups were recoverable and as a result there were $nil impairments during the respective fiscal years.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Assets held for sale consisted of the following:</w:t>
      </w:r>
    </w:p>
    <w:p>
      <w:pPr>
        <w:pStyle w:val="TextBody"/>
        <w:bidi w:val="0"/>
        <w:spacing w:before="0" w:after="0"/>
        <w:ind w:left="160" w:right="0" w:hanging="0"/>
        <w:jc w:val="left"/>
        <w:rPr>
          <w:caps w:val="false"/>
          <w:smallCaps w:val="false"/>
        </w:rPr>
      </w:pPr>
      <w:r>
        <w:rPr>
          <w:caps w:val="false"/>
          <w:smallCaps w:val="false"/>
        </w:rPr>
        <w:t> </w:t>
      </w:r>
    </w:p>
    <w:tbl>
      <w:tblPr>
        <w:tblW w:w="4453" w:type="dxa"/>
        <w:jc w:val="left"/>
        <w:tblInd w:w="0" w:type="dxa"/>
        <w:tblLayout w:type="fixed"/>
        <w:tblCellMar>
          <w:top w:w="0" w:type="dxa"/>
          <w:left w:w="0" w:type="dxa"/>
          <w:bottom w:w="0" w:type="dxa"/>
          <w:right w:w="0" w:type="dxa"/>
        </w:tblCellMar>
      </w:tblPr>
      <w:tblGrid>
        <w:gridCol w:w="2825"/>
        <w:gridCol w:w="60"/>
        <w:gridCol w:w="142"/>
        <w:gridCol w:w="552"/>
        <w:gridCol w:w="60"/>
        <w:gridCol w:w="60"/>
        <w:gridCol w:w="142"/>
        <w:gridCol w:w="552"/>
        <w:gridCol w:w="6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facilities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31, 2025, </w:t>
      </w:r>
      <w:r>
        <w:rPr>
          <w:rFonts w:ascii="Times New Roman" w:hAnsi="Times New Roman"/>
          <w:caps w:val="false"/>
          <w:smallCaps w:val="false"/>
          <w:sz w:val="20"/>
        </w:rPr>
        <w:t xml:space="preserve">the Company classified $5,800 of the Fort Collins, CO partially vacant warehouse facility from its Cannabis reporting segment as assets held for sale. During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completed the sale of the Fort Collins asset group. The loss on the disposition of the Fort Collins asset group was recorded in the consolidated statement of net loss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Additionally, during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classified the assets of Atwater Brewing, with a carrying value of $2,449 from its Beverage reporting unit, as assets held for sale. These assets were acquired on </w:t>
      </w:r>
      <w:r>
        <w:rPr>
          <w:rStyle w:val="Emphasis"/>
          <w:rFonts w:ascii="Times New Roman" w:hAnsi="Times New Roman"/>
          <w:caps w:val="false"/>
          <w:smallCaps w:val="false"/>
          <w:sz w:val="20"/>
        </w:rPr>
        <w:t>September 1, 2024</w:t>
      </w:r>
      <w:r>
        <w:rPr>
          <w:rFonts w:ascii="Times New Roman" w:hAnsi="Times New Roman"/>
          <w:caps w:val="false"/>
          <w:smallCaps w:val="false"/>
          <w:sz w:val="20"/>
        </w:rPr>
        <w:t> as part of the transaction referred to as “Craft Acquisition II.” Following management’s assessment of facility utilizations, it was determined that such assets would be held for sale. Assets held for sale are measured at the lower of carrying amount and the fair value less costs to sell and are </w:t>
      </w:r>
      <w:r>
        <w:rPr>
          <w:rStyle w:val="Emphasis"/>
          <w:rFonts w:ascii="Times New Roman" w:hAnsi="Times New Roman"/>
          <w:caps w:val="false"/>
          <w:smallCaps w:val="false"/>
          <w:sz w:val="20"/>
        </w:rPr>
        <w:t>no</w:t>
      </w:r>
      <w:r>
        <w:rPr>
          <w:rFonts w:ascii="Times New Roman" w:hAnsi="Times New Roman"/>
          <w:caps w:val="false"/>
          <w:smallCaps w:val="false"/>
          <w:sz w:val="20"/>
        </w:rPr>
        <w:t> longer depreciated. Changes in the carrying amount are recorded in the consolidated statement of net loss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805" w:type="dxa"/>
        <w:jc w:val="left"/>
        <w:tblInd w:w="0" w:type="dxa"/>
        <w:tblLayout w:type="fixed"/>
        <w:tblCellMar>
          <w:top w:w="0" w:type="dxa"/>
          <w:left w:w="0" w:type="dxa"/>
          <w:bottom w:w="0" w:type="dxa"/>
          <w:right w:w="0" w:type="dxa"/>
        </w:tblCellMar>
      </w:tblPr>
      <w:tblGrid>
        <w:gridCol w:w="170"/>
        <w:gridCol w:w="63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7.</w:t>
            </w:r>
          </w:p>
        </w:tc>
        <w:tc>
          <w:tcPr>
            <w:tcW w:w="6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Leases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operating leases for facilities, office spaces, production equipment and vehicles.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Leases have varying terms with remaining lease terms of up to approximately 30 years. Certain of our lease arrangements provide us with the option to extend or to terminate the lease early.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presents the lease-related assets and liabilities recorded on the balance sheet.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3590"/>
        <w:gridCol w:w="2900"/>
        <w:gridCol w:w="60"/>
        <w:gridCol w:w="125"/>
        <w:gridCol w:w="695"/>
        <w:gridCol w:w="60"/>
        <w:gridCol w:w="60"/>
        <w:gridCol w:w="125"/>
        <w:gridCol w:w="590"/>
        <w:gridCol w:w="60"/>
      </w:tblGrid>
      <w:tr>
        <w:trPr/>
        <w:tc>
          <w:tcPr>
            <w:tcW w:w="3590"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ind w:left="0" w:right="0" w:hanging="0"/>
              <w:jc w:val="left"/>
              <w:rPr/>
            </w:pPr>
            <w:r>
              <w:rPr/>
              <w:t> </w:t>
            </w:r>
          </w:p>
        </w:tc>
        <w:tc>
          <w:tcPr>
            <w:tcW w:w="29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Classification on Balance Sheet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Capital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40,308</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22,279</w:t>
            </w:r>
          </w:p>
        </w:tc>
        <w:tc>
          <w:tcPr>
            <w:tcW w:w="60" w:type="dxa"/>
            <w:tcBorders/>
            <w:shd w:fill="CCEEFF" w:val="clear"/>
            <w:vAlign w:val="center"/>
          </w:tcPr>
          <w:p>
            <w:pPr>
              <w:pStyle w:val="TableContents"/>
              <w:bidi w:val="0"/>
              <w:spacing w:before="0" w:after="283"/>
              <w:jc w:val="left"/>
              <w:rPr/>
            </w:pPr>
            <w:r>
              <w:rPr/>
              <w:t> </w:t>
            </w:r>
          </w:p>
        </w:tc>
      </w:tr>
      <w:tr>
        <w:trPr/>
        <w:tc>
          <w:tcPr>
            <w:tcW w:w="6490"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62,587</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290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290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20,630</w:t>
            </w:r>
          </w:p>
        </w:tc>
        <w:tc>
          <w:tcPr>
            <w:tcW w:w="60" w:type="dxa"/>
            <w:tcBorders/>
            <w:shd w:fill="CCEEFF" w:val="clear"/>
            <w:vAlign w:val="center"/>
          </w:tcPr>
          <w:p>
            <w:pPr>
              <w:pStyle w:val="TableContents"/>
              <w:bidi w:val="0"/>
              <w:spacing w:before="0" w:after="283"/>
              <w:jc w:val="left"/>
              <w:rPr/>
            </w:pPr>
            <w:r>
              <w:rPr/>
              <w:t> </w:t>
            </w:r>
          </w:p>
        </w:tc>
      </w:tr>
      <w:tr>
        <w:trPr/>
        <w:tc>
          <w:tcPr>
            <w:tcW w:w="6490"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the Company had $4,980 of operating lease expenses, which included an offset of $nil for sublease income. For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the Company had $3,453 of operating lease expenses, which included an offset of $761 for sublease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Included in the total lease liabilities is $985 related to disposal groups classified as held for sale. See Note </w:t>
      </w:r>
      <w:r>
        <w:rPr>
          <w:rStyle w:val="Emphasis"/>
          <w:rFonts w:ascii="Times New Roman" w:hAnsi="Times New Roman"/>
          <w:caps w:val="false"/>
          <w:smallCaps w:val="false"/>
          <w:sz w:val="20"/>
        </w:rPr>
        <w:t>6</w:t>
      </w:r>
      <w:r>
        <w:rPr>
          <w:rFonts w:ascii="Times New Roman" w:hAnsi="Times New Roman"/>
          <w:caps w:val="false"/>
          <w:smallCaps w:val="false"/>
          <w:sz w:val="20"/>
        </w:rPr>
        <w:t>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presents the future undiscounted payments associated with lease liabilities 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w:t>
      </w:r>
    </w:p>
    <w:p>
      <w:pPr>
        <w:pStyle w:val="TextBody"/>
        <w:bidi w:val="0"/>
        <w:spacing w:before="0" w:after="0"/>
        <w:ind w:left="0" w:right="0" w:firstLine="660"/>
        <w:jc w:val="both"/>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555"/>
        <w:gridCol w:w="60"/>
        <w:gridCol w:w="138"/>
        <w:gridCol w:w="722"/>
        <w:gridCol w:w="80"/>
        <w:gridCol w:w="60"/>
        <w:gridCol w:w="125"/>
        <w:gridCol w:w="695"/>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19,067</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19,067</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18,919</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148,357</w:t>
            </w:r>
          </w:p>
        </w:tc>
        <w:tc>
          <w:tcPr>
            <w:tcW w:w="80" w:type="dxa"/>
            <w:tcBorders/>
            <w:shd w:fill="CCEEFF" w:val="clear"/>
            <w:vAlign w:val="center"/>
          </w:tcPr>
          <w:p>
            <w:pPr>
              <w:pStyle w:val="TableContents"/>
              <w:bidi w:val="0"/>
              <w:spacing w:before="0" w:after="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224,093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(99,306</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recognized</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8.</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Intangible assets are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1"/>
        <w:gridCol w:w="60"/>
        <w:gridCol w:w="516"/>
        <w:gridCol w:w="2011"/>
        <w:gridCol w:w="80"/>
        <w:gridCol w:w="60"/>
        <w:gridCol w:w="344"/>
        <w:gridCol w:w="1633"/>
        <w:gridCol w:w="80"/>
        <w:gridCol w:w="60"/>
        <w:gridCol w:w="475"/>
        <w:gridCol w:w="2247"/>
        <w:gridCol w:w="80"/>
        <w:gridCol w:w="60"/>
        <w:gridCol w:w="125"/>
        <w:gridCol w:w="650"/>
        <w:gridCol w:w="83"/>
      </w:tblGrid>
      <w:tr>
        <w:trPr/>
        <w:tc>
          <w:tcPr>
            <w:tcW w:w="1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Customer relationships &amp; distribution channel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Licenses, permits &amp; applications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Intellectual property, trademarks, knowhow &amp; brands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3" w:type="dxa"/>
            <w:tcBorders/>
            <w:shd w:fill="FFFFFF" w:val="clear"/>
            <w:vAlign w:val="center"/>
          </w:tcPr>
          <w:p>
            <w:pPr>
              <w:pStyle w:val="TableContents"/>
              <w:bidi w:val="0"/>
              <w:spacing w:before="0" w:after="283"/>
              <w:jc w:val="left"/>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47"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r>
      <w:tr>
        <w:trPr/>
        <w:tc>
          <w:tcPr>
            <w:tcW w:w="16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57,999</w:t>
            </w:r>
          </w:p>
        </w:tc>
        <w:tc>
          <w:tcPr>
            <w:tcW w:w="83" w:type="dxa"/>
            <w:tcBorders/>
            <w:shd w:fill="CCEEFF" w:val="clear"/>
            <w:vAlign w:val="center"/>
          </w:tcPr>
          <w:p>
            <w:pPr>
              <w:pStyle w:val="TableContents"/>
              <w:bidi w:val="0"/>
              <w:spacing w:before="0" w:after="283"/>
              <w:jc w:val="left"/>
              <w:rPr/>
            </w:pPr>
            <w:r>
              <w:rPr/>
              <w:t> </w:t>
            </w:r>
          </w:p>
        </w:tc>
      </w:tr>
      <w:tr>
        <w:trPr/>
        <w:tc>
          <w:tcPr>
            <w:tcW w:w="16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42,779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also has the following intangible assets which have been fully impaired; $444,208 of customer relationships and distribution channels, $367,022 of licenses, permits and applications, and $452,530 of intellectual property, trademarks, know-how and brands.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2"/>
        <w:gridCol w:w="60"/>
        <w:gridCol w:w="275"/>
        <w:gridCol w:w="1665"/>
        <w:gridCol w:w="80"/>
        <w:gridCol w:w="60"/>
        <w:gridCol w:w="234"/>
        <w:gridCol w:w="1424"/>
        <w:gridCol w:w="80"/>
        <w:gridCol w:w="60"/>
        <w:gridCol w:w="223"/>
        <w:gridCol w:w="1169"/>
        <w:gridCol w:w="80"/>
        <w:gridCol w:w="60"/>
        <w:gridCol w:w="277"/>
        <w:gridCol w:w="1681"/>
        <w:gridCol w:w="80"/>
        <w:gridCol w:w="60"/>
        <w:gridCol w:w="125"/>
        <w:gridCol w:w="905"/>
        <w:gridCol w:w="85"/>
      </w:tblGrid>
      <w:tr>
        <w:trPr/>
        <w:tc>
          <w:tcPr>
            <w:tcW w:w="1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Customer relationships &amp; distribution channel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Licenses, permits &amp; applications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Non-compete agreements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Intellectual property, trademarks, knowhow &amp; brands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5" w:type="dxa"/>
            <w:tcBorders/>
            <w:shd w:fill="FFFFFF" w:val="clear"/>
            <w:vAlign w:val="center"/>
          </w:tcPr>
          <w:p>
            <w:pPr>
              <w:pStyle w:val="TableContents"/>
              <w:bidi w:val="0"/>
              <w:spacing w:before="0" w:after="283"/>
              <w:jc w:val="left"/>
              <w:rPr/>
            </w:pPr>
            <w:r>
              <w:rPr/>
              <w:t> </w:t>
            </w:r>
          </w:p>
        </w:tc>
      </w:tr>
      <w:tr>
        <w:trPr/>
        <w:tc>
          <w:tcPr>
            <w:tcW w:w="1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15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1,628,441</w:t>
            </w:r>
          </w:p>
        </w:tc>
        <w:tc>
          <w:tcPr>
            <w:tcW w:w="85" w:type="dxa"/>
            <w:tcBorders/>
            <w:shd w:fill="CCEEFF" w:val="clear"/>
            <w:vAlign w:val="center"/>
          </w:tcPr>
          <w:p>
            <w:pPr>
              <w:pStyle w:val="TableContents"/>
              <w:bidi w:val="0"/>
              <w:spacing w:before="0" w:after="283"/>
              <w:jc w:val="left"/>
              <w:rPr/>
            </w:pPr>
            <w:r>
              <w:rPr/>
              <w:t> </w:t>
            </w:r>
          </w:p>
        </w:tc>
      </w:tr>
      <w:tr>
        <w:trPr/>
        <w:tc>
          <w:tcPr>
            <w:tcW w:w="15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1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(343,258</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(1,263,760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21,423</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included in licenses, permits &amp; applications are multi-period sponsorship rights of $18,783 and $nil of indefinite-lived intangible assets compared to $15,047 and $nil as of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respectively.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(Significant accounting policies) for additional details.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indefinite-lived intangible assets were fully impaired in prior periods and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remaining carrying value as of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Company performed the annual impairment test on its finite-lived intangible assets, management assessed for asset specific indicators of impairment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and determined there were </w:t>
      </w:r>
      <w:r>
        <w:rPr>
          <w:rStyle w:val="Emphasis"/>
          <w:rFonts w:ascii="Times New Roman" w:hAnsi="Times New Roman"/>
          <w:caps w:val="false"/>
          <w:smallCaps w:val="false"/>
          <w:sz w:val="20"/>
        </w:rPr>
        <w:t>no</w:t>
      </w:r>
      <w:r>
        <w:rPr>
          <w:rFonts w:ascii="Times New Roman" w:hAnsi="Times New Roman"/>
          <w:caps w:val="false"/>
          <w:smallCaps w:val="false"/>
          <w:sz w:val="20"/>
        </w:rPr>
        <w:t> impairments to finite-lived intangible assets during the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the Company recorded non-cash impairments of $334,207 related to its finite-lived customer relationships &amp; distribution channel, $186,649 related to its licenses, permits &amp; applications, which were considered indefinite-lived intangible assets and $327,059 related to its finite-lived intellectual property, trademarks, knowhow &amp; brands. This impairment charge resulted in a corresponding income tax recovery of $121,436, resulting in the corresponding reduction in deferred tax liabilities. In calculating the impairment charge, using an income approach, the Company used a discount rate of 10.00%-14.50%, a terminal growth rate of 2%, and an average revenue growth rate of 5%-30% over 5 years to correlate with the cash flows anticipated with the individual intangible assets that were assessed. A reasonably possible change in any of the inputs within the determination of fair value would </w:t>
      </w:r>
      <w:r>
        <w:rPr>
          <w:rStyle w:val="Emphasis"/>
          <w:rFonts w:ascii="Times New Roman" w:hAnsi="Times New Roman"/>
          <w:caps w:val="false"/>
          <w:smallCaps w:val="false"/>
          <w:sz w:val="20"/>
        </w:rPr>
        <w:t>not</w:t>
      </w:r>
      <w:r>
        <w:rPr>
          <w:rFonts w:ascii="Times New Roman" w:hAnsi="Times New Roman"/>
          <w:caps w:val="false"/>
          <w:smallCaps w:val="false"/>
          <w:sz w:val="20"/>
        </w:rPr>
        <w:t> result in a material change to the impairment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there were no impairments to indefinite-lived intangible assets.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86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Estimated amortization expense for each of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succeeding fiscal years and thereafter is as follows:</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845"/>
        <w:gridCol w:w="60"/>
        <w:gridCol w:w="194"/>
        <w:gridCol w:w="921"/>
        <w:gridCol w:w="60"/>
      </w:tblGrid>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13,563</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13,563</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42,779</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170"/>
        <w:gridCol w:w="1865"/>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9.</w:t>
            </w:r>
          </w:p>
        </w:tc>
        <w:tc>
          <w:tcPr>
            <w:tcW w:w="18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Business Acquisitions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Acquisition of Craft Beverage Business Portfolio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Effective </w:t>
      </w:r>
      <w:r>
        <w:rPr>
          <w:rStyle w:val="Emphasis"/>
          <w:rFonts w:ascii="Times New Roman" w:hAnsi="Times New Roman"/>
          <w:caps w:val="false"/>
          <w:smallCaps w:val="false"/>
          <w:sz w:val="20"/>
        </w:rPr>
        <w:t xml:space="preserve"> September 1, 2024, </w:t>
      </w:r>
      <w:r>
        <w:rPr>
          <w:rFonts w:ascii="Times New Roman" w:hAnsi="Times New Roman"/>
          <w:caps w:val="false"/>
          <w:smallCaps w:val="false"/>
          <w:sz w:val="20"/>
        </w:rPr>
        <w:t>the Company acquired four craft beer brands and breweries from Molson Coors Beverage Company (“Molson”) including Atwater Brewery, Hop Valley Brewing Company, Terrapin Beer Co., and Revolver Brewing (the “Craft Acquisition II”). The purpose of the acquisition was to continue broadening Tilray’s beverage brand strategy. In consideration for the acquisition, the Company paid a total purchase price of $22,979 in cash, which was subject to certain customary post-closing working capital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summarizes the fair value of the assets acquired and the liabilities assumed for the Craft Acquisition II at the effective acquisition date as follows:</w:t>
      </w:r>
    </w:p>
    <w:p>
      <w:pPr>
        <w:pStyle w:val="TextBody"/>
        <w:bidi w:val="0"/>
        <w:spacing w:before="0" w:after="0"/>
        <w:ind w:left="0" w:right="0" w:firstLine="720"/>
        <w:jc w:val="both"/>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3770"/>
        <w:gridCol w:w="60"/>
        <w:gridCol w:w="125"/>
        <w:gridCol w:w="590"/>
        <w:gridCol w:w="6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22,979</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4,869</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6,844</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20,916</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38,560</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11,828</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 - 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15,581</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event that the Craft Acquisition II had occurred on </w:t>
      </w:r>
      <w:r>
        <w:rPr>
          <w:rStyle w:val="Emphasis"/>
          <w:rFonts w:ascii="Times New Roman" w:hAnsi="Times New Roman"/>
          <w:caps w:val="false"/>
          <w:smallCaps w:val="false"/>
          <w:sz w:val="20"/>
        </w:rPr>
        <w:t xml:space="preserve"> June 1, 2024, </w:t>
      </w:r>
      <w:r>
        <w:rPr>
          <w:rFonts w:ascii="Times New Roman" w:hAnsi="Times New Roman"/>
          <w:caps w:val="false"/>
          <w:smallCaps w:val="false"/>
          <w:sz w:val="20"/>
        </w:rPr>
        <w:t xml:space="preserve">the Company would have had, on an unaudited proforma basis, additional net revenue of approximately $nil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and approximately $13,700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its net loss and comprehensive net loss would have increased by approximately $nil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and $5,500 for the fiscal year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reflect the realization of any expected ongoing synergies relating to the integration of the Craft Acquisition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i/>
          <w:caps w:val="false"/>
          <w:smallCaps w:val="false"/>
          <w:sz w:val="20"/>
        </w:rPr>
      </w:pPr>
      <w:r>
        <w:rPr>
          <w:rFonts w:ascii="Times New Roman" w:hAnsi="Times New Roman"/>
          <w:i/>
          <w:caps w:val="false"/>
          <w:smallCaps w:val="false"/>
          <w:sz w:val="20"/>
        </w:rPr>
        <w:t>Acquisition of BrewDog</w:t>
      </w:r>
    </w:p>
    <w:p>
      <w:pPr>
        <w:pStyle w:val="TextBody"/>
        <w:bidi w:val="0"/>
        <w:spacing w:before="0" w:after="0"/>
        <w:ind w:left="160" w:right="0" w:hanging="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BrewDog UK 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 2026, </w:t>
      </w:r>
      <w:r>
        <w:rPr>
          <w:rFonts w:ascii="Times New Roman" w:hAnsi="Times New Roman"/>
          <w:caps w:val="false"/>
          <w:smallCaps w:val="false"/>
          <w:sz w:val="20"/>
        </w:rPr>
        <w:t>Tilray Brands UK Ltd (“Tilray UK”), a wholly owned subsidiary of the Company, entered into a Business and Asset Sale Agreement (the “BrewDog BASA”). Under the BrewDog BASA, Tilray UK acquired certain business operations and assets of BrewDog plc and certain of its subsidiary undertakings (collectively, the “BrewDog Group”) through a pre-packaged administration process in Scotland under the Insolvency Act </w:t>
      </w:r>
      <w:r>
        <w:rPr>
          <w:rStyle w:val="Emphasis"/>
          <w:rFonts w:ascii="Times New Roman" w:hAnsi="Times New Roman"/>
          <w:caps w:val="false"/>
          <w:smallCaps w:val="false"/>
          <w:sz w:val="20"/>
        </w:rPr>
        <w:t>1986,</w:t>
      </w:r>
      <w:r>
        <w:rPr>
          <w:rFonts w:ascii="Times New Roman" w:hAnsi="Times New Roman"/>
          <w:caps w:val="false"/>
          <w:smallCaps w:val="false"/>
          <w:sz w:val="20"/>
        </w:rPr>
        <w:t> with the intent for Tilray UK to carry on the acquired business operations and assets as a going concern. The assets acquired included the brewery and distillery located in Ellon, Aberdeenshire, Scotland (the “UK Brewery”), the on-line business, the retail business, 11 of the BrewDog strategic pubs in Scotland, England and Ireland and all the world-wide intellectual property rights relating to the BrewDog brand, including sub-brands such as Punk IPA, Hazy Jane, Wingman, Elvis Juice and Dead Pony Club. The purpose of the acquisition is to broaden Tilray’s beverage brand strategy into international markets. In consideration for the acquisition, the Company paid a total cash purchase price of £33,000 ($44,220).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BrewDog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9, 2026, </w:t>
      </w:r>
      <w:r>
        <w:rPr>
          <w:rFonts w:ascii="Times New Roman" w:hAnsi="Times New Roman"/>
          <w:caps w:val="false"/>
          <w:smallCaps w:val="false"/>
          <w:sz w:val="20"/>
        </w:rPr>
        <w:t>the Company acquired BrewDog Brewing Australia Pty Ltd., which included BrewDog’s Australian brewery, along with two hospitality venues in Australia. The purpose of the acquisition is to continue broadening Tilray’s beverage brand strategy into international markets. In consideration for the acquisition, the Company paid nominal consideration.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BrewDog UK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23, 2026, </w:t>
      </w:r>
      <w:r>
        <w:rPr>
          <w:rFonts w:ascii="Times New Roman" w:hAnsi="Times New Roman"/>
          <w:caps w:val="false"/>
          <w:smallCaps w:val="false"/>
          <w:sz w:val="20"/>
        </w:rPr>
        <w:t>the Company acquired 5 additional BrewDog pubs in Scotland and England. The purpose of the acquisition is to broaden Tilray’s beverage brand strategy into international markets. In consideration for the acquisition, the Company paid a total purchase price of £418 ($560).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BrewDog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16, 2026, </w:t>
      </w:r>
      <w:r>
        <w:rPr>
          <w:rFonts w:ascii="Times New Roman" w:hAnsi="Times New Roman"/>
          <w:caps w:val="false"/>
          <w:smallCaps w:val="false"/>
          <w:sz w:val="20"/>
        </w:rPr>
        <w:t xml:space="preserve">Tilray BrewDog U.S., Inc., a wholly-owned subsidiary of the Company, entered into an asset purchase agreement to acquire certain strategic BrewDog assets in the U.S., including a brewery, pub, and hotel in Columbus, Ohio, as well as pubs located in New Albany, Ohio, Cleveland, Ohio, and Las Vegas, Nevada. The Company obtained control of the acquired assets and assumed liabilities on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which represents the acquisition date for accounting purposes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notwithstanding certain regulatory approvals that remained pending as of that date. The purpose of the acquisition is to broaden Tilray’s beverage brand strategy. In consideration for the acquisition, the Company paid a total purchase price of $9,293 for BrewDog’s U.S. assets, subject to customary post</w:t>
        <w:noBreakHyphen/>
        <w:t>closing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in the process of assessing the fair value of the net assets acquired and, as a result, the fair value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subject to adjustments pending completion of final valuations and post-closing adjustments. The table below summarizes the preliminary estimated fair value of the assets acquired and the liabilities assumed for the BrewDog acquisitions at the effective acquisition dates as follows: </w:t>
      </w:r>
    </w:p>
    <w:p>
      <w:pPr>
        <w:pStyle w:val="TextBody"/>
        <w:bidi w:val="0"/>
        <w:spacing w:before="0" w:after="0"/>
        <w:ind w:left="0" w:right="0" w:firstLine="720"/>
        <w:jc w:val="both"/>
        <w:rPr>
          <w:caps w:val="false"/>
          <w:smallCaps w:val="false"/>
        </w:rPr>
      </w:pPr>
      <w:r>
        <w:rPr>
          <w:caps w:val="false"/>
          <w:smallCaps w:val="false"/>
        </w:rPr>
        <w:t> </w:t>
      </w:r>
    </w:p>
    <w:tbl>
      <w:tblPr>
        <w:tblW w:w="10036" w:type="dxa"/>
        <w:jc w:val="left"/>
        <w:tblInd w:w="0" w:type="dxa"/>
        <w:tblLayout w:type="fixed"/>
        <w:tblCellMar>
          <w:top w:w="0" w:type="dxa"/>
          <w:left w:w="0" w:type="dxa"/>
          <w:bottom w:w="0" w:type="dxa"/>
          <w:right w:w="0" w:type="dxa"/>
        </w:tblCellMar>
      </w:tblPr>
      <w:tblGrid>
        <w:gridCol w:w="3770"/>
        <w:gridCol w:w="60"/>
        <w:gridCol w:w="188"/>
        <w:gridCol w:w="1046"/>
        <w:gridCol w:w="60"/>
        <w:gridCol w:w="60"/>
        <w:gridCol w:w="211"/>
        <w:gridCol w:w="1008"/>
        <w:gridCol w:w="60"/>
        <w:gridCol w:w="60"/>
        <w:gridCol w:w="266"/>
        <w:gridCol w:w="1043"/>
        <w:gridCol w:w="60"/>
        <w:gridCol w:w="60"/>
        <w:gridCol w:w="188"/>
        <w:gridCol w:w="896"/>
        <w:gridCol w:w="60"/>
        <w:gridCol w:w="60"/>
        <w:gridCol w:w="125"/>
        <w:gridCol w:w="695"/>
        <w:gridCol w:w="6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BrewDog UK 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BrewDog AUS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BrewDog UK 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BrewDog 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April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18,875</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72,347</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79,839</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209,630</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50,095</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 - term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22,778</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155,557</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event that the BrewDog acquisition had occurred on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 xml:space="preserve">the Company would have had, on an unaudited proforma basis for the asset groups purchased, additional net revenue of approximately $190,198 and its net loss and comprehensive net loss would have increased by approximately $41,428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In the event that the BrewDog acquisition had occurred on </w:t>
      </w:r>
      <w:r>
        <w:rPr>
          <w:rStyle w:val="Emphasis"/>
          <w:rFonts w:ascii="Times New Roman" w:hAnsi="Times New Roman"/>
          <w:caps w:val="false"/>
          <w:smallCaps w:val="false"/>
          <w:sz w:val="20"/>
        </w:rPr>
        <w:t xml:space="preserve"> June 1, 2024, </w:t>
      </w:r>
      <w:r>
        <w:rPr>
          <w:rFonts w:ascii="Times New Roman" w:hAnsi="Times New Roman"/>
          <w:caps w:val="false"/>
          <w:smallCaps w:val="false"/>
          <w:sz w:val="20"/>
        </w:rPr>
        <w:t xml:space="preserve">the Company would have had, on an unaudited proforma basis for the asset groups purchased, additional net revenue of approximately $276,533 and its net loss and comprehensive net loss would have increased by approximately $32,288 for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reflect the realization of any expected ongoing synergies relating to the integration of the BrewDog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Acquisition of Lyphe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15, 2026, </w:t>
      </w:r>
      <w:r>
        <w:rPr>
          <w:rFonts w:ascii="Times New Roman" w:hAnsi="Times New Roman"/>
          <w:caps w:val="false"/>
          <w:smallCaps w:val="false"/>
          <w:sz w:val="20"/>
        </w:rPr>
        <w:t>the Company issued 398,666 shares of the Company’s Common Stock, as partial consideration pursuant to the share purchase agreement for the acquisition of the Lyphe Group. The purpose of the acquisition was driven by a strategic rationale tied to growth, vertical integration, and expansion in Europe, especially the UK medical cannabis market. In consideration for the acquisition, the Company paid a total purchase price of $3,074 (£2,200) which consisted of stock consideration of $2,795 and $279 of 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in the process of assessing the fair value of the net assets acquired and, as a result, the fair value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subject to adjustments pending completion of final valuations and post-closing adjustments. The table below summarizes the preliminary estimated fair value of the assets acquired and the liabilities assumed for the Lyphe acquisition at the effective acquisition date as follows: </w:t>
      </w:r>
    </w:p>
    <w:p>
      <w:pPr>
        <w:pStyle w:val="TextBody"/>
        <w:bidi w:val="0"/>
        <w:spacing w:before="0" w:after="0"/>
        <w:ind w:left="0" w:right="0" w:firstLine="72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320"/>
        <w:gridCol w:w="60"/>
        <w:gridCol w:w="139"/>
        <w:gridCol w:w="541"/>
        <w:gridCol w:w="6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2,795</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 acquired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4,328</w:t>
            </w:r>
          </w:p>
        </w:tc>
        <w:tc>
          <w:tcPr>
            <w:tcW w:w="60" w:type="dxa"/>
            <w:tcBorders/>
            <w:shd w:fill="FFFFFF" w:val="clear"/>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c>
          <w:tcPr>
            <w:tcW w:w="60" w:type="dxa"/>
            <w:tcBorders/>
            <w:shd w:fill="CCEEFF" w:val="clear"/>
            <w:vAlign w:val="center"/>
          </w:tcPr>
          <w:p>
            <w:pPr>
              <w:pStyle w:val="TableContents"/>
              <w:bidi w:val="0"/>
              <w:spacing w:before="0" w:after="0"/>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event that the Lyphe acquisition had occurred on </w:t>
      </w:r>
      <w:r>
        <w:rPr>
          <w:rStyle w:val="Emphasis"/>
          <w:rFonts w:ascii="Times New Roman" w:hAnsi="Times New Roman"/>
          <w:caps w:val="false"/>
          <w:smallCaps w:val="false"/>
          <w:sz w:val="20"/>
        </w:rPr>
        <w:t xml:space="preserve"> June 1, 2025, </w:t>
      </w:r>
      <w:r>
        <w:rPr>
          <w:rFonts w:ascii="Times New Roman" w:hAnsi="Times New Roman"/>
          <w:caps w:val="false"/>
          <w:smallCaps w:val="false"/>
          <w:sz w:val="20"/>
        </w:rPr>
        <w:t xml:space="preserve">the Company would have had, on an unaudited proforma basis, additional net revenue of approximately $3,041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and its net loss and comprehensive net loss would have increased by approximately $1,573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In the event that the Lyphe acquisition had occurred on </w:t>
      </w:r>
      <w:r>
        <w:rPr>
          <w:rStyle w:val="Emphasis"/>
          <w:rFonts w:ascii="Times New Roman" w:hAnsi="Times New Roman"/>
          <w:caps w:val="false"/>
          <w:smallCaps w:val="false"/>
          <w:sz w:val="20"/>
        </w:rPr>
        <w:t xml:space="preserve"> June 1, 2024, </w:t>
      </w:r>
      <w:r>
        <w:rPr>
          <w:rFonts w:ascii="Times New Roman" w:hAnsi="Times New Roman"/>
          <w:caps w:val="false"/>
          <w:smallCaps w:val="false"/>
          <w:sz w:val="20"/>
        </w:rPr>
        <w:t xml:space="preserve">the Company would have had, on an unaudited proforma basis, additional net revenue of approximately $4,041 for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 xml:space="preserve">and its net loss and comprehensive net loss would have increased by approximately $723 for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This unaudited pro forma financial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reflect the realization of any expected ongoing synergies relating to the integration of the Lyphe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10.</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Goodwill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shows the carrying amount of goodwill 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and as of </w:t>
      </w:r>
      <w:r>
        <w:rPr>
          <w:rStyle w:val="Emphasis"/>
          <w:rFonts w:ascii="Times New Roman" w:hAnsi="Times New Roman"/>
          <w:caps w:val="false"/>
          <w:smallCaps w:val="false"/>
          <w:sz w:val="20"/>
        </w:rPr>
        <w:t>May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2600"/>
        <w:gridCol w:w="60"/>
        <w:gridCol w:w="125"/>
        <w:gridCol w:w="905"/>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2,640,669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(1,888,319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2600"/>
        <w:gridCol w:w="60"/>
        <w:gridCol w:w="125"/>
        <w:gridCol w:w="755"/>
        <w:gridCol w:w="80"/>
        <w:gridCol w:w="60"/>
        <w:gridCol w:w="125"/>
        <w:gridCol w:w="905"/>
        <w:gridCol w:w="80"/>
        <w:gridCol w:w="60"/>
        <w:gridCol w:w="125"/>
        <w:gridCol w:w="650"/>
        <w:gridCol w:w="80"/>
        <w:gridCol w:w="60"/>
        <w:gridCol w:w="191"/>
        <w:gridCol w:w="834"/>
        <w:gridCol w:w="80"/>
        <w:gridCol w:w="60"/>
        <w:gridCol w:w="125"/>
        <w:gridCol w:w="905"/>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30" w:type="dxa"/>
            <w:gridSpan w:val="1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Reporting Units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Beverage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Cannabis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Wellness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Distribution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2,843,399</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performed the annual impairment test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by completing a qualitative assessment of relevant events and circumstances. Based on this assessment, the Company determined that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any reporting unit was less than its carrying amount. Accordingly, </w:t>
      </w:r>
      <w:r>
        <w:rPr>
          <w:rStyle w:val="Emphasis"/>
          <w:rFonts w:ascii="Times New Roman" w:hAnsi="Times New Roman"/>
          <w:caps w:val="false"/>
          <w:smallCaps w:val="false"/>
          <w:sz w:val="20"/>
        </w:rPr>
        <w:t>no</w:t>
      </w:r>
      <w:r>
        <w:rPr>
          <w:rFonts w:ascii="Times New Roman" w:hAnsi="Times New Roman"/>
          <w:caps w:val="false"/>
          <w:smallCaps w:val="false"/>
          <w:sz w:val="20"/>
        </w:rPr>
        <w:t> further goodwill impairment testing was performed and no goodwill impairment charges were recognized during the period.</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the Company identified indicators of impairment based on a combination of factors, including a sustained decline in market capitalization, driven in part by uncertainty related to changes in U.S. and global economic conditions, including slower-than-anticipated progress in global cannabis legalization and continued declines in the craft beer industry. In addition, changes in non-discretionary market inputs, including increases in the Company’s discount rate, negatively impacted the estimated future cash flows of its reporting units. As a result, the Company concluded it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certain reporting units was less than their carrying amounts as of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Accordingly, the Company utilized the income approach, which uses future discounted cash flows, to determine the fair value of each reporting unit. As a result, the Company recorded non-cash impairment charges of $1,070,000 of cannabis goodwill, $120,815 of beverage goodwill, $53,173 of wellness goodwill and $4,235 of distribution goodwill. The non-cash charge had </w:t>
      </w:r>
      <w:r>
        <w:rPr>
          <w:rStyle w:val="Emphasis"/>
          <w:rFonts w:ascii="Times New Roman" w:hAnsi="Times New Roman"/>
          <w:caps w:val="false"/>
          <w:smallCaps w:val="false"/>
          <w:sz w:val="20"/>
        </w:rPr>
        <w:t>no</w:t>
      </w:r>
      <w:r>
        <w:rPr>
          <w:rFonts w:ascii="Times New Roman" w:hAnsi="Times New Roman"/>
          <w:caps w:val="false"/>
          <w:smallCaps w:val="false"/>
          <w:sz w:val="20"/>
        </w:rPr>
        <w:t> impact on the Company’s compliance with debt covenants at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its cash flows or available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the Company’s cannabis goodwill assessment, the Company used a discount rate of 14.50%, a terminal growth rate of 5%, and an average revenue growth rate of 34% over 5 years, based on an 65% and 25% average probability of anticipated EU and U.S. cannabis legalization, respectively and/or changes in drug policy in various countries within the next </w:t>
      </w:r>
      <w:r>
        <w:rPr>
          <w:rStyle w:val="Emphasis"/>
          <w:rFonts w:ascii="Times New Roman" w:hAnsi="Times New Roman"/>
          <w:caps w:val="false"/>
          <w:smallCaps w:val="false"/>
          <w:sz w:val="20"/>
        </w:rPr>
        <w:t>5</w:t>
      </w:r>
      <w:r>
        <w:rPr>
          <w:rFonts w:ascii="Times New Roman" w:hAnsi="Times New Roman"/>
          <w:caps w:val="false"/>
          <w:smallCaps w:val="false"/>
          <w:sz w:val="20"/>
        </w:rPr>
        <w:t> years. A </w:t>
      </w:r>
      <w:r>
        <w:rPr>
          <w:rStyle w:val="Emphasis"/>
          <w:rFonts w:ascii="Times New Roman" w:hAnsi="Times New Roman"/>
          <w:caps w:val="false"/>
          <w:smallCaps w:val="false"/>
          <w:sz w:val="20"/>
        </w:rPr>
        <w:t>1%</w:t>
      </w:r>
      <w:r>
        <w:rPr>
          <w:rFonts w:ascii="Times New Roman" w:hAnsi="Times New Roman"/>
          <w:caps w:val="false"/>
          <w:smallCaps w:val="false"/>
          <w:sz w:val="20"/>
        </w:rPr>
        <w:t> increase in the discount rate would result in an additional $133,800 in impairment, a </w:t>
      </w:r>
      <w:r>
        <w:rPr>
          <w:rStyle w:val="Emphasis"/>
          <w:rFonts w:ascii="Times New Roman" w:hAnsi="Times New Roman"/>
          <w:caps w:val="false"/>
          <w:smallCaps w:val="false"/>
          <w:sz w:val="20"/>
        </w:rPr>
        <w:t>1%</w:t>
      </w:r>
      <w:r>
        <w:rPr>
          <w:rFonts w:ascii="Times New Roman" w:hAnsi="Times New Roman"/>
          <w:caps w:val="false"/>
          <w:smallCaps w:val="false"/>
          <w:sz w:val="20"/>
        </w:rPr>
        <w:t> decrease in the terminal growth rate would result in an additional $93,500 in impairment, a </w:t>
      </w:r>
      <w:r>
        <w:rPr>
          <w:rStyle w:val="Emphasis"/>
          <w:rFonts w:ascii="Times New Roman" w:hAnsi="Times New Roman"/>
          <w:caps w:val="false"/>
          <w:smallCaps w:val="false"/>
          <w:sz w:val="20"/>
        </w:rPr>
        <w:t>5%</w:t>
      </w:r>
      <w:r>
        <w:rPr>
          <w:rFonts w:ascii="Times New Roman" w:hAnsi="Times New Roman"/>
          <w:caps w:val="false"/>
          <w:smallCaps w:val="false"/>
          <w:sz w:val="20"/>
        </w:rPr>
        <w:t> decrease in the average growth rate would result in an additional $23,400 in impairment, a </w:t>
      </w:r>
      <w:r>
        <w:rPr>
          <w:rStyle w:val="Emphasis"/>
          <w:rFonts w:ascii="Times New Roman" w:hAnsi="Times New Roman"/>
          <w:caps w:val="false"/>
          <w:smallCaps w:val="false"/>
          <w:sz w:val="20"/>
        </w:rPr>
        <w:t>5%</w:t>
      </w:r>
      <w:r>
        <w:rPr>
          <w:rFonts w:ascii="Times New Roman" w:hAnsi="Times New Roman"/>
          <w:caps w:val="false"/>
          <w:smallCaps w:val="false"/>
          <w:sz w:val="20"/>
        </w:rPr>
        <w:t> decrease in the probability of EU cannabis legalization would result in an additional $44,000 in impairment and a </w:t>
      </w:r>
      <w:r>
        <w:rPr>
          <w:rStyle w:val="Emphasis"/>
          <w:rFonts w:ascii="Times New Roman" w:hAnsi="Times New Roman"/>
          <w:caps w:val="false"/>
          <w:smallCaps w:val="false"/>
          <w:sz w:val="20"/>
        </w:rPr>
        <w:t>5%</w:t>
      </w:r>
      <w:r>
        <w:rPr>
          <w:rFonts w:ascii="Times New Roman" w:hAnsi="Times New Roman"/>
          <w:caps w:val="false"/>
          <w:smallCaps w:val="false"/>
          <w:sz w:val="20"/>
        </w:rPr>
        <w:t> decrease in the probability of US cannabis legalization would result in an additional $17,100 in impairment. Changes to those probabilities resulting in continued delays in or cessation of legalization of cannabis within the United States and internationally, or adverse regulatory changes to existing legislation, could have an unfavorable impact on the estimated future cash flows, and ultimately, the fair value of the cannabis reporting unit, which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result in a material impairment expense recognized in future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beverage goodwill assessment, the Company used a discount rate of 10.00%, a terminal growth rate of 2%, and an average revenue growth rate of 2% over 5 years, which brought the remaining beverage goodwill balance to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wellness goodwill assessment, the Company used a discount rate of 12.25%, a terminal growth rate of 2%, and an average revenue growth rate of 7% over 5 years, which brought the remaining wellness goodwill balance to $nil.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Company’s distribution goodwill assessment, the Company recorded $4,235 of impairments which brought the remaining distribution goodwill balance to $nil.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For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the Company recognized $nil impairment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11.</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Long-term investments are comprised of the following items:</w:t>
      </w:r>
    </w:p>
    <w:p>
      <w:pPr>
        <w:pStyle w:val="TextBody"/>
        <w:bidi w:val="0"/>
        <w:spacing w:before="0" w:after="0"/>
        <w:ind w:left="0" w:right="0" w:hanging="0"/>
        <w:jc w:val="left"/>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4130"/>
        <w:gridCol w:w="60"/>
        <w:gridCol w:w="142"/>
        <w:gridCol w:w="552"/>
        <w:gridCol w:w="60"/>
        <w:gridCol w:w="60"/>
        <w:gridCol w:w="125"/>
        <w:gridCol w:w="590"/>
        <w:gridCol w:w="60"/>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measured at fair value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investments under measurement alternative</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8,160</w:t>
            </w:r>
          </w:p>
        </w:tc>
        <w:tc>
          <w:tcPr>
            <w:tcW w:w="60" w:type="dxa"/>
            <w:tcBorders/>
            <w:shd w:fill="FFFFFF" w:val="clear"/>
            <w:vAlign w:val="center"/>
          </w:tcPr>
          <w:p>
            <w:pPr>
              <w:pStyle w:val="TableContents"/>
              <w:bidi w:val="0"/>
              <w:spacing w:before="0" w:after="0"/>
              <w:jc w:val="left"/>
              <w:rPr/>
            </w:pPr>
            <w:r>
              <w:rPr/>
              <w:t> </w:t>
            </w:r>
          </w:p>
        </w:tc>
      </w:tr>
      <w:tr>
        <w:trPr/>
        <w:tc>
          <w:tcPr>
            <w:tcW w:w="41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Company’s equity investments at fair value consist of publicly traded shares, equity interest in non-traded companies and warrants held by the Company.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2025</w:t>
      </w:r>
      <w:r>
        <w:rPr>
          <w:rFonts w:ascii="Times New Roman" w:hAnsi="Times New Roman"/>
          <w:caps w:val="false"/>
          <w:smallCaps w:val="false"/>
          <w:sz w:val="20"/>
        </w:rPr>
        <w:t>, included within equity investment under measurement alternative is an option to acquire a 68% membership interest in SH Acquisition for $1.00 upon U.S. federal cannabis legalization valued at $4,364 and $8,160 respectively. See Note </w:t>
      </w:r>
      <w:r>
        <w:rPr>
          <w:rStyle w:val="Emphasis"/>
          <w:rFonts w:ascii="Times New Roman" w:hAnsi="Times New Roman"/>
          <w:caps w:val="false"/>
          <w:smallCaps w:val="false"/>
          <w:sz w:val="20"/>
        </w:rPr>
        <w:t>28</w:t>
      </w:r>
      <w:r>
        <w:rPr>
          <w:rFonts w:ascii="Times New Roman" w:hAnsi="Times New Roman"/>
          <w:caps w:val="false"/>
          <w:smallCaps w:val="false"/>
          <w:sz w:val="20"/>
        </w:rPr>
        <w:t xml:space="preserve"> (Financial risk management and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acquired $3,595 equity investments measured at fair value, which were subsequently sold for proceeds of $2,566 on the sale of investments, and recognized $812 of losses due to the change in fair value. Additionally, the Company recognized $3,796 of losses due to the change in fair value of equity investments under measurement alternative.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fiscal years ended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fair value changes of $5,500 and $217, respectively. See Note </w:t>
      </w:r>
      <w:r>
        <w:rPr>
          <w:rStyle w:val="Emphasis"/>
          <w:rFonts w:ascii="Times New Roman" w:hAnsi="Times New Roman"/>
          <w:caps w:val="false"/>
          <w:smallCaps w:val="false"/>
          <w:sz w:val="20"/>
        </w:rPr>
        <w:t>28</w:t>
      </w:r>
      <w:r>
        <w:rPr>
          <w:rFonts w:ascii="Times New Roman" w:hAnsi="Times New Roman"/>
          <w:caps w:val="false"/>
          <w:smallCaps w:val="false"/>
          <w:sz w:val="20"/>
        </w:rPr>
        <w:t> (Financial risk management and financial instruments)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670" w:type="dxa"/>
        <w:jc w:val="left"/>
        <w:tblInd w:w="0" w:type="dxa"/>
        <w:tblLayout w:type="fixed"/>
        <w:tblCellMar>
          <w:top w:w="0" w:type="dxa"/>
          <w:left w:w="0" w:type="dxa"/>
          <w:bottom w:w="0" w:type="dxa"/>
          <w:right w:w="0" w:type="dxa"/>
        </w:tblCellMar>
      </w:tblPr>
      <w:tblGrid>
        <w:gridCol w:w="275"/>
        <w:gridCol w:w="339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12.</w:t>
            </w:r>
          </w:p>
        </w:tc>
        <w:tc>
          <w:tcPr>
            <w:tcW w:w="33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 and deferred 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(loss) before income taxes includes the following components:</w:t>
      </w:r>
    </w:p>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1265"/>
        <w:gridCol w:w="60"/>
        <w:gridCol w:w="125"/>
        <w:gridCol w:w="755"/>
        <w:gridCol w:w="80"/>
        <w:gridCol w:w="60"/>
        <w:gridCol w:w="125"/>
        <w:gridCol w:w="905"/>
        <w:gridCol w:w="80"/>
        <w:gridCol w:w="60"/>
        <w:gridCol w:w="125"/>
        <w:gridCol w:w="755"/>
        <w:gridCol w:w="80"/>
      </w:tblGrid>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(277,811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(2,302,373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(recoveries) expense for income taxes consists of:</w:t>
      </w:r>
    </w:p>
    <w:p>
      <w:pPr>
        <w:pStyle w:val="TextBody"/>
        <w:bidi w:val="0"/>
        <w:spacing w:before="0" w:after="0"/>
        <w:ind w:left="0" w:right="0" w:firstLine="720"/>
        <w:jc w:val="both"/>
        <w:rPr>
          <w:caps w:val="false"/>
          <w:smallCaps w:val="false"/>
        </w:rPr>
      </w:pPr>
      <w:r>
        <w:rPr>
          <w:caps w:val="false"/>
          <w:smallCaps w:val="false"/>
        </w:rPr>
        <w:t> </w:t>
      </w:r>
    </w:p>
    <w:tbl>
      <w:tblPr>
        <w:tblW w:w="3719" w:type="dxa"/>
        <w:jc w:val="left"/>
        <w:tblInd w:w="0" w:type="dxa"/>
        <w:tblLayout w:type="fixed"/>
        <w:tblCellMar>
          <w:top w:w="0" w:type="dxa"/>
          <w:left w:w="0" w:type="dxa"/>
          <w:bottom w:w="0" w:type="dxa"/>
          <w:right w:w="0" w:type="dxa"/>
        </w:tblCellMar>
      </w:tblPr>
      <w:tblGrid>
        <w:gridCol w:w="1970"/>
        <w:gridCol w:w="60"/>
        <w:gridCol w:w="259"/>
        <w:gridCol w:w="1350"/>
        <w:gridCol w:w="80"/>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w:t>
            </w:r>
          </w:p>
        </w:tc>
        <w:tc>
          <w:tcPr>
            <w:tcW w:w="8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8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7,617</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9,083</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8,015</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(recoveries) expense for income taxes for the comparative periods are as follows:</w:t>
      </w:r>
    </w:p>
    <w:p>
      <w:pPr>
        <w:pStyle w:val="TextBody"/>
        <w:bidi w:val="0"/>
        <w:spacing w:before="0" w:after="0"/>
        <w:ind w:left="0" w:right="0" w:firstLine="720"/>
        <w:jc w:val="left"/>
        <w:rPr>
          <w:caps w:val="false"/>
          <w:smallCaps w:val="false"/>
        </w:rPr>
      </w:pPr>
      <w:r>
        <w:rPr>
          <w:caps w:val="false"/>
          <w:smallCaps w:val="false"/>
        </w:rPr>
        <w:t> </w:t>
      </w:r>
    </w:p>
    <w:tbl>
      <w:tblPr>
        <w:tblW w:w="4438" w:type="dxa"/>
        <w:jc w:val="left"/>
        <w:tblInd w:w="0" w:type="dxa"/>
        <w:tblLayout w:type="fixed"/>
        <w:tblCellMar>
          <w:top w:w="0" w:type="dxa"/>
          <w:left w:w="0" w:type="dxa"/>
          <w:bottom w:w="0" w:type="dxa"/>
          <w:right w:w="0" w:type="dxa"/>
        </w:tblCellMar>
      </w:tblPr>
      <w:tblGrid>
        <w:gridCol w:w="1955"/>
        <w:gridCol w:w="60"/>
        <w:gridCol w:w="163"/>
        <w:gridCol w:w="986"/>
        <w:gridCol w:w="104"/>
        <w:gridCol w:w="78"/>
        <w:gridCol w:w="163"/>
        <w:gridCol w:w="849"/>
        <w:gridCol w:w="80"/>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May 31,</w:t>
            </w:r>
          </w:p>
        </w:tc>
        <w:tc>
          <w:tcPr>
            <w:tcW w:w="8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10,819</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4,494</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12,256</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(10,015</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(7,435</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(108,061</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(125,511</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benefits, net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 reconciliation of income taxes at the statutory rate with the reported taxes under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Improvements to Income Tax Disclosures, is as follows:</w:t>
      </w:r>
    </w:p>
    <w:p>
      <w:pPr>
        <w:pStyle w:val="TextBody"/>
        <w:bidi w:val="0"/>
        <w:spacing w:before="0" w:after="0"/>
        <w:ind w:left="0" w:right="0" w:firstLine="720"/>
        <w:jc w:val="both"/>
        <w:rPr>
          <w:caps w:val="false"/>
          <w:smallCaps w:val="false"/>
        </w:rPr>
      </w:pPr>
      <w:r>
        <w:rPr>
          <w:caps w:val="false"/>
          <w:smallCaps w:val="false"/>
        </w:rPr>
        <w:t> </w:t>
      </w:r>
    </w:p>
    <w:tbl>
      <w:tblPr>
        <w:tblW w:w="8368" w:type="dxa"/>
        <w:jc w:val="left"/>
        <w:tblInd w:w="0" w:type="dxa"/>
        <w:tblLayout w:type="fixed"/>
        <w:tblCellMar>
          <w:top w:w="0" w:type="dxa"/>
          <w:left w:w="0" w:type="dxa"/>
          <w:bottom w:w="0" w:type="dxa"/>
          <w:right w:w="0" w:type="dxa"/>
        </w:tblCellMar>
      </w:tblPr>
      <w:tblGrid>
        <w:gridCol w:w="5765"/>
        <w:gridCol w:w="60"/>
        <w:gridCol w:w="203"/>
        <w:gridCol w:w="1056"/>
        <w:gridCol w:w="130"/>
        <w:gridCol w:w="97"/>
        <w:gridCol w:w="97"/>
        <w:gridCol w:w="715"/>
        <w:gridCol w:w="245"/>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245"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Expected Income Tax Expense at the Federal Statutory Rate of 21%</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(18,492</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Domestic</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Imputed Interest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Pre-tax book income (loss) from DRE's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162(m)</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Return-to-provision and other prior period adjustments(2)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28,318</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(23,772</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Income Tax Effect(1)</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rate differential</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portion of investment gains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on subsidiaries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(3,005</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Return-to-provision and other prior period adjustments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allowances(3)</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20,187</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rate differential</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Return-to-provision adjustments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Portugal</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rate differential</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10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Foreign Jurisdictions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17,098</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11"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New York (including New York City) contributed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to State and Local Income Taxes, Net of Federal Income Tax Effect.</w:t>
            </w:r>
          </w:p>
        </w:tc>
      </w:tr>
    </w:tbl>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9959"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United States return-to-provision relates primarily to prior-year impairment of intangible assets. The United States deferred taxes are fully covered by valuation allowance,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net impact to the financial statements.</w:t>
            </w:r>
          </w:p>
        </w:tc>
      </w:tr>
    </w:tbl>
    <w:tbl>
      <w:tblPr>
        <w:tblW w:w="7195" w:type="dxa"/>
        <w:jc w:val="left"/>
        <w:tblInd w:w="0" w:type="dxa"/>
        <w:tblLayout w:type="fixed"/>
        <w:tblCellMar>
          <w:top w:w="0" w:type="dxa"/>
          <w:left w:w="0" w:type="dxa"/>
          <w:bottom w:w="0" w:type="dxa"/>
          <w:right w:w="0" w:type="dxa"/>
        </w:tblCellMar>
      </w:tblPr>
      <w:tblGrid>
        <w:gridCol w:w="60"/>
        <w:gridCol w:w="245"/>
        <w:gridCol w:w="68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w:t>
            </w:r>
          </w:p>
        </w:tc>
        <w:tc>
          <w:tcPr>
            <w:tcW w:w="6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Increase in Canadian valuation allowance relates primarily to current period activity.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Reconciliations of income taxes at the statutory rate with the reported taxes for the comparative periods are as follows: </w:t>
      </w:r>
    </w:p>
    <w:p>
      <w:pPr>
        <w:pStyle w:val="TextBody"/>
        <w:bidi w:val="0"/>
        <w:spacing w:before="0" w:after="0"/>
        <w:ind w:left="0" w:right="0" w:firstLine="720"/>
        <w:jc w:val="both"/>
        <w:rPr>
          <w:caps w:val="false"/>
          <w:smallCaps w:val="false"/>
        </w:rPr>
      </w:pPr>
      <w:r>
        <w:rPr>
          <w:caps w:val="false"/>
          <w:smallCaps w:val="false"/>
        </w:rPr>
        <w:t> </w:t>
      </w:r>
    </w:p>
    <w:tbl>
      <w:tblPr>
        <w:tblW w:w="6163" w:type="dxa"/>
        <w:jc w:val="left"/>
        <w:tblInd w:w="0" w:type="dxa"/>
        <w:tblLayout w:type="fixed"/>
        <w:tblCellMar>
          <w:top w:w="0" w:type="dxa"/>
          <w:left w:w="0" w:type="dxa"/>
          <w:bottom w:w="0" w:type="dxa"/>
          <w:right w:w="0" w:type="dxa"/>
        </w:tblCellMar>
      </w:tblPr>
      <w:tblGrid>
        <w:gridCol w:w="3725"/>
        <w:gridCol w:w="60"/>
        <w:gridCol w:w="140"/>
        <w:gridCol w:w="1015"/>
        <w:gridCol w:w="89"/>
        <w:gridCol w:w="67"/>
        <w:gridCol w:w="140"/>
        <w:gridCol w:w="847"/>
        <w:gridCol w:w="80"/>
      </w:tblGrid>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net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(2,302,373</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recovery at statutory rate of 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(483,708</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impact of foreign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(41,680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6,147</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(taxable)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enacted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Impairment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285,582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to provision and other prior year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(33,098</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16,933</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Provision, net of federal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(14,794</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179,090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20,250</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recovery, net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paid for income taxes, net of refunds, was as follows:</w:t>
      </w:r>
    </w:p>
    <w:p>
      <w:pPr>
        <w:pStyle w:val="TextBody"/>
        <w:bidi w:val="0"/>
        <w:spacing w:before="0" w:after="0"/>
        <w:ind w:left="0" w:right="0" w:firstLine="720"/>
        <w:jc w:val="both"/>
        <w:rPr>
          <w:caps w:val="false"/>
          <w:smallCaps w:val="false"/>
        </w:rPr>
      </w:pPr>
      <w:r>
        <w:rPr>
          <w:caps w:val="false"/>
          <w:smallCaps w:val="false"/>
        </w:rPr>
        <w:t> </w:t>
      </w:r>
    </w:p>
    <w:tbl>
      <w:tblPr>
        <w:tblW w:w="3329" w:type="dxa"/>
        <w:jc w:val="left"/>
        <w:tblInd w:w="0" w:type="dxa"/>
        <w:tblLayout w:type="fixed"/>
        <w:tblCellMar>
          <w:top w:w="0" w:type="dxa"/>
          <w:left w:w="0" w:type="dxa"/>
          <w:bottom w:w="0" w:type="dxa"/>
          <w:right w:w="0" w:type="dxa"/>
        </w:tblCellMar>
      </w:tblPr>
      <w:tblGrid>
        <w:gridCol w:w="1610"/>
        <w:gridCol w:w="60"/>
        <w:gridCol w:w="294"/>
        <w:gridCol w:w="1285"/>
        <w:gridCol w:w="80"/>
      </w:tblGrid>
      <w:tr>
        <w:trPr/>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 2026</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Colorado</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Massachusetts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Carolina</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Oregon</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Carolina</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Tennessee</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State</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British Columbia</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Ontario</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Germany</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Grand Total</w:t>
            </w:r>
          </w:p>
        </w:tc>
        <w:tc>
          <w:tcPr>
            <w:tcW w:w="60"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The following table summarizes the components of deferred tax: </w:t>
      </w:r>
    </w:p>
    <w:p>
      <w:pPr>
        <w:pStyle w:val="TextBody"/>
        <w:bidi w:val="0"/>
        <w:spacing w:before="0" w:after="0"/>
        <w:ind w:left="0" w:right="0" w:hanging="0"/>
        <w:jc w:val="left"/>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4025"/>
        <w:gridCol w:w="60"/>
        <w:gridCol w:w="138"/>
        <w:gridCol w:w="934"/>
        <w:gridCol w:w="88"/>
        <w:gridCol w:w="66"/>
        <w:gridCol w:w="138"/>
        <w:gridCol w:w="934"/>
        <w:gridCol w:w="80"/>
      </w:tblGrid>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loss carryforwards - United States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73,188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66,048</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loss carryforwards - Canada</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437,272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408,718</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loss carryforwards - Other Countries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16,196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13,388</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Capital loss carryforwards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57,869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35,603</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304,067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350,527</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30,793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27,567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Investments and convertible notes receivable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44,361</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43,317</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Investment tax credits and related pool balance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1,996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2,249</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Accruals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12,199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20,932</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26,596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21,599</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Restricted interest carried forward</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3,938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Deferred Items</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16,924</w:t>
            </w:r>
          </w:p>
        </w:tc>
        <w:tc>
          <w:tcPr>
            <w:tcW w:w="88"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21,319</w:t>
            </w:r>
          </w:p>
        </w:tc>
        <w:tc>
          <w:tcPr>
            <w:tcW w:w="80" w:type="dxa"/>
            <w:tcBorders/>
            <w:shd w:fill="CCEEFF" w:val="clear"/>
            <w:vAlign w:val="center"/>
          </w:tcPr>
          <w:p>
            <w:pPr>
              <w:pStyle w:val="TableContents"/>
              <w:bidi w:val="0"/>
              <w:spacing w:before="0" w:after="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1,025,399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1,011,267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valuation allowance</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(997,361</w:t>
            </w:r>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(968,929</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Net deferred tax assets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28,038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42,338</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360" w:right="0" w:hanging="360"/>
              <w:jc w:val="left"/>
              <w:rPr>
                <w:rFonts w:ascii="Times New Roman" w:hAnsi="Times New Roman"/>
                <w:b/>
                <w:caps w:val="false"/>
                <w:smallCaps w:val="false"/>
                <w:sz w:val="20"/>
              </w:rPr>
            </w:pPr>
            <w:r>
              <w:rPr>
                <w:rFonts w:ascii="Times New Roman" w:hAnsi="Times New Roman"/>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(28,800</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(8,263</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Deferred Items</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(3,228</w:t>
            </w:r>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(24,120</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25" w:type="dxa"/>
            <w:tcBorders/>
            <w:shd w:fill="FFFF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(40,294</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(46,086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Deferred Tax Asset/(Liability)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(12,256</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Tax Cuts and Jobs Act (TCJA) was enacted on </w:t>
      </w:r>
      <w:r>
        <w:rPr>
          <w:rStyle w:val="Emphasis"/>
          <w:rFonts w:ascii="Times New Roman" w:hAnsi="Times New Roman"/>
          <w:caps w:val="false"/>
          <w:smallCaps w:val="false"/>
          <w:sz w:val="20"/>
        </w:rPr>
        <w:t xml:space="preserve">December 22, 2017 </w:t>
      </w:r>
      <w:r>
        <w:rPr>
          <w:rFonts w:ascii="Times New Roman" w:hAnsi="Times New Roman"/>
          <w:caps w:val="false"/>
          <w:smallCaps w:val="false"/>
          <w:sz w:val="20"/>
        </w:rPr>
        <w:t>and reduced the U.S. statutory federal corporate tax rate from 35% to 21% and introduced several new international tax provisions, including the tax on Global Intangible Low-Taxed Income (‘‘GILTI’’). The Company has made a policy decision to record GILTI tax as a current-period expense when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(“OBBBA”) was enacted, which extended and modified certain provisions of the TCJA, including bonus depreciation and interest expense limitations. OBBBA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the Company had generated net operating loss carry-forwards in the United States of $347,553, which can be carried forward indefinitely and are generally limited in use annually to 80% of the current year taxable income, starting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has generated net operating loss carry-forwards in Canada of $1,650,146, which can be carried forward for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years and begin to expire in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Management believes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benefit from certain United States and foreign net operating loss carry-forwards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In recognition of this risk, the Company has provided a valuation allowance on the deferred tax assets relating to these carry-forwards. The net change in the total valuation allowance was an increase of $28,432 and $179,090 for the fiscal years ended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total valuation allowance was increased $37,627 by current period earnings and $19,429 by effects of currency translation. The total valuation allowance was decreased by $28,740 related to return-to-provision and other prior period adjustments. The largest component of prior period adjustments to valuation allowances was a decrease of $29,602 in the United States, primarily related to the prior year impairment of intangible assets. These adjustments also reduced corresponding deferred tax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recognizes the financial statement impact of a tax position only after determining that the relevant tax authority would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sustain the position following an audit. For tax positions meeting the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the amount recognized in the Financial Statements is the largest impact that has a greater than </w:t>
      </w:r>
      <w:r>
        <w:rPr>
          <w:rStyle w:val="Emphasis"/>
          <w:rFonts w:ascii="Times New Roman" w:hAnsi="Times New Roman"/>
          <w:caps w:val="false"/>
          <w:smallCaps w:val="false"/>
          <w:sz w:val="20"/>
        </w:rPr>
        <w:t>fifty</w:t>
      </w:r>
      <w:r>
        <w:rPr>
          <w:rFonts w:ascii="Times New Roman" w:hAnsi="Times New Roman"/>
          <w:caps w:val="false"/>
          <w:smallCaps w:val="false"/>
          <w:sz w:val="20"/>
        </w:rPr>
        <w:t xml:space="preserve"> percent likelihood of being realized upon ultimate settlement with the relevant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total amount of gross unrecognized tax benefits (“GUTB”) was $nil for periods </w:t>
      </w:r>
      <w:r>
        <w:rPr>
          <w:rStyle w:val="Emphasis"/>
          <w:rFonts w:ascii="Times New Roman" w:hAnsi="Times New Roman"/>
          <w:caps w:val="false"/>
          <w:smallCaps w:val="false"/>
          <w:sz w:val="20"/>
        </w:rPr>
        <w:t xml:space="preserve"> May 31, 2026,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There is a reasonable possibility that the Company’s unrecognized tax benefits will change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due to audit settlements or the expiration of statute of limitations, but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change to be material to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recognizes interest and, if applicable, penalties for any uncertain tax positions. Interest and penalties are recorded as a component of income tax expenses. In the fiscal years ended </w:t>
      </w:r>
      <w:r>
        <w:rPr>
          <w:rStyle w:val="Emphasis"/>
          <w:rFonts w:ascii="Times New Roman" w:hAnsi="Times New Roman"/>
          <w:caps w:val="false"/>
          <w:smallCaps w:val="false"/>
          <w:sz w:val="20"/>
        </w:rPr>
        <w:t>May 31, 2026,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$nil, $nil and $nil, respectively, of interest and penalty expenses related to uncertain tax positions. 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had a cumulative balance of accrued interest and penalties on unrecognized tax positions of $nil and $nil,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and its subsidiaries are subject to United States federal income tax as well as the income tax of multiple state and foreign jurisdictions. Major jurisdictions where there are wholly owned subsidiaries of Tilray Brands, Inc. which require income tax filings include Canada, Portugal, Germany, and Australia. The earliest periods open for review by local taxing authorities are fiscal years 2022 for Canada, 2022 for Portugal, 2021 for Germany, 2022 for Australia, and 2023 for United States.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both"/>
              <w:rPr/>
            </w:pPr>
            <w:r>
              <w:rPr>
                <w:rStyle w:val="Emphasis"/>
                <w:rFonts w:ascii="Times New Roman" w:hAnsi="Times New Roman"/>
                <w:b/>
                <w:caps w:val="false"/>
                <w:smallCaps w:val="false"/>
                <w:sz w:val="20"/>
              </w:rPr>
              <w:t>13.</w:t>
            </w:r>
          </w:p>
        </w:tc>
        <w:tc>
          <w:tcPr>
            <w:tcW w:w="15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Bank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Aphria Inc., a subsidiary of the Company, has an operating line of credit in the amount of C$1,000, which bears interest at the lender’s prime rate plus 75 basis points.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has not drawn on the line of credit. The operating line of credit is secured by a security interest on certain real property located at </w:t>
      </w:r>
      <w:r>
        <w:rPr>
          <w:rStyle w:val="Emphasis"/>
          <w:rFonts w:ascii="Times New Roman" w:hAnsi="Times New Roman"/>
          <w:caps w:val="false"/>
          <w:smallCaps w:val="false"/>
          <w:sz w:val="20"/>
        </w:rPr>
        <w:t>265</w:t>
      </w:r>
      <w:r>
        <w:rPr>
          <w:rFonts w:ascii="Times New Roman" w:hAnsi="Times New Roman"/>
          <w:caps w:val="false"/>
          <w:smallCaps w:val="false"/>
          <w:sz w:val="20"/>
        </w:rPr>
        <w:t> Talbot St. West, Leamington,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CC Pharma GmbH, a subsidiary of the Company, has two operating lines of credit for €7,000 and €500 each, which bear interest at Euro Short-Term Rate (“ESTR”) plus 2.50% and Euro Interbank Offered Rate (“EURIBOR”) plus 4.00%, respectively.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a total of €7,500 ($8,775) was drawn down from the available credit of €7,500. The operating line of credit for €7,000 is secured by an interest in the inventory of CC Pharma GmbH as well as the Densborn facility and underlying real property. The operating line of credit for €500 is unsecured.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25, 2025, </w:t>
      </w:r>
      <w:r>
        <w:rPr>
          <w:rFonts w:ascii="Times New Roman" w:hAnsi="Times New Roman"/>
          <w:caps w:val="false"/>
          <w:smallCaps w:val="false"/>
          <w:sz w:val="20"/>
        </w:rPr>
        <w:t>the Company’s wholly-owned subsidiary, American Beverage Crafts Group Inc. (“ABC Group”), formerly known as Four Twenty Corporation, finalized its </w:t>
      </w:r>
      <w:r>
        <w:rPr>
          <w:rStyle w:val="Emphasis"/>
          <w:rFonts w:ascii="Times New Roman" w:hAnsi="Times New Roman"/>
          <w:caps w:val="false"/>
          <w:smallCaps w:val="false"/>
          <w:sz w:val="20"/>
        </w:rPr>
        <w:t>fifth</w:t>
      </w:r>
      <w:r>
        <w:rPr>
          <w:rFonts w:ascii="Times New Roman" w:hAnsi="Times New Roman"/>
          <w:caps w:val="false"/>
          <w:smallCaps w:val="false"/>
          <w:sz w:val="20"/>
        </w:rPr>
        <w:t xml:space="preserve"> amendment (the “Amendment”) to that certain Credit Agreement dated as of </w:t>
      </w:r>
      <w:r>
        <w:rPr>
          <w:rStyle w:val="Emphasis"/>
          <w:rFonts w:ascii="Times New Roman" w:hAnsi="Times New Roman"/>
          <w:caps w:val="false"/>
          <w:smallCaps w:val="false"/>
          <w:sz w:val="20"/>
        </w:rPr>
        <w:t>June 30, 2023 (</w:t>
      </w:r>
      <w:r>
        <w:rPr>
          <w:rFonts w:ascii="Times New Roman" w:hAnsi="Times New Roman"/>
          <w:caps w:val="false"/>
          <w:smallCaps w:val="false"/>
          <w:sz w:val="20"/>
        </w:rPr>
        <w:t>the “ABC Group Credit Agreement”) by and among the Borrower, Bank of America, N.A., in its capacity as Administrative Agent, and certain other guarantors and lenders party thereto. Specifically, the Amendment amended and restated the ABC Group Credit Agreement to provide for the contribution of the Manitoba Harvest entities’ equity to the Borrower as additional collateral. Additionally, the Amendment added financial covenants for (i) minimum consolidated trailing-</w:t>
      </w:r>
      <w:r>
        <w:rPr>
          <w:rStyle w:val="Emphasis"/>
          <w:rFonts w:ascii="Times New Roman" w:hAnsi="Times New Roman"/>
          <w:caps w:val="false"/>
          <w:smallCaps w:val="false"/>
          <w:sz w:val="20"/>
        </w:rPr>
        <w:t>twelve</w:t>
      </w:r>
      <w:r>
        <w:rPr>
          <w:rFonts w:ascii="Times New Roman" w:hAnsi="Times New Roman"/>
          <w:caps w:val="false"/>
          <w:smallCaps w:val="false"/>
          <w:sz w:val="20"/>
        </w:rPr>
        <w:t>-months EBITDA for each of the </w:t>
      </w:r>
      <w:r>
        <w:rPr>
          <w:rStyle w:val="Emphasis"/>
          <w:rFonts w:ascii="Times New Roman" w:hAnsi="Times New Roman"/>
          <w:caps w:val="false"/>
          <w:smallCaps w:val="false"/>
          <w:sz w:val="20"/>
        </w:rPr>
        <w:t>four</w:t>
      </w:r>
      <w:r>
        <w:rPr>
          <w:rFonts w:ascii="Times New Roman" w:hAnsi="Times New Roman"/>
          <w:caps w:val="false"/>
          <w:smallCaps w:val="false"/>
          <w:sz w:val="20"/>
        </w:rPr>
        <w:t> quarters, beginning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and (ii) minimum liquidity. ABC Group has a revolving credit facility of $25,000, which bears interest at SOFR plus an applicable margin.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the Company has drawn $nil on the revolving line of credit under the ABC Group Credit Agreement. See Note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(Subsequent events) for disclosure of the sixth amendment to the Credit Agreement.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3700" w:type="dxa"/>
        <w:jc w:val="left"/>
        <w:tblInd w:w="0" w:type="dxa"/>
        <w:tblLayout w:type="fixed"/>
        <w:tblCellMar>
          <w:top w:w="0" w:type="dxa"/>
          <w:left w:w="0" w:type="dxa"/>
          <w:bottom w:w="0" w:type="dxa"/>
          <w:right w:w="0" w:type="dxa"/>
        </w:tblCellMar>
      </w:tblPr>
      <w:tblGrid>
        <w:gridCol w:w="275"/>
        <w:gridCol w:w="342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14.</w:t>
            </w:r>
          </w:p>
        </w:tc>
        <w:tc>
          <w:tcPr>
            <w:tcW w:w="34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payable and accrued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payable and accrued liabilities comprised of:</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3800"/>
        <w:gridCol w:w="60"/>
        <w:gridCol w:w="125"/>
        <w:gridCol w:w="695"/>
        <w:gridCol w:w="60"/>
        <w:gridCol w:w="60"/>
        <w:gridCol w:w="125"/>
        <w:gridCol w:w="695"/>
        <w:gridCol w:w="60"/>
      </w:tblGrid>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payables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107,348</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103,260</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Litigation accrual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12,431</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employment related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w:t>
            </w:r>
          </w:p>
        </w:tc>
        <w:tc>
          <w:tcPr>
            <w:tcW w:w="6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taxes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6,596</w:t>
            </w:r>
          </w:p>
        </w:tc>
        <w:tc>
          <w:tcPr>
            <w:tcW w:w="60" w:type="dxa"/>
            <w:tcBorders/>
            <w:shd w:fill="CCEEFF" w:val="clear"/>
            <w:vAlign w:val="center"/>
          </w:tcPr>
          <w:p>
            <w:pPr>
              <w:pStyle w:val="TableContents"/>
              <w:bidi w:val="0"/>
              <w:spacing w:before="0" w:after="0"/>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235,322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15.</w:t>
            </w:r>
          </w:p>
        </w:tc>
        <w:tc>
          <w:tcPr>
            <w:tcW w:w="13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Long-term debt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net carrying amount of long-term debt instruments: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C$53,000 - Canadian prime plus an applicable margin, 3-year term, with a 10-year amortization, repayable in equal quarterly payments due in February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38,690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C$25,000 - Canadian prime plus 1.00%, compounded monthly, 5-year term, with a 15-year amortization, repayable in equal monthly installments of C$181 including interest, due in July 2033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11,501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C$25,000 - Canadian prime plus 1.00%, compounded monthly, 5-year term, with a 15-year amortization, repayable in equal monthly installments of C$196 including interest, due in July 2033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9,354</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C$1,250 - Canadian prime plus 1.50%, 5-year term, with a 10-year amortization, repayable in equal monthly installments of C$12 including interest, due in August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C$3,750 - Canadian prime plus 1.50%, 5-year term, with a 20-year amortization, repayable in equal monthly installments of C$23 including interest, due in August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€3,500 ‐ at 4.59%, 5‐year term, repayable in monthly installments of €52 plus interest, due in August 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2,546</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Mortgage payable - $22,635 - EURIBOR rate plus 1.5%, 10-year term, repayable in monthly installments of $57 to $69, due in October 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 loan - $90,000 - SOFR plus an applicable margin, 5-year term, repayable in quarterly installments of $875 to $2,250 due in June 2028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63,688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80,438</w:t>
            </w:r>
          </w:p>
        </w:tc>
        <w:tc>
          <w:tcPr>
            <w:tcW w:w="80" w:type="dxa"/>
            <w:tcBorders/>
            <w:shd w:fill="FFFFFF" w:val="clear"/>
            <w:vAlign w:val="center"/>
          </w:tcPr>
          <w:p>
            <w:pPr>
              <w:pStyle w:val="TableContents"/>
              <w:bidi w:val="0"/>
              <w:spacing w:before="0" w:after="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Carrying amount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Unamortized financing fees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(864</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amount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163,260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principal portion included in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(14,767</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noncurrent portion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148,493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entered into a secured credit agreement on </w:t>
      </w:r>
      <w:r>
        <w:rPr>
          <w:rStyle w:val="Emphasis"/>
          <w:rFonts w:ascii="Times New Roman" w:hAnsi="Times New Roman"/>
          <w:caps w:val="false"/>
          <w:smallCaps w:val="false"/>
          <w:sz w:val="20"/>
        </w:rPr>
        <w:t xml:space="preserve"> November 28, 2022, </w:t>
      </w:r>
      <w:r>
        <w:rPr>
          <w:rFonts w:ascii="Times New Roman" w:hAnsi="Times New Roman"/>
          <w:caps w:val="false"/>
          <w:smallCaps w:val="false"/>
          <w:sz w:val="20"/>
        </w:rPr>
        <w:t>for a credit facility through its 51% owned subsidiary Aphria Diamond Inc. (“Aphria Diamond”). The principal amount of loans outstanding is secured by the property at </w:t>
      </w:r>
      <w:r>
        <w:rPr>
          <w:rStyle w:val="Emphasis"/>
          <w:rFonts w:ascii="Times New Roman" w:hAnsi="Times New Roman"/>
          <w:caps w:val="false"/>
          <w:smallCaps w:val="false"/>
          <w:sz w:val="20"/>
        </w:rPr>
        <w:t>620</w:t>
      </w:r>
      <w:r>
        <w:rPr>
          <w:rFonts w:ascii="Times New Roman" w:hAnsi="Times New Roman"/>
          <w:caps w:val="false"/>
          <w:smallCaps w:val="false"/>
          <w:sz w:val="20"/>
        </w:rPr>
        <w:t> Country Road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Leamington, Ontario, which is owned by Aphria Diamond and a guarantee from Aphria Inc. During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the Company refinanced this debt by entering into a new Credit Agreement. The Credit Agreement provides for a term loan equal to CAD $53,000 with a maturity date of </w:t>
      </w:r>
      <w:r>
        <w:rPr>
          <w:rStyle w:val="Emphasis"/>
          <w:rFonts w:ascii="Times New Roman" w:hAnsi="Times New Roman"/>
          <w:caps w:val="false"/>
          <w:smallCaps w:val="false"/>
          <w:sz w:val="20"/>
        </w:rPr>
        <w:t xml:space="preserve"> February 21, 2028. </w:t>
      </w:r>
      <w:r>
        <w:rPr>
          <w:rFonts w:ascii="Times New Roman" w:hAnsi="Times New Roman"/>
          <w:caps w:val="false"/>
          <w:smallCaps w:val="false"/>
          <w:sz w:val="20"/>
        </w:rPr>
        <w:t>The Company used CAD $48,171 of the proceeds from the Credit Agreement to repay in full all outstanding obligations under the prior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mortgage payable of C$25,000 was entered into on </w:t>
      </w:r>
      <w:r>
        <w:rPr>
          <w:rStyle w:val="Emphasis"/>
          <w:rFonts w:ascii="Times New Roman" w:hAnsi="Times New Roman"/>
          <w:caps w:val="false"/>
          <w:smallCaps w:val="false"/>
          <w:sz w:val="20"/>
        </w:rPr>
        <w:t xml:space="preserve">July 27, 2018 </w:t>
      </w:r>
      <w:r>
        <w:rPr>
          <w:rFonts w:ascii="Times New Roman" w:hAnsi="Times New Roman"/>
          <w:caps w:val="false"/>
          <w:smallCaps w:val="false"/>
          <w:sz w:val="20"/>
        </w:rPr>
        <w:t xml:space="preserve">and is secured by the property at </w:t>
      </w:r>
      <w:r>
        <w:rPr>
          <w:rStyle w:val="Emphasis"/>
          <w:rFonts w:ascii="Times New Roman" w:hAnsi="Times New Roman"/>
          <w:caps w:val="false"/>
          <w:smallCaps w:val="false"/>
          <w:sz w:val="20"/>
        </w:rPr>
        <w:t>223,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265,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269,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271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275</w:t>
      </w:r>
      <w:r>
        <w:rPr>
          <w:rFonts w:ascii="Times New Roman" w:hAnsi="Times New Roman"/>
          <w:caps w:val="false"/>
          <w:smallCaps w:val="false"/>
          <w:sz w:val="20"/>
        </w:rPr>
        <w:t xml:space="preserve"> Talbot Street West, Leamington Ontario,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position on a general security agreement, and an assignment of fire insurance to the lender.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C$25,000 was entered into on </w:t>
      </w:r>
      <w:r>
        <w:rPr>
          <w:rStyle w:val="Emphasis"/>
          <w:rFonts w:ascii="Times New Roman" w:hAnsi="Times New Roman"/>
          <w:caps w:val="false"/>
          <w:smallCaps w:val="false"/>
          <w:sz w:val="20"/>
        </w:rPr>
        <w:t xml:space="preserve">May 9, 2017 </w:t>
      </w:r>
      <w:r>
        <w:rPr>
          <w:rFonts w:ascii="Times New Roman" w:hAnsi="Times New Roman"/>
          <w:caps w:val="false"/>
          <w:smallCaps w:val="false"/>
          <w:sz w:val="20"/>
        </w:rPr>
        <w:t xml:space="preserve">and is secured by the property at </w:t>
      </w:r>
      <w:r>
        <w:rPr>
          <w:rStyle w:val="Emphasis"/>
          <w:rFonts w:ascii="Times New Roman" w:hAnsi="Times New Roman"/>
          <w:caps w:val="false"/>
          <w:smallCaps w:val="false"/>
          <w:sz w:val="20"/>
        </w:rPr>
        <w:t>265</w:t>
      </w:r>
      <w:r>
        <w:rPr>
          <w:rFonts w:ascii="Times New Roman" w:hAnsi="Times New Roman"/>
          <w:caps w:val="false"/>
          <w:smallCaps w:val="false"/>
          <w:sz w:val="20"/>
        </w:rPr>
        <w:t xml:space="preserve"> Talbot Street West, Leamington Ontario,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position on a general security agreement, and an assignment of fire insurance to the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C$1,250 and mortgage payable of C$3,750 were entered into on </w:t>
      </w:r>
      <w:r>
        <w:rPr>
          <w:rStyle w:val="Emphasis"/>
          <w:rFonts w:ascii="Times New Roman" w:hAnsi="Times New Roman"/>
          <w:caps w:val="false"/>
          <w:smallCaps w:val="false"/>
          <w:sz w:val="20"/>
        </w:rPr>
        <w:t xml:space="preserve">July 22, 2016 </w:t>
      </w:r>
      <w:r>
        <w:rPr>
          <w:rFonts w:ascii="Times New Roman" w:hAnsi="Times New Roman"/>
          <w:caps w:val="false"/>
          <w:smallCaps w:val="false"/>
          <w:sz w:val="20"/>
        </w:rPr>
        <w:t xml:space="preserve">and are secured by the property at </w:t>
      </w:r>
      <w:r>
        <w:rPr>
          <w:rStyle w:val="Emphasis"/>
          <w:rFonts w:ascii="Times New Roman" w:hAnsi="Times New Roman"/>
          <w:caps w:val="false"/>
          <w:smallCaps w:val="false"/>
          <w:sz w:val="20"/>
        </w:rPr>
        <w:t>265</w:t>
      </w:r>
      <w:r>
        <w:rPr>
          <w:rFonts w:ascii="Times New Roman" w:hAnsi="Times New Roman"/>
          <w:caps w:val="false"/>
          <w:smallCaps w:val="false"/>
          <w:sz w:val="20"/>
        </w:rPr>
        <w:t xml:space="preserve"> Talbot Street West, Leamington, Ontario and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position on a general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entered into term loans 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for €3,500 through wholly owned subsidiary CC Pharma. These term loans are secured against the distribution inventory held by CC Pharma and by the land where the facility is located and the building.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2021, </w:t>
      </w:r>
      <w:r>
        <w:rPr>
          <w:rFonts w:ascii="Times New Roman" w:hAnsi="Times New Roman"/>
          <w:caps w:val="false"/>
          <w:smallCaps w:val="false"/>
          <w:sz w:val="20"/>
        </w:rPr>
        <w:t>the Company acquired all the membership interests in Cheese Grits, LLC, a Georgia limited liability company that owns the SweetWater Brewing Company brewery and taproom in Atlanta, Georgia, which facility was previously leased to the Company. Cheese Grits, LLC, was owned by certain former equity holders of SweetWater and current employees. As part of this purchase, the Company, through subsidiary Cheese Grits, LLC, acquired the mortgage payable which is secured against the Sweetwater brewery and taproom.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of $90,000 was fully drawn on </w:t>
      </w:r>
      <w:r>
        <w:rPr>
          <w:rStyle w:val="Emphasis"/>
          <w:rFonts w:ascii="Times New Roman" w:hAnsi="Times New Roman"/>
          <w:caps w:val="false"/>
          <w:smallCaps w:val="false"/>
          <w:sz w:val="20"/>
        </w:rPr>
        <w:t>September 29, 2023 </w:t>
      </w:r>
      <w:r>
        <w:rPr>
          <w:rFonts w:ascii="Times New Roman" w:hAnsi="Times New Roman"/>
          <w:caps w:val="false"/>
          <w:smallCaps w:val="false"/>
          <w:sz w:val="20"/>
        </w:rPr>
        <w:t>to fund part of the purchase price for Craft Acquisition I. Under the terms of the ABC Group Secured Credit Agreement, the Company pledged all of ABC Group and the Wellness segment’s and its subsidiaries’ assets and the related equity interests, and Tilray Brands, Inc. provided a full guarantee of the borrowing obligations under the ABC Group Secured Credit Agreement, as well as requiring the lenders approval to transfer assets to Tilray Brands,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maintains certain financial covenants or minimum balances in certain cash operating accounts, and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was in compliance with all the long-term debt covenants.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2980" w:type="dxa"/>
        <w:jc w:val="left"/>
        <w:tblInd w:w="0" w:type="dxa"/>
        <w:tblLayout w:type="fixed"/>
        <w:tblCellMar>
          <w:top w:w="0" w:type="dxa"/>
          <w:left w:w="0" w:type="dxa"/>
          <w:bottom w:w="0" w:type="dxa"/>
          <w:right w:w="0" w:type="dxa"/>
        </w:tblCellMar>
      </w:tblPr>
      <w:tblGrid>
        <w:gridCol w:w="275"/>
        <w:gridCol w:w="270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16.</w:t>
            </w:r>
          </w:p>
        </w:tc>
        <w:tc>
          <w:tcPr>
            <w:tcW w:w="27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Convertible debentures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net carrying amount of the convertible debentures:</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4715"/>
        <w:gridCol w:w="60"/>
        <w:gridCol w:w="125"/>
        <w:gridCol w:w="590"/>
        <w:gridCol w:w="60"/>
        <w:gridCol w:w="60"/>
        <w:gridCol w:w="125"/>
        <w:gridCol w:w="590"/>
        <w:gridCol w:w="60"/>
      </w:tblGrid>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5.20% Convertible Notes ("TLRY 27")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79,529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86,428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7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Deduct - 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jc w:val="left"/>
              <w:rPr/>
            </w:pPr>
            <w:r>
              <w:rPr/>
              <w:t> </w:t>
            </w:r>
          </w:p>
        </w:tc>
      </w:tr>
      <w:tr>
        <w:trPr/>
        <w:tc>
          <w:tcPr>
            <w:tcW w:w="4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convertible debentures payable, non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380" w:right="0" w:hanging="0"/>
        <w:jc w:val="left"/>
        <w:rPr/>
      </w:pPr>
      <w:r>
        <w:rPr>
          <w:rFonts w:ascii="Times New Roman" w:hAnsi="Times New Roman"/>
          <w:i/>
          <w:caps w:val="false"/>
          <w:smallCaps w:val="false"/>
          <w:sz w:val="20"/>
        </w:rPr>
        <w:t xml:space="preserve">TLRY </w:t>
      </w:r>
      <w:r>
        <w:rPr>
          <w:rStyle w:val="Emphasis"/>
          <w:rFonts w:ascii="Times New Roman" w:hAnsi="Times New Roman"/>
          <w:i/>
          <w:caps w:val="false"/>
          <w:smallCaps w:val="false"/>
          <w:sz w:val="20"/>
        </w:rPr>
        <w:t>27</w:t>
      </w:r>
    </w:p>
    <w:p>
      <w:pPr>
        <w:pStyle w:val="TextBody"/>
        <w:bidi w:val="0"/>
        <w:spacing w:before="0" w:after="0"/>
        <w:ind w:left="0" w:right="0" w:firstLine="72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2405"/>
        <w:gridCol w:w="60"/>
        <w:gridCol w:w="125"/>
        <w:gridCol w:w="695"/>
        <w:gridCol w:w="80"/>
        <w:gridCol w:w="60"/>
        <w:gridCol w:w="125"/>
        <w:gridCol w:w="695"/>
        <w:gridCol w:w="8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5.20% Contractual debenture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settlement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(84,500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discount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(18,572</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TLRY </w:t>
      </w:r>
      <w:r>
        <w:rPr>
          <w:rStyle w:val="Emphasis"/>
          <w:rFonts w:ascii="Times New Roman" w:hAnsi="Times New Roman"/>
          <w:caps w:val="false"/>
          <w:smallCaps w:val="false"/>
          <w:sz w:val="20"/>
        </w:rPr>
        <w:t>27</w:t>
      </w:r>
      <w:r>
        <w:rPr>
          <w:rFonts w:ascii="Times New Roman" w:hAnsi="Times New Roman"/>
          <w:caps w:val="false"/>
          <w:smallCaps w:val="false"/>
          <w:sz w:val="20"/>
        </w:rPr>
        <w:t> convertible debentures were issued on </w:t>
      </w:r>
      <w:r>
        <w:rPr>
          <w:rStyle w:val="Emphasis"/>
          <w:rFonts w:ascii="Times New Roman" w:hAnsi="Times New Roman"/>
          <w:caps w:val="false"/>
          <w:smallCaps w:val="false"/>
          <w:sz w:val="20"/>
        </w:rPr>
        <w:t xml:space="preserve"> May 30, 2023 </w:t>
      </w:r>
      <w:r>
        <w:rPr>
          <w:rFonts w:ascii="Times New Roman" w:hAnsi="Times New Roman"/>
          <w:caps w:val="false"/>
          <w:smallCaps w:val="false"/>
          <w:sz w:val="20"/>
        </w:rPr>
        <w:t>and on </w:t>
      </w:r>
      <w:r>
        <w:rPr>
          <w:rStyle w:val="Emphasis"/>
          <w:rFonts w:ascii="Times New Roman" w:hAnsi="Times New Roman"/>
          <w:caps w:val="false"/>
          <w:smallCaps w:val="false"/>
          <w:sz w:val="20"/>
        </w:rPr>
        <w:t xml:space="preserve"> June 9, 2023 </w:t>
      </w:r>
      <w:r>
        <w:rPr>
          <w:rFonts w:ascii="Times New Roman" w:hAnsi="Times New Roman"/>
          <w:caps w:val="false"/>
          <w:smallCaps w:val="false"/>
          <w:sz w:val="20"/>
        </w:rPr>
        <w:t>by way of overallotment, in the principal amount of $172,500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bear interest at a rate of 5.20% per annum, payable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and mature on </w:t>
      </w:r>
      <w:r>
        <w:rPr>
          <w:rStyle w:val="Emphasis"/>
          <w:rFonts w:ascii="Times New Roman" w:hAnsi="Times New Roman"/>
          <w:caps w:val="false"/>
          <w:smallCaps w:val="false"/>
          <w:sz w:val="20"/>
        </w:rPr>
        <w:t xml:space="preserve"> June 15, 2027, </w:t>
      </w:r>
      <w:r>
        <w:rPr>
          <w:rFonts w:ascii="Times New Roman" w:hAnsi="Times New Roman"/>
          <w:caps w:val="false"/>
          <w:smallCaps w:val="false"/>
          <w:sz w:val="20"/>
        </w:rPr>
        <w:t>unless earlier converted.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are Tilray’s general unsecured obligations and rank senior in right of payment to all of Tilray’s indebtedness that is expressly subordinated in right of payment to the notes; equal in right of payment with any of Tilray’s unsecured indebtedness that is </w:t>
      </w:r>
      <w:r>
        <w:rPr>
          <w:rStyle w:val="Emphasis"/>
          <w:rFonts w:ascii="Times New Roman" w:hAnsi="Times New Roman"/>
          <w:caps w:val="false"/>
          <w:smallCaps w:val="false"/>
          <w:sz w:val="20"/>
        </w:rPr>
        <w:t>not</w:t>
      </w:r>
      <w:r>
        <w:rPr>
          <w:rFonts w:ascii="Times New Roman" w:hAnsi="Times New Roman"/>
          <w:caps w:val="false"/>
          <w:smallCaps w:val="false"/>
          <w:sz w:val="20"/>
        </w:rPr>
        <w:t> so subordinated,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have the right to convert their TLRY </w:t>
      </w:r>
      <w:r>
        <w:rPr>
          <w:rStyle w:val="Emphasis"/>
          <w:rFonts w:ascii="Times New Roman" w:hAnsi="Times New Roman"/>
          <w:caps w:val="false"/>
          <w:smallCaps w:val="false"/>
          <w:sz w:val="20"/>
        </w:rPr>
        <w:t>27</w:t>
      </w:r>
      <w:r>
        <w:rPr>
          <w:rFonts w:ascii="Times New Roman" w:hAnsi="Times New Roman"/>
          <w:caps w:val="false"/>
          <w:smallCaps w:val="false"/>
          <w:sz w:val="20"/>
        </w:rPr>
        <w:t> Notes into shares of Tilray’s Common Stock at their option, at any time,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scheduled trading day immediately before </w:t>
      </w:r>
      <w:r>
        <w:rPr>
          <w:rStyle w:val="Emphasis"/>
          <w:rFonts w:ascii="Times New Roman" w:hAnsi="Times New Roman"/>
          <w:caps w:val="false"/>
          <w:smallCaps w:val="false"/>
          <w:sz w:val="20"/>
        </w:rPr>
        <w:t>June 15, 2027. </w:t>
      </w:r>
      <w:r>
        <w:rPr>
          <w:rFonts w:ascii="Times New Roman" w:hAnsi="Times New Roman"/>
          <w:caps w:val="false"/>
          <w:smallCaps w:val="false"/>
          <w:sz w:val="20"/>
        </w:rPr>
        <w:t>The initial conversion rate is approximately 37.66 shares per $1,000 principal amount of TLRY </w:t>
      </w:r>
      <w:r>
        <w:rPr>
          <w:rStyle w:val="Emphasis"/>
          <w:rFonts w:ascii="Times New Roman" w:hAnsi="Times New Roman"/>
          <w:caps w:val="false"/>
          <w:smallCaps w:val="false"/>
          <w:sz w:val="20"/>
        </w:rPr>
        <w:t>27</w:t>
      </w:r>
      <w:r>
        <w:rPr>
          <w:rFonts w:ascii="Times New Roman" w:hAnsi="Times New Roman"/>
          <w:caps w:val="false"/>
          <w:smallCaps w:val="false"/>
          <w:sz w:val="20"/>
        </w:rPr>
        <w:t> Notes, which represents a conversion price of approximately $26.55 per share. The conversion rate and conversion price will be subject to adjustment upon the occurrence of certain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are redeemable, in whole and </w:t>
      </w:r>
      <w:r>
        <w:rPr>
          <w:rStyle w:val="Emphasis"/>
          <w:rFonts w:ascii="Times New Roman" w:hAnsi="Times New Roman"/>
          <w:caps w:val="false"/>
          <w:smallCaps w:val="false"/>
          <w:sz w:val="20"/>
        </w:rPr>
        <w:t>not</w:t>
      </w:r>
      <w:r>
        <w:rPr>
          <w:rFonts w:ascii="Times New Roman" w:hAnsi="Times New Roman"/>
          <w:caps w:val="false"/>
          <w:smallCaps w:val="false"/>
          <w:sz w:val="20"/>
        </w:rPr>
        <w:t> in part, at Tilray’s option at any time on or after </w:t>
      </w:r>
      <w:r>
        <w:rPr>
          <w:rStyle w:val="Emphasis"/>
          <w:rFonts w:ascii="Times New Roman" w:hAnsi="Times New Roman"/>
          <w:caps w:val="false"/>
          <w:smallCaps w:val="false"/>
          <w:sz w:val="20"/>
        </w:rPr>
        <w:t xml:space="preserve"> June 20, 2025 </w:t>
      </w:r>
      <w:r>
        <w:rPr>
          <w:rFonts w:ascii="Times New Roman" w:hAnsi="Times New Roman"/>
          <w:caps w:val="false"/>
          <w:smallCaps w:val="false"/>
          <w:sz w:val="20"/>
        </w:rPr>
        <w:t>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Tilray to repurchase their TLRY </w:t>
      </w:r>
      <w:r>
        <w:rPr>
          <w:rStyle w:val="Emphasis"/>
          <w:rFonts w:ascii="Times New Roman" w:hAnsi="Times New Roman"/>
          <w:caps w:val="false"/>
          <w:smallCaps w:val="false"/>
          <w:sz w:val="20"/>
        </w:rPr>
        <w:t>27</w:t>
      </w:r>
      <w:r>
        <w:rPr>
          <w:rFonts w:ascii="Times New Roman" w:hAnsi="Times New Roman"/>
          <w:caps w:val="false"/>
          <w:smallCaps w:val="false"/>
          <w:sz w:val="20"/>
        </w:rPr>
        <w:t> Notes for cash. The repurchase price will be equal to the principal amount of the notes to be repurchased, plus accrued and unpaid interest, if any, to, but excluding, the applicable repurchase date. In connection with the Company’s offering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Company entered into a share lending agreement with an affiliate of Jefferies LLC (the “Share Borrower”), pursuant to which it lent to the Share Borrower 3,850,000 shares of the Company’s Common Stock (the “Borrowed Shares”). The Borrowed Shares were newly-issued shares, will be held as treasury shares until the expiration or early termination of the share lending agreement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used by purchasers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to sell up to 3,850,000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receive any proceeds from the sale of the Borrowed Shares.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95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exchanged an aggregate $17,000 of its TLRY </w:t>
      </w:r>
      <w:r>
        <w:rPr>
          <w:rStyle w:val="Emphasis"/>
          <w:rFonts w:ascii="Times New Roman" w:hAnsi="Times New Roman"/>
          <w:caps w:val="false"/>
          <w:smallCaps w:val="false"/>
          <w:sz w:val="20"/>
        </w:rPr>
        <w:t>27</w:t>
      </w:r>
      <w:r>
        <w:rPr>
          <w:rFonts w:ascii="Times New Roman" w:hAnsi="Times New Roman"/>
          <w:caps w:val="false"/>
          <w:smallCaps w:val="false"/>
          <w:sz w:val="20"/>
        </w:rPr>
        <w:t> Notes for cancellation, by issuing 3,138,878 shares of Common Stock and paying $208 in cash to settle accrued interest. Upon exchanging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Notes, a portion of the settlement consideration was allocated to the equity component of the instrument and was recognized as a $4,394 reduction of additional paid-in capital in the Consolidated Statements of Stockholders’ Equity. Additionally, this repurchase resulted in a gain of $2,047 which was recorded in other non-operating (losses) gains, net as shown in Note </w:t>
      </w:r>
      <w:r>
        <w:rPr>
          <w:rStyle w:val="Emphasis"/>
          <w:rFonts w:ascii="Times New Roman" w:hAnsi="Times New Roman"/>
          <w:caps w:val="false"/>
          <w:smallCaps w:val="false"/>
          <w:sz w:val="20"/>
        </w:rPr>
        <w:t>26</w:t>
      </w:r>
      <w:r>
        <w:rPr>
          <w:rFonts w:ascii="Times New Roman" w:hAnsi="Times New Roman"/>
          <w:caps w:val="false"/>
          <w:smallCaps w:val="false"/>
          <w:sz w:val="20"/>
        </w:rPr>
        <w:t> (Non-operating income (expense)). Following consummation of the exchange, the number of outstanding Borrowed Shares of Common Stock was reduced by 379,420 shares which were then returned as Treasury Stock.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a total of 1,964,058 and 2,434,378 shares remained outstanding under the share lending arrangement, respectively. Current and prior year share amounts have been retrospectively adjusted to reflect the Reverse Stock Split, which became effective on </w:t>
      </w:r>
      <w:r>
        <w:rPr>
          <w:rStyle w:val="Emphasis"/>
          <w:rFonts w:ascii="Times New Roman" w:hAnsi="Times New Roman"/>
          <w:caps w:val="false"/>
          <w:smallCaps w:val="false"/>
          <w:sz w:val="20"/>
        </w:rPr>
        <w:t xml:space="preserve"> December 2, 2025,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(Basis of preparation)</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recognized interest expense of $5,138 and accretion of amortized discount interest of $7,914. For the same periods in the prior year Company recognized interest expense of $7,775 and accretion of amortized discount interest of $10,863.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May 31, 2026</w:t>
      </w:r>
      <w:r>
        <w:rPr>
          <w:rFonts w:ascii="Times New Roman" w:hAnsi="Times New Roman"/>
          <w:caps w:val="false"/>
          <w:smallCaps w:val="false"/>
          <w:sz w:val="20"/>
        </w:rPr>
        <w:t>, there was $88,000 principal outstanding compared to $105,000 principal outstanding as of </w:t>
      </w:r>
      <w:r>
        <w:rPr>
          <w:rStyle w:val="Emphasis"/>
          <w:rFonts w:ascii="Times New Roman" w:hAnsi="Times New Roman"/>
          <w:caps w:val="false"/>
          <w:smallCaps w:val="false"/>
          <w:sz w:val="20"/>
        </w:rPr>
        <w:t xml:space="preserve"> May 31, 2025</w:t>
      </w:r>
      <w:r>
        <w:rPr>
          <w:rFonts w:ascii="Times New Roman" w:hAnsi="Times New Roman"/>
          <w:caps w:val="false"/>
          <w:smallCaps w:val="false"/>
          <w:sz w:val="20"/>
        </w:rPr>
        <w:t> under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See Note </w:t>
      </w:r>
      <w:r>
        <w:rPr>
          <w:rStyle w:val="Emphasis"/>
          <w:rFonts w:ascii="Times New Roman" w:hAnsi="Times New Roman"/>
          <w:caps w:val="false"/>
          <w:smallCaps w:val="false"/>
          <w:sz w:val="20"/>
        </w:rPr>
        <w:t>30</w:t>
      </w:r>
      <w:r>
        <w:rPr>
          <w:rFonts w:ascii="Times New Roman" w:hAnsi="Times New Roman"/>
          <w:caps w:val="false"/>
          <w:smallCaps w:val="false"/>
          <w:sz w:val="20"/>
        </w:rPr>
        <w:t> (Subsequent events) for additional transactions after the period.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17.</w:t>
            </w:r>
          </w:p>
        </w:tc>
        <w:tc>
          <w:tcPr>
            <w:tcW w:w="15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Warrant Liability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Between </w:t>
      </w:r>
      <w:r>
        <w:rPr>
          <w:rStyle w:val="Emphasis"/>
          <w:rFonts w:ascii="Times New Roman" w:hAnsi="Times New Roman"/>
          <w:caps w:val="false"/>
          <w:smallCaps w:val="false"/>
          <w:sz w:val="20"/>
        </w:rPr>
        <w:t xml:space="preserve"> September 5,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September 15, 2025,</w:t>
      </w:r>
      <w:r>
        <w:rPr>
          <w:rFonts w:ascii="Times New Roman" w:hAnsi="Times New Roman"/>
          <w:caps w:val="false"/>
          <w:smallCaps w:val="false"/>
          <w:sz w:val="20"/>
        </w:rPr>
        <w:t xml:space="preserve"> certain holders elected to exercise an aggregate of 620,900 of the Company’s issued and outstanding warrants in accordance with their terms. Pursuant to the exercise of such warrants, Tilray received $2,367 of cash consideration and issued 620,900 shares of common stock to such holders. As of </w:t>
      </w:r>
      <w:r>
        <w:rPr>
          <w:rStyle w:val="Emphasis"/>
          <w:rFonts w:ascii="Times New Roman" w:hAnsi="Times New Roman"/>
          <w:caps w:val="false"/>
          <w:smallCaps w:val="false"/>
          <w:sz w:val="20"/>
        </w:rPr>
        <w:t>May 31,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there were nil and 620,900 warrants outstanding, respectively. Current and prior year share amounts have been retrospectively adjusted to reflect the Reverse Stock Split, which became effective on </w:t>
      </w:r>
      <w:r>
        <w:rPr>
          <w:rStyle w:val="Emphasis"/>
          <w:rFonts w:ascii="Times New Roman" w:hAnsi="Times New Roman"/>
          <w:caps w:val="false"/>
          <w:smallCaps w:val="false"/>
          <w:sz w:val="20"/>
        </w:rPr>
        <w:t xml:space="preserve"> December 2, 2025,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(Basis of presentation).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18.</w:t>
            </w:r>
          </w:p>
        </w:tc>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Stockholders</w:t>
            </w:r>
            <w:r>
              <w:rPr>
                <w:rFonts w:ascii="Times New Roman" w:hAnsi="Times New Roman"/>
                <w:caps w:val="false"/>
                <w:smallCaps w:val="false"/>
                <w:sz w:val="20"/>
              </w:rPr>
              <w:t>’ </w:t>
            </w:r>
            <w:r>
              <w:rPr>
                <w:rFonts w:ascii="Times New Roman" w:hAnsi="Times New Roman"/>
                <w:b/>
                <w:caps w:val="false"/>
                <w:smallCaps w:val="false"/>
                <w:sz w:val="20"/>
              </w:rPr>
              <w:t xml:space="preserve">equity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Pursuant to its Fifth Amended and Restated Certificate of Incorporation, the total number of shares that the Company is authorized to issue is 1,426,000,000 shares, of which 1,416,000,000 shares are Common Stock (the “Common Stock”), and 10,000,000 shares of which are Preferred Stock (the “Preferred Stock”).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had issued and outstanding 131,683,075 shares of Common Stock, 589,217 shares of Treasury Stock (the “Treasury Stock”) and no Preferred Stock. Historically, the Company has issued shares of its Common Stock in consideration for acquisitions and other strategic transactions, settlement of convertible notes, settlement of litigation claims, in connection with public offerings and as payment of dividends to non-controlling interests for profit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issued the following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4" w:type="dxa"/>
            <w:tcBorders/>
            <w:vAlign w:val="center"/>
          </w:tcPr>
          <w:p>
            <w:pPr>
              <w:pStyle w:val="TableContents"/>
              <w:bidi w:val="0"/>
              <w:spacing w:before="0" w:after="283"/>
              <w:jc w:val="both"/>
              <w:rPr/>
            </w:pPr>
            <w:r>
              <w:rPr/>
              <w:t>19,625,505 shares of Common Stock were issued pursuant to its At-the-Market (“ATM”) program, which generated gross proceeds of $161,636 and net proceeds of $157,974, after deducting $3,662 in commissions and other fees associated with these issuances.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3" w:type="dxa"/>
            <w:tcBorders/>
            <w:vAlign w:val="center"/>
          </w:tcPr>
          <w:p>
            <w:pPr>
              <w:pStyle w:val="TableContents"/>
              <w:bidi w:val="0"/>
              <w:spacing w:before="0" w:after="283"/>
              <w:jc w:val="both"/>
              <w:rPr/>
            </w:pPr>
            <w:r>
              <w:rPr/>
              <w:t>3,138,878 shares of Common Stock were issued in the amount of $17,157 to exchange the aggregate principal of $17,000 of its TLRY </w:t>
            </w:r>
            <w:r>
              <w:rPr>
                <w:rStyle w:val="Emphasis"/>
              </w:rPr>
              <w:t>27</w:t>
            </w:r>
            <w:r>
              <w:rPr/>
              <w:t> Notes for cancellation. Upon exchanging the TLRY </w:t>
            </w:r>
            <w:r>
              <w:rPr>
                <w:rStyle w:val="Emphasis"/>
              </w:rPr>
              <w:t>27</w:t>
            </w:r>
            <w:r>
              <w:rPr/>
              <w:t> Notes, a portion of the settlement consideration was allocated to the equity component of the instrument and was recognized as a $4,394 reduction of additional paid-in capital. Following consummation of the exchange, the number of outstanding Borrowed Shares of Common Stock was reduced by 379,420 shares which were then returned as Treasury Stock, see Note </w:t>
            </w:r>
            <w:r>
              <w:rPr>
                <w:rStyle w:val="Emphasis"/>
              </w:rPr>
              <w:t>16</w:t>
            </w:r>
            <w:r>
              <w:rPr/>
              <w:t> (Convertible debentures).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2"/>
        <w:gridCol w:w="9993"/>
      </w:tblGrid>
      <w:tr>
        <w:trPr/>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3" w:type="dxa"/>
            <w:tcBorders/>
            <w:vAlign w:val="center"/>
          </w:tcPr>
          <w:p>
            <w:pPr>
              <w:pStyle w:val="TableContents"/>
              <w:bidi w:val="0"/>
              <w:spacing w:before="0" w:after="283"/>
              <w:jc w:val="both"/>
              <w:rPr/>
            </w:pPr>
            <w:r>
              <w:rPr/>
              <w:t>861,707 shares of Common Stock to settle dividends payable to the non-controlling shareholders of Aphria Diamond in the amount of $14,821.</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85"/>
        <w:gridCol w:w="707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070" w:type="dxa"/>
            <w:tcBorders/>
            <w:vAlign w:val="center"/>
          </w:tcPr>
          <w:p>
            <w:pPr>
              <w:pStyle w:val="TableContents"/>
              <w:bidi w:val="0"/>
              <w:spacing w:before="0" w:after="283"/>
              <w:jc w:val="both"/>
              <w:rPr/>
            </w:pPr>
            <w:r>
              <w:rPr/>
              <w:t>620,900 shares of Common Stock were issued to settle exercised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91" w:type="dxa"/>
            <w:tcBorders/>
            <w:vAlign w:val="center"/>
          </w:tcPr>
          <w:p>
            <w:pPr>
              <w:pStyle w:val="TableContents"/>
              <w:bidi w:val="0"/>
              <w:spacing w:before="0" w:after="283"/>
              <w:jc w:val="both"/>
              <w:rPr/>
            </w:pPr>
            <w:r>
              <w:rPr/>
              <w:t>20,652 shares of Common Stock were cancelled pursuant to the treatment of fractional shares in connection with the Reverse Stock Split.</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40"/>
        <w:gridCol w:w="983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830" w:type="dxa"/>
            <w:tcBorders/>
            <w:vAlign w:val="center"/>
          </w:tcPr>
          <w:p>
            <w:pPr>
              <w:pStyle w:val="TableContents"/>
              <w:bidi w:val="0"/>
              <w:spacing w:before="0" w:after="283"/>
              <w:jc w:val="both"/>
              <w:rPr/>
            </w:pPr>
            <w:r>
              <w:rPr/>
              <w:t xml:space="preserve">398,666 shares of Common Stock were issued for Lyphe acquisition, see Note </w:t>
            </w:r>
            <w:r>
              <w:rPr>
                <w:rStyle w:val="Emphasis"/>
              </w:rPr>
              <w:t>9</w:t>
            </w:r>
            <w:r>
              <w:rPr/>
              <w:t> (Business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82" w:type="dxa"/>
            <w:tcBorders/>
            <w:vAlign w:val="center"/>
          </w:tcPr>
          <w:p>
            <w:pPr>
              <w:pStyle w:val="TableContents"/>
              <w:bidi w:val="0"/>
              <w:spacing w:before="0" w:after="283"/>
              <w:jc w:val="both"/>
              <w:rPr/>
            </w:pPr>
            <w:r>
              <w:rPr/>
              <w:t>990,196 shares of Common Stock were issued in connection with the exercise of previously awarded stock-based compensation awards, net of cancellations.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aggregate, during the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379,420 shares were returned in connection with the share lending agreement related to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which were recorded as Treasury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All current and prior year share amounts have been retrospectively adjusted to reflect the Reverse Stock Split, which became effective on </w:t>
      </w:r>
      <w:r>
        <w:rPr>
          <w:rStyle w:val="Emphasis"/>
          <w:rFonts w:ascii="Times New Roman" w:hAnsi="Times New Roman"/>
          <w:caps w:val="false"/>
          <w:smallCaps w:val="false"/>
          <w:sz w:val="20"/>
        </w:rPr>
        <w:t xml:space="preserve"> December 2, 2025,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(Basis of preparation). </w:t>
      </w:r>
    </w:p>
    <w:p>
      <w:pPr>
        <w:pStyle w:val="TextBody"/>
        <w:bidi w:val="0"/>
        <w:spacing w:before="0" w:after="0"/>
        <w:ind w:left="0" w:right="0" w:hanging="0"/>
        <w:jc w:val="righ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stock-based compensation plans as disclosed in our Annual Financial Statements.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the total stock-based compensation was $45,940. For the fiscal years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the total stock-based compensation was $24,289 and $31,769,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the Company granted 4,562,669 time-based RSUs, and nil performance-based RSUs. For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the Company granted 1,350,513 time-based RSUs and nil performance-based RSUs.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During the fiscal year ended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the Company issued (i) 756,615 performance</w:t>
        <w:noBreakHyphen/>
        <w:t>based restricted stock units (the “Performance</w:t>
        <w:noBreakHyphen/>
        <w:t>Based RSUs”) and (ii) additional performance</w:t>
        <w:noBreakHyphen/>
        <w:t>based awards payable in cash or, at the discretion of the Company’s Compensation Committee, in shares of the Company’s common stock (the “Performance</w:t>
        <w:noBreakHyphen/>
        <w:t>Based Elective Settlement Award,” and together with the Performance</w:t>
        <w:noBreakHyphen/>
        <w:t>Based RSUs, the “Performance</w:t>
        <w:noBreakHyphen/>
        <w:t>Based Awards”). The Performance</w:t>
        <w:noBreakHyphen/>
        <w:t>Based Awards were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granted for accounting purposes at the time of issuance because the applicable performance conditions had </w:t>
      </w:r>
      <w:r>
        <w:rPr>
          <w:rStyle w:val="Emphasis"/>
          <w:rFonts w:ascii="Times New Roman" w:hAnsi="Times New Roman"/>
          <w:caps w:val="false"/>
          <w:smallCaps w:val="false"/>
          <w:sz w:val="20"/>
        </w:rPr>
        <w:t>not</w:t>
      </w:r>
      <w:r>
        <w:rPr>
          <w:rFonts w:ascii="Times New Roman" w:hAnsi="Times New Roman"/>
          <w:caps w:val="false"/>
          <w:smallCaps w:val="false"/>
          <w:sz w:val="20"/>
        </w:rPr>
        <w:t> yet been established or approved.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compensation expense was recognized within the Consolidated Statements of Loss at that time. During the period from issuance through the fiscal year-ended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number of outstanding Performance</w:t>
        <w:noBreakHyphen/>
        <w:t>Based RSUs was reduced from 756,615 to 744,117 as a result of employee attrition, and the Performance</w:t>
        <w:noBreakHyphen/>
        <w:t>Based Elective Settlement Awards were also correspondingly reduced.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2025, </w:t>
      </w:r>
      <w:r>
        <w:rPr>
          <w:rFonts w:ascii="Times New Roman" w:hAnsi="Times New Roman"/>
          <w:caps w:val="false"/>
          <w:smallCaps w:val="false"/>
          <w:sz w:val="20"/>
        </w:rPr>
        <w:t>the Company established and approved the relevant performance conditions for the Performance</w:t>
        <w:noBreakHyphen/>
        <w:t>Based Awards and, as a result, the awards were considered granted for accounting purposes. Beginning in the quarter ended </w:t>
      </w:r>
      <w:r>
        <w:rPr>
          <w:rStyle w:val="Emphasis"/>
          <w:rFonts w:ascii="Times New Roman" w:hAnsi="Times New Roman"/>
          <w:caps w:val="false"/>
          <w:smallCaps w:val="false"/>
          <w:sz w:val="20"/>
        </w:rPr>
        <w:t xml:space="preserve"> November 30, 2025, </w:t>
      </w:r>
      <w:r>
        <w:rPr>
          <w:rFonts w:ascii="Times New Roman" w:hAnsi="Times New Roman"/>
          <w:caps w:val="false"/>
          <w:smallCaps w:val="false"/>
          <w:sz w:val="20"/>
        </w:rPr>
        <w:t>the Company commenced recognition of stock</w:t>
        <w:noBreakHyphen/>
        <w:t>based compensation expense based on the grant</w:t>
        <w:noBreakHyphen/>
        <w:t>date fair value of the Performance</w:t>
        <w:noBreakHyphen/>
        <w:t>Based Awards, which is being recognized over the remaining requisite service period. The Company currently expects the Performance</w:t>
        <w:noBreakHyphen/>
        <w:t>Based Elective Settlement Award to be settled in shares of common stock. Moreover, because the Performance</w:t>
        <w:noBreakHyphen/>
        <w:t>Based Elective Settlement Award has a fixed monetary value and is settleable in a variable number of shares, it is classified as a liability within the statement of Financial Position. The Performance</w:t>
        <w:noBreakHyphen/>
        <w:t>Based RSUs are classified as equity awards and are reflected within stockholders’ equity.</w:t>
      </w:r>
    </w:p>
    <w:p>
      <w:pPr>
        <w:pStyle w:val="TextBody"/>
        <w:bidi w:val="0"/>
        <w:spacing w:before="0" w:after="0"/>
        <w:ind w:left="0" w:right="0" w:firstLine="18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operates multiple stock-based award plans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Tilray </w:t>
      </w: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and Original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(EIP) authorizes the award of stock options, restricted stock units (“RSUs”) and stock appreciation rights (“SARs”) to employees, including officers, non-employee directors and consultants and the employees and consultants of our affiliates. Shares subject to awards granted under the EIP that expire or terminate without being exercised in full, or that are paid out in cash rather than in shares,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number of shares available for issuance under the EIP. Additionally, shares become available for future grant under the EIP if they were issued under the EIP and if the Company repurchases them or they are forfeited. This includes shares used to pay the exercise price of an award or to satisfy the tax withholding obligations related to an award. The maximum number of shares of common stock subject to stock awards granted under the EIP or otherwise during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calendar year to any non-employee director, taken together with any cash fees paid by the Company to such non-employee director during such calendar year for service on the Board of Directors,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five hundred thousand dollars in total value, calculating the value of any such stock awards based on the grant date fair value of such stock awards for financial reporting purposes, or, with respect to the calendar year in which a nonemployee director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appointed or elected to our Board of Directors, one million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 options represent the right to purchase shares of our common stock on the date of exercise at a stated exercise price. The exercise price of a stock option generally must be at least equal to the fair market value of our shares of common stock on the date of grant. The Company’s compensation committee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for stock options to be exercised only as they vest or to be immediately exercisable with any shares issued on exercise being subject to the Company’s right of repurchase that lapses as the shares vest. The maximum term of stock options granted under the EIP is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RSUs represent a right to receive common stock or their cash equivalent for each RSU that vests, which vesting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based on time or achievement of performance conditions. Unless otherwise determined by our compensation committee at the time of grant, vesting will cease on the date the participant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provides services to the Company and unvested shares will be forfeited. If an RSU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forfeited, then on the date specified in the RSUs, the Company will deliver to the holder a number of whole shares of common stock, cash or a combination of shares of our common stock and cash. Additionally, dividend equivalents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SARs provide for a payment, or payments, in cash or shares of common stock to the holder based upon the difference between the fair market value of shares of our common stock on the date of exercise and the stated exercise price. The maximum term of SARs granted under the EIP is ten years. No SARs were issued to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EIP permits the grant of performance-based stock and cash awards. The performance goals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based on Company-wide performance or performance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business units, divisions, affiliates or business segments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absolute or relative to the performance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comparable companies or the performance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conjunction with the reverse acquisition with Aphria Inc on </w:t>
      </w:r>
      <w:r>
        <w:rPr>
          <w:rStyle w:val="Emphasis"/>
          <w:rFonts w:ascii="Times New Roman" w:hAnsi="Times New Roman"/>
          <w:caps w:val="false"/>
          <w:smallCaps w:val="false"/>
          <w:sz w:val="20"/>
        </w:rPr>
        <w:t xml:space="preserve">April 30, 2021, </w:t>
      </w:r>
      <w:r>
        <w:rPr>
          <w:rFonts w:ascii="Times New Roman" w:hAnsi="Times New Roman"/>
          <w:caps w:val="false"/>
          <w:smallCaps w:val="false"/>
          <w:sz w:val="20"/>
        </w:rPr>
        <w:t xml:space="preserve">980,685 shares of common stock had been reserved for issuance under the EIP. The number of shares of common stock reserved for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EIP will automatically increase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calendar year, for a period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than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starting on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 xml:space="preserve">January 1, 2027, </w:t>
      </w:r>
      <w:r>
        <w:rPr>
          <w:rFonts w:ascii="Times New Roman" w:hAnsi="Times New Roman"/>
          <w:caps w:val="false"/>
          <w:smallCaps w:val="false"/>
          <w:sz w:val="20"/>
        </w:rPr>
        <w:t xml:space="preserve">in an amount equal to 4% of the total number of shares of our common stock outstanding on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of the prior calendar year, or a lesser number of shares determined by our Board of Directors. The shares reserved include only the outstanding shares related to stock options and RSUs and excludes stock options outstanding under the Original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employees and other service providers of the Company participate in the equity-based compensation plan of Privateer Holdings, Inc (the “Original Plan”) under the terms and valuation method detailed below. 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 stock options were granted under the EIP during the fiscal years ended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Stock-based activity under the EIP and Original Plan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7312" w:type="dxa"/>
        <w:jc w:val="left"/>
        <w:tblInd w:w="0" w:type="dxa"/>
        <w:tblLayout w:type="fixed"/>
        <w:tblCellMar>
          <w:top w:w="0" w:type="dxa"/>
          <w:left w:w="0" w:type="dxa"/>
          <w:bottom w:w="0" w:type="dxa"/>
          <w:right w:w="0" w:type="dxa"/>
        </w:tblCellMar>
      </w:tblPr>
      <w:tblGrid>
        <w:gridCol w:w="3005"/>
        <w:gridCol w:w="60"/>
        <w:gridCol w:w="60"/>
        <w:gridCol w:w="695"/>
        <w:gridCol w:w="60"/>
        <w:gridCol w:w="60"/>
        <w:gridCol w:w="152"/>
        <w:gridCol w:w="722"/>
        <w:gridCol w:w="60"/>
        <w:gridCol w:w="60"/>
        <w:gridCol w:w="175"/>
        <w:gridCol w:w="819"/>
        <w:gridCol w:w="60"/>
        <w:gridCol w:w="60"/>
        <w:gridCol w:w="389"/>
        <w:gridCol w:w="815"/>
        <w:gridCol w:w="60"/>
      </w:tblGrid>
      <w:tr>
        <w:trPr/>
        <w:tc>
          <w:tcPr>
            <w:tcW w:w="3005"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EIP Time-based stock option activity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May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002" w:type="dxa"/>
        <w:jc w:val="left"/>
        <w:tblInd w:w="0" w:type="dxa"/>
        <w:tblLayout w:type="fixed"/>
        <w:tblCellMar>
          <w:top w:w="0" w:type="dxa"/>
          <w:left w:w="0" w:type="dxa"/>
          <w:bottom w:w="0" w:type="dxa"/>
          <w:right w:w="0" w:type="dxa"/>
        </w:tblCellMar>
      </w:tblPr>
      <w:tblGrid>
        <w:gridCol w:w="3785"/>
        <w:gridCol w:w="60"/>
        <w:gridCol w:w="73"/>
        <w:gridCol w:w="592"/>
        <w:gridCol w:w="60"/>
        <w:gridCol w:w="60"/>
        <w:gridCol w:w="179"/>
        <w:gridCol w:w="695"/>
        <w:gridCol w:w="60"/>
        <w:gridCol w:w="60"/>
        <w:gridCol w:w="175"/>
        <w:gridCol w:w="819"/>
        <w:gridCol w:w="60"/>
        <w:gridCol w:w="60"/>
        <w:gridCol w:w="389"/>
        <w:gridCol w:w="815"/>
        <w:gridCol w:w="60"/>
      </w:tblGrid>
      <w:tr>
        <w:trPr/>
        <w:tc>
          <w:tcPr>
            <w:tcW w:w="3785"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Original plan time-based stock option activity</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w:t>
            </w:r>
          </w:p>
        </w:tc>
        <w:tc>
          <w:tcPr>
            <w:tcW w:w="60" w:type="dxa"/>
            <w:tcBorders/>
            <w:shd w:fill="FFFFFF" w:val="clear"/>
            <w:vAlign w:val="center"/>
          </w:tcPr>
          <w:p>
            <w:pPr>
              <w:pStyle w:val="TableContents"/>
              <w:bidi w:val="0"/>
              <w:spacing w:before="0" w:after="0"/>
              <w:ind w:left="0" w:right="0" w:hanging="0"/>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2026</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598" w:type="dxa"/>
        <w:jc w:val="left"/>
        <w:tblInd w:w="0" w:type="dxa"/>
        <w:tblLayout w:type="fixed"/>
        <w:tblCellMar>
          <w:top w:w="0" w:type="dxa"/>
          <w:left w:w="0" w:type="dxa"/>
          <w:bottom w:w="0" w:type="dxa"/>
          <w:right w:w="0" w:type="dxa"/>
        </w:tblCellMar>
      </w:tblPr>
      <w:tblGrid>
        <w:gridCol w:w="4010"/>
        <w:gridCol w:w="60"/>
        <w:gridCol w:w="60"/>
        <w:gridCol w:w="920"/>
        <w:gridCol w:w="80"/>
        <w:gridCol w:w="60"/>
        <w:gridCol w:w="155"/>
        <w:gridCol w:w="735"/>
        <w:gridCol w:w="60"/>
        <w:gridCol w:w="60"/>
        <w:gridCol w:w="175"/>
        <w:gridCol w:w="819"/>
        <w:gridCol w:w="60"/>
        <w:gridCol w:w="60"/>
        <w:gridCol w:w="209"/>
        <w:gridCol w:w="995"/>
        <w:gridCol w:w="80"/>
      </w:tblGrid>
      <w:tr>
        <w:trPr/>
        <w:tc>
          <w:tcPr>
            <w:tcW w:w="4010"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Time-based and Performance-based RSU activity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Time-based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 value</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2,770,571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11,794</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4,562,669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28,214</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(1,249,757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(192,922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(1,133</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(82,241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May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5,808,320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31,934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Predecessor Plan - Aphria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Aphria had established the Aphria Omnibus Incentive Plan (the “Aphria Predecessor Plan”). Following stockholder approval of the EIP,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awards have been granted under the Aphria Predecessor Plan. In connection with the reverse acquisition Aphria stock options, Aphria RSUs and DSUs issued under the Predecessor Plan were exchanged for options, RSUs under the EIP. As a result of the modification, all grantees were affected, and the Company recognized </w:t>
      </w:r>
      <w:r>
        <w:rPr>
          <w:rStyle w:val="Emphasis"/>
          <w:rFonts w:ascii="Times New Roman" w:hAnsi="Times New Roman"/>
          <w:caps w:val="false"/>
          <w:smallCaps w:val="false"/>
          <w:sz w:val="20"/>
        </w:rPr>
        <w:t>nil</w:t>
      </w:r>
      <w:r>
        <w:rPr>
          <w:rFonts w:ascii="Times New Roman" w:hAnsi="Times New Roman"/>
          <w:caps w:val="false"/>
          <w:smallCaps w:val="false"/>
          <w:sz w:val="20"/>
        </w:rPr>
        <w:t xml:space="preserve"> incremental compensation cost.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No stock options were granted under the Aphria Predecessor Plan during the fiscal years ended </w:t>
      </w:r>
      <w:r>
        <w:rPr>
          <w:rStyle w:val="Emphasis"/>
          <w:rFonts w:ascii="Times New Roman" w:hAnsi="Times New Roman"/>
          <w:caps w:val="false"/>
          <w:smallCaps w:val="false"/>
          <w:sz w:val="20"/>
        </w:rPr>
        <w:t>May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there were 4,523 awards outstanding and which are vested and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 option, RSU and DSU activity for the Company under the Predecessor Plan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u w:val="single"/>
        </w:rPr>
      </w:pPr>
      <w:r>
        <w:rPr>
          <w:rFonts w:ascii="Times New Roman" w:hAnsi="Times New Roman"/>
          <w:i/>
          <w:caps w:val="false"/>
          <w:smallCaps w:val="false"/>
          <w:sz w:val="20"/>
          <w:u w:val="single"/>
        </w:rPr>
        <w:t>Time-based stock option activity</w:t>
      </w:r>
    </w:p>
    <w:p>
      <w:pPr>
        <w:pStyle w:val="TextBody"/>
        <w:bidi w:val="0"/>
        <w:spacing w:before="0" w:after="0"/>
        <w:ind w:left="0" w:right="0" w:hanging="0"/>
        <w:jc w:val="left"/>
        <w:rPr>
          <w:caps w:val="false"/>
          <w:smallCaps w:val="false"/>
        </w:rPr>
      </w:pPr>
      <w:r>
        <w:rPr>
          <w:caps w:val="false"/>
          <w:smallCaps w:val="false"/>
        </w:rPr>
        <w:t> </w:t>
      </w:r>
    </w:p>
    <w:tbl>
      <w:tblPr>
        <w:tblW w:w="8173" w:type="dxa"/>
        <w:jc w:val="left"/>
        <w:tblInd w:w="0" w:type="dxa"/>
        <w:tblLayout w:type="fixed"/>
        <w:tblCellMar>
          <w:top w:w="0" w:type="dxa"/>
          <w:left w:w="0" w:type="dxa"/>
          <w:bottom w:w="0" w:type="dxa"/>
          <w:right w:w="0" w:type="dxa"/>
        </w:tblCellMar>
      </w:tblPr>
      <w:tblGrid>
        <w:gridCol w:w="3170"/>
        <w:gridCol w:w="60"/>
        <w:gridCol w:w="96"/>
        <w:gridCol w:w="793"/>
        <w:gridCol w:w="60"/>
        <w:gridCol w:w="60"/>
        <w:gridCol w:w="167"/>
        <w:gridCol w:w="648"/>
        <w:gridCol w:w="60"/>
        <w:gridCol w:w="60"/>
        <w:gridCol w:w="264"/>
        <w:gridCol w:w="551"/>
        <w:gridCol w:w="60"/>
        <w:gridCol w:w="60"/>
        <w:gridCol w:w="135"/>
        <w:gridCol w:w="859"/>
        <w:gridCol w:w="60"/>
        <w:gridCol w:w="60"/>
        <w:gridCol w:w="288"/>
        <w:gridCol w:w="602"/>
        <w:gridCol w:w="60"/>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 during the year</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 during the year</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 during the year</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Expired during the year</w:t>
            </w:r>
          </w:p>
        </w:tc>
        <w:tc>
          <w:tcPr>
            <w:tcW w:w="60" w:type="dxa"/>
            <w:tcBorders/>
            <w:shd w:fill="CCEEFF" w:val="cle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end of the year</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exercisable, end of the year</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u w:val="single"/>
        </w:rPr>
      </w:pPr>
      <w:r>
        <w:rPr>
          <w:rFonts w:ascii="Times New Roman" w:hAnsi="Times New Roman"/>
          <w:i/>
          <w:caps w:val="false"/>
          <w:smallCaps w:val="false"/>
          <w:sz w:val="20"/>
          <w:u w:val="single"/>
        </w:rPr>
        <w:t>Time-based and Performance-based DSU activity</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780"/>
        <w:gridCol w:w="60"/>
        <w:gridCol w:w="90"/>
        <w:gridCol w:w="890"/>
        <w:gridCol w:w="60"/>
        <w:gridCol w:w="60"/>
        <w:gridCol w:w="142"/>
        <w:gridCol w:w="673"/>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5"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 2026</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Time-based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 per</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beginning of the year</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160.32</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 during the year</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during the year</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 during the year</w:t>
            </w:r>
          </w:p>
        </w:tc>
        <w:tc>
          <w:tcPr>
            <w:tcW w:w="60" w:type="dxa"/>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end of the year</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Predecessor Plan - HEXO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Prior to the acquisition of HEXO Corp, HEXO had established the Formal Plan and Omnibus Incentive Plan (the “HEXO Predecessor Plan”). In connection with the acquisition, HEXO stock options issued under these plans were exchanged at a rate of 4.352 for 126,779 options under the Tilray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EIP. As a result of the modification, all grantees were affected, and the Company recognized nil incremental compensation cost. Following stockholder approval of the EIP,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awards have been granted under the Predecessor Plan. As of </w:t>
      </w:r>
      <w:r>
        <w:rPr>
          <w:rStyle w:val="Emphasis"/>
          <w:rFonts w:ascii="Times New Roman" w:hAnsi="Times New Roman"/>
          <w:caps w:val="false"/>
          <w:smallCaps w:val="false"/>
          <w:sz w:val="20"/>
        </w:rPr>
        <w:t>May 31, 2026, </w:t>
      </w:r>
      <w:r>
        <w:rPr>
          <w:rFonts w:ascii="Times New Roman" w:hAnsi="Times New Roman"/>
          <w:caps w:val="false"/>
          <w:smallCaps w:val="false"/>
          <w:sz w:val="20"/>
        </w:rPr>
        <w:t>18,717 awards are outstanding and 18,717 are vested and exercisable.</w:t>
      </w:r>
    </w:p>
    <w:p>
      <w:pPr>
        <w:pStyle w:val="TextBody"/>
        <w:bidi w:val="0"/>
        <w:spacing w:before="0" w:after="0"/>
        <w:ind w:left="0" w:right="0" w:firstLine="72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170"/>
        <w:gridCol w:w="60"/>
        <w:gridCol w:w="81"/>
        <w:gridCol w:w="808"/>
        <w:gridCol w:w="60"/>
        <w:gridCol w:w="60"/>
        <w:gridCol w:w="125"/>
        <w:gridCol w:w="740"/>
        <w:gridCol w:w="60"/>
        <w:gridCol w:w="60"/>
        <w:gridCol w:w="264"/>
        <w:gridCol w:w="551"/>
        <w:gridCol w:w="60"/>
        <w:gridCol w:w="60"/>
        <w:gridCol w:w="135"/>
        <w:gridCol w:w="859"/>
        <w:gridCol w:w="60"/>
        <w:gridCol w:w="60"/>
        <w:gridCol w:w="288"/>
        <w:gridCol w:w="602"/>
        <w:gridCol w:w="60"/>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3" w:type="dxa"/>
            <w:gridSpan w:val="18"/>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 2026</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beginning of the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during the year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Converted upon acquisition</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during the year</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during the year</w:t>
            </w:r>
          </w:p>
        </w:tc>
        <w:tc>
          <w:tcPr>
            <w:tcW w:w="60" w:type="dxa"/>
            <w:tcBorders/>
            <w:shd w:fill="CCEEFF" w:val="clear"/>
            <w:vAlign w:val="center"/>
          </w:tcPr>
          <w:p>
            <w:pPr>
              <w:pStyle w:val="TableContents"/>
              <w:bidi w:val="0"/>
              <w:spacing w:before="0" w:after="0"/>
              <w:ind w:left="0" w:right="0" w:hanging="0"/>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end of the year</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end of the year</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pPr>
      <w:r>
        <w:rPr>
          <w:rFonts w:ascii="Times New Roman" w:hAnsi="Times New Roman"/>
          <w:caps w:val="false"/>
          <w:smallCaps w:val="false"/>
          <w:sz w:val="20"/>
        </w:rPr>
        <w:t>All current and prior year share amounts have been retrospectively adjusted to reflect the Reverse Stock Split, which became effective on </w:t>
      </w:r>
      <w:r>
        <w:rPr>
          <w:rStyle w:val="Emphasis"/>
          <w:rFonts w:ascii="Times New Roman" w:hAnsi="Times New Roman"/>
          <w:caps w:val="false"/>
          <w:smallCaps w:val="false"/>
          <w:sz w:val="20"/>
        </w:rPr>
        <w:t xml:space="preserve"> December 2, 2025. </w:t>
      </w:r>
    </w:p>
    <w:p>
      <w:pPr>
        <w:pStyle w:val="TextBody"/>
        <w:bidi w:val="0"/>
        <w:spacing w:before="0" w:after="0"/>
        <w:jc w:val="left"/>
        <w:rPr/>
      </w:pPr>
      <w:r>
        <w:rPr/>
        <w:t xml:space="preserve">  </w:t>
      </w:r>
    </w:p>
    <w:tbl>
      <w:tblPr>
        <w:tblW w:w="3580" w:type="dxa"/>
        <w:jc w:val="left"/>
        <w:tblInd w:w="0" w:type="dxa"/>
        <w:tblLayout w:type="fixed"/>
        <w:tblCellMar>
          <w:top w:w="0" w:type="dxa"/>
          <w:left w:w="0" w:type="dxa"/>
          <w:bottom w:w="0" w:type="dxa"/>
          <w:right w:w="0" w:type="dxa"/>
        </w:tblCellMar>
      </w:tblPr>
      <w:tblGrid>
        <w:gridCol w:w="275"/>
        <w:gridCol w:w="330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19.</w:t>
            </w:r>
          </w:p>
        </w:tc>
        <w:tc>
          <w:tcPr>
            <w:tcW w:w="33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Accumulated other comprehensive loss includes the following components:</w:t>
      </w:r>
    </w:p>
    <w:p>
      <w:pPr>
        <w:pStyle w:val="TextBody"/>
        <w:bidi w:val="0"/>
        <w:spacing w:before="0" w:after="0"/>
        <w:ind w:left="0" w:right="0" w:hanging="0"/>
        <w:jc w:val="left"/>
        <w:rPr/>
      </w:pPr>
      <w:r>
        <w:rPr/>
        <w:t> </w:t>
      </w:r>
    </w:p>
    <w:tbl>
      <w:tblPr>
        <w:tblW w:w="3945" w:type="dxa"/>
        <w:jc w:val="left"/>
        <w:tblInd w:w="0" w:type="dxa"/>
        <w:tblLayout w:type="fixed"/>
        <w:tblCellMar>
          <w:top w:w="0" w:type="dxa"/>
          <w:left w:w="0" w:type="dxa"/>
          <w:bottom w:w="0" w:type="dxa"/>
          <w:right w:w="0" w:type="dxa"/>
        </w:tblCellMar>
      </w:tblPr>
      <w:tblGrid>
        <w:gridCol w:w="2870"/>
        <w:gridCol w:w="60"/>
        <w:gridCol w:w="150"/>
        <w:gridCol w:w="785"/>
        <w:gridCol w:w="80"/>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currency</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translation</w:t>
            </w:r>
          </w:p>
        </w:tc>
        <w:tc>
          <w:tcPr>
            <w:tcW w:w="80"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8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20.</w:t>
            </w:r>
          </w:p>
        </w:tc>
        <w:tc>
          <w:tcPr>
            <w:tcW w:w="21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Non-controlling interests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are majority-owned subsidiaries of the Company and the percentage of ownership interest maintained by the Company is set forth in the parenthetical: Enroot (75%), Aphria Diamond (51%), and Colcanna S.A.S. (90%).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Summarized balance sheet information of the entities in which there is a non-controlling interest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820"/>
        <w:gridCol w:w="60"/>
        <w:gridCol w:w="164"/>
        <w:gridCol w:w="441"/>
        <w:gridCol w:w="80"/>
        <w:gridCol w:w="60"/>
        <w:gridCol w:w="125"/>
        <w:gridCol w:w="755"/>
        <w:gridCol w:w="80"/>
        <w:gridCol w:w="60"/>
        <w:gridCol w:w="163"/>
        <w:gridCol w:w="712"/>
        <w:gridCol w:w="80"/>
        <w:gridCol w:w="60"/>
        <w:gridCol w:w="125"/>
        <w:gridCol w:w="755"/>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Enroot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110,866</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109,034</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Summarized balance sheet information of the entities in which there is a non-controlling interest as of </w:t>
      </w:r>
      <w:r>
        <w:rPr>
          <w:rStyle w:val="Emphasis"/>
          <w:rFonts w:ascii="Times New Roman" w:hAnsi="Times New Roman"/>
          <w:caps w:val="false"/>
          <w:smallCaps w:val="false"/>
          <w:sz w:val="20"/>
        </w:rPr>
        <w:t xml:space="preserve"> May 31,</w:t>
      </w:r>
      <w:r>
        <w:rPr>
          <w:rFonts w:ascii="Times New Roman" w:hAnsi="Times New Roman"/>
          <w:caps w:val="false"/>
          <w:smallCaps w:val="false"/>
          <w:sz w:val="20"/>
        </w:rPr>
        <w:t> </w:t>
      </w:r>
      <w:r>
        <w:rPr>
          <w:rStyle w:val="Emphasis"/>
          <w:rFonts w:ascii="Times New Roman" w:hAnsi="Times New Roman"/>
          <w:caps w:val="false"/>
          <w:smallCaps w:val="false"/>
          <w:sz w:val="20"/>
        </w:rPr>
        <w:t>2025:</w:t>
      </w:r>
    </w:p>
    <w:p>
      <w:pPr>
        <w:pStyle w:val="TextBody"/>
        <w:bidi w:val="0"/>
        <w:spacing w:before="0" w:after="0"/>
        <w:ind w:left="0" w:right="0" w:firstLine="660"/>
        <w:jc w:val="both"/>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1820"/>
        <w:gridCol w:w="60"/>
        <w:gridCol w:w="318"/>
        <w:gridCol w:w="662"/>
        <w:gridCol w:w="60"/>
        <w:gridCol w:w="60"/>
        <w:gridCol w:w="321"/>
        <w:gridCol w:w="673"/>
        <w:gridCol w:w="60"/>
        <w:gridCol w:w="60"/>
        <w:gridCol w:w="125"/>
        <w:gridCol w:w="755"/>
        <w:gridCol w:w="80"/>
        <w:gridCol w:w="60"/>
        <w:gridCol w:w="163"/>
        <w:gridCol w:w="712"/>
        <w:gridCol w:w="80"/>
        <w:gridCol w:w="60"/>
        <w:gridCol w:w="125"/>
        <w:gridCol w:w="755"/>
        <w:gridCol w:w="80"/>
      </w:tblGrid>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CC Pharma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Aphria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ColCanna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Nordic ApS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Diamond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83,410</w:t>
            </w:r>
          </w:p>
        </w:tc>
        <w:tc>
          <w:tcPr>
            <w:tcW w:w="8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118,025</w:t>
            </w:r>
          </w:p>
        </w:tc>
        <w:tc>
          <w:tcPr>
            <w:tcW w:w="8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(133,939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7, 2025, </w:t>
      </w:r>
      <w:r>
        <w:rPr>
          <w:rFonts w:ascii="Times New Roman" w:hAnsi="Times New Roman"/>
          <w:caps w:val="false"/>
          <w:smallCaps w:val="false"/>
          <w:sz w:val="20"/>
        </w:rPr>
        <w:t xml:space="preserve">the Company dissolved its 75% ownership interest in CC Pharma Nordic ApS., and as a result,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controls CC Pharma Nordic ApS. and thus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consolidates this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16, 2025, </w:t>
      </w:r>
      <w:r>
        <w:rPr>
          <w:rFonts w:ascii="Times New Roman" w:hAnsi="Times New Roman"/>
          <w:caps w:val="false"/>
          <w:smallCaps w:val="false"/>
          <w:sz w:val="20"/>
        </w:rPr>
        <w:t>MedMen exited receivership and substantially all of its remaining assets were transferred to a new entity owned by MedMen’s secured creditors, including SH Acquisition. In connection with this restructuring, the Company disposed of its MedMen Convertible Note in exchange for on option to acquire a 68% membership interest in SH Acquisition for $1.00 upon U.S. federal cannabis legalization. As a result, the Company </w:t>
      </w:r>
      <w:r>
        <w:rPr>
          <w:rStyle w:val="Emphasis"/>
          <w:rFonts w:ascii="Times New Roman" w:hAnsi="Times New Roman"/>
          <w:caps w:val="false"/>
          <w:smallCaps w:val="false"/>
          <w:sz w:val="20"/>
        </w:rPr>
        <w:t>no</w:t>
      </w:r>
      <w:r>
        <w:rPr>
          <w:rFonts w:ascii="Times New Roman" w:hAnsi="Times New Roman"/>
          <w:caps w:val="false"/>
          <w:smallCaps w:val="false"/>
          <w:sz w:val="20"/>
        </w:rPr>
        <w:t> longer controls SH Acquisition and thus </w:t>
      </w:r>
      <w:r>
        <w:rPr>
          <w:rStyle w:val="Emphasis"/>
          <w:rFonts w:ascii="Times New Roman" w:hAnsi="Times New Roman"/>
          <w:caps w:val="false"/>
          <w:smallCaps w:val="false"/>
          <w:sz w:val="20"/>
        </w:rPr>
        <w:t>no</w:t>
      </w:r>
      <w:r>
        <w:rPr>
          <w:rFonts w:ascii="Times New Roman" w:hAnsi="Times New Roman"/>
          <w:caps w:val="false"/>
          <w:smallCaps w:val="false"/>
          <w:sz w:val="20"/>
        </w:rPr>
        <w:t> longer consolidates this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Summarized income statement information of the entities in which there is a non-controlling interest for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w:t>
      </w:r>
    </w:p>
    <w:p>
      <w:pPr>
        <w:pStyle w:val="TextBody"/>
        <w:bidi w:val="0"/>
        <w:spacing w:before="0" w:after="0"/>
        <w:ind w:left="0" w:right="0" w:firstLine="660"/>
        <w:jc w:val="both"/>
        <w:rPr>
          <w:caps w:val="false"/>
          <w:smallCaps w:val="false"/>
        </w:rPr>
      </w:pPr>
      <w:r>
        <w:rPr>
          <w:caps w:val="false"/>
          <w:smallCaps w:val="false"/>
        </w:rPr>
        <w:t> </w:t>
      </w:r>
    </w:p>
    <w:tbl>
      <w:tblPr>
        <w:tblW w:w="8115" w:type="dxa"/>
        <w:jc w:val="left"/>
        <w:tblInd w:w="0" w:type="dxa"/>
        <w:tblLayout w:type="fixed"/>
        <w:tblCellMar>
          <w:top w:w="0" w:type="dxa"/>
          <w:left w:w="0" w:type="dxa"/>
          <w:bottom w:w="0" w:type="dxa"/>
          <w:right w:w="0" w:type="dxa"/>
        </w:tblCellMar>
      </w:tblPr>
      <w:tblGrid>
        <w:gridCol w:w="4280"/>
        <w:gridCol w:w="60"/>
        <w:gridCol w:w="182"/>
        <w:gridCol w:w="423"/>
        <w:gridCol w:w="185"/>
        <w:gridCol w:w="60"/>
        <w:gridCol w:w="137"/>
        <w:gridCol w:w="648"/>
        <w:gridCol w:w="185"/>
        <w:gridCol w:w="60"/>
        <w:gridCol w:w="210"/>
        <w:gridCol w:w="665"/>
        <w:gridCol w:w="185"/>
        <w:gridCol w:w="60"/>
        <w:gridCol w:w="125"/>
        <w:gridCol w:w="590"/>
        <w:gridCol w:w="6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Enroot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81,506</w:t>
            </w:r>
          </w:p>
        </w:tc>
        <w:tc>
          <w:tcPr>
            <w:tcW w:w="6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47,876</w:t>
            </w:r>
          </w:p>
        </w:tc>
        <w:tc>
          <w:tcPr>
            <w:tcW w:w="6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33,630</w:t>
            </w:r>
          </w:p>
        </w:tc>
        <w:tc>
          <w:tcPr>
            <w:tcW w:w="6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w:t>
            </w:r>
          </w:p>
        </w:tc>
        <w:tc>
          <w:tcPr>
            <w:tcW w:w="6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36,104</w:t>
            </w:r>
          </w:p>
        </w:tc>
        <w:tc>
          <w:tcPr>
            <w:tcW w:w="6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NA</w:t>
            </w:r>
          </w:p>
        </w:tc>
        <w:tc>
          <w:tcPr>
            <w:tcW w:w="6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 attributable to NCI</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17,616</w:t>
            </w:r>
          </w:p>
        </w:tc>
        <w:tc>
          <w:tcPr>
            <w:tcW w:w="6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income attributable to NCI</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Summarized income statement information of the entities in which there is a non-controlling interest for the fiscal year ended </w:t>
      </w:r>
      <w:r>
        <w:rPr>
          <w:rStyle w:val="Emphasis"/>
          <w:rFonts w:ascii="Times New Roman" w:hAnsi="Times New Roman"/>
          <w:caps w:val="false"/>
          <w:smallCaps w:val="false"/>
          <w:sz w:val="20"/>
        </w:rPr>
        <w:t>May 31,</w:t>
      </w:r>
      <w:r>
        <w:rPr>
          <w:rFonts w:ascii="Times New Roman" w:hAnsi="Times New Roman"/>
          <w:caps w:val="false"/>
          <w:smallCaps w:val="false"/>
          <w:sz w:val="20"/>
        </w:rPr>
        <w:t> </w:t>
      </w:r>
      <w:r>
        <w:rPr>
          <w:rStyle w:val="Emphasis"/>
          <w:rFonts w:ascii="Times New Roman" w:hAnsi="Times New Roman"/>
          <w:caps w:val="false"/>
          <w:smallCaps w:val="false"/>
          <w:sz w:val="20"/>
        </w:rPr>
        <w:t>2025:</w:t>
      </w:r>
    </w:p>
    <w:p>
      <w:pPr>
        <w:pStyle w:val="TextBody"/>
        <w:bidi w:val="0"/>
        <w:spacing w:before="0" w:after="0"/>
        <w:ind w:left="0" w:right="0" w:firstLine="660"/>
        <w:jc w:val="both"/>
        <w:rPr>
          <w:caps w:val="false"/>
          <w:smallCaps w:val="false"/>
        </w:rPr>
      </w:pPr>
      <w:r>
        <w:rPr>
          <w:caps w:val="false"/>
          <w:smallCaps w:val="false"/>
        </w:rPr>
        <w:t> </w:t>
      </w:r>
    </w:p>
    <w:tbl>
      <w:tblPr>
        <w:tblW w:w="9749" w:type="dxa"/>
        <w:jc w:val="left"/>
        <w:tblInd w:w="0" w:type="dxa"/>
        <w:tblLayout w:type="fixed"/>
        <w:tblCellMar>
          <w:top w:w="0" w:type="dxa"/>
          <w:left w:w="0" w:type="dxa"/>
          <w:bottom w:w="0" w:type="dxa"/>
          <w:right w:w="0" w:type="dxa"/>
        </w:tblCellMar>
      </w:tblPr>
      <w:tblGrid>
        <w:gridCol w:w="4280"/>
        <w:gridCol w:w="60"/>
        <w:gridCol w:w="158"/>
        <w:gridCol w:w="822"/>
        <w:gridCol w:w="185"/>
        <w:gridCol w:w="60"/>
        <w:gridCol w:w="298"/>
        <w:gridCol w:w="696"/>
        <w:gridCol w:w="185"/>
        <w:gridCol w:w="60"/>
        <w:gridCol w:w="137"/>
        <w:gridCol w:w="648"/>
        <w:gridCol w:w="185"/>
        <w:gridCol w:w="60"/>
        <w:gridCol w:w="210"/>
        <w:gridCol w:w="665"/>
        <w:gridCol w:w="185"/>
        <w:gridCol w:w="60"/>
        <w:gridCol w:w="125"/>
        <w:gridCol w:w="590"/>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CC Pharma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Acquisition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Nordic ApS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6"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78,414</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74,575</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6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3,839</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3,790</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NA</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 income attributable to NCI</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11,807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5,376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income attributable to NCI</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Summarized income statement information of the entities in which there is a non-controlling interest for the fiscal year ended </w:t>
      </w:r>
      <w:r>
        <w:rPr>
          <w:rStyle w:val="Emphasis"/>
          <w:rFonts w:ascii="Times New Roman" w:hAnsi="Times New Roman"/>
          <w:caps w:val="false"/>
          <w:smallCaps w:val="false"/>
          <w:sz w:val="20"/>
        </w:rPr>
        <w:t>May 31,</w:t>
      </w:r>
      <w:r>
        <w:rPr>
          <w:rFonts w:ascii="Times New Roman" w:hAnsi="Times New Roman"/>
          <w:caps w:val="false"/>
          <w:smallCaps w:val="false"/>
          <w:sz w:val="20"/>
        </w:rPr>
        <w:t> </w:t>
      </w:r>
      <w:r>
        <w:rPr>
          <w:rStyle w:val="Emphasis"/>
          <w:rFonts w:ascii="Times New Roman" w:hAnsi="Times New Roman"/>
          <w:caps w:val="false"/>
          <w:smallCaps w:val="false"/>
          <w:sz w:val="20"/>
        </w:rPr>
        <w:t>2024:</w:t>
      </w:r>
    </w:p>
    <w:p>
      <w:pPr>
        <w:pStyle w:val="TextBody"/>
        <w:bidi w:val="0"/>
        <w:spacing w:before="0" w:after="0"/>
        <w:ind w:left="0" w:right="0" w:firstLine="720"/>
        <w:jc w:val="left"/>
        <w:rPr>
          <w:caps w:val="false"/>
          <w:smallCaps w:val="false"/>
        </w:rPr>
      </w:pPr>
      <w:r>
        <w:rPr>
          <w:caps w:val="false"/>
          <w:smallCaps w:val="false"/>
        </w:rPr>
        <w:t> </w:t>
      </w:r>
    </w:p>
    <w:tbl>
      <w:tblPr>
        <w:tblW w:w="9889" w:type="dxa"/>
        <w:jc w:val="left"/>
        <w:tblInd w:w="0" w:type="dxa"/>
        <w:tblLayout w:type="fixed"/>
        <w:tblCellMar>
          <w:top w:w="0" w:type="dxa"/>
          <w:left w:w="0" w:type="dxa"/>
          <w:bottom w:w="0" w:type="dxa"/>
          <w:right w:w="0" w:type="dxa"/>
        </w:tblCellMar>
      </w:tblPr>
      <w:tblGrid>
        <w:gridCol w:w="4280"/>
        <w:gridCol w:w="60"/>
        <w:gridCol w:w="158"/>
        <w:gridCol w:w="822"/>
        <w:gridCol w:w="185"/>
        <w:gridCol w:w="60"/>
        <w:gridCol w:w="184"/>
        <w:gridCol w:w="810"/>
        <w:gridCol w:w="185"/>
        <w:gridCol w:w="60"/>
        <w:gridCol w:w="125"/>
        <w:gridCol w:w="695"/>
        <w:gridCol w:w="185"/>
        <w:gridCol w:w="60"/>
        <w:gridCol w:w="210"/>
        <w:gridCol w:w="665"/>
        <w:gridCol w:w="185"/>
        <w:gridCol w:w="60"/>
        <w:gridCol w:w="125"/>
        <w:gridCol w:w="695"/>
        <w:gridCol w:w="80"/>
      </w:tblGrid>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CC Pharma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Aphria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ColCanna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Acquisition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Nordic ApS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Diamond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S.A.S.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103,331</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82,349</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20,982</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20,810</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NA</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income attributable to NCI</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income attributable to NCI</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5,336</w:t>
            </w:r>
          </w:p>
        </w:tc>
        <w:tc>
          <w:tcPr>
            <w:tcW w:w="80" w:type="dxa"/>
            <w:tcBorders/>
            <w:shd w:fill="FFFFFF" w:val="clear"/>
            <w:vAlign w:val="center"/>
          </w:tcPr>
          <w:p>
            <w:pPr>
              <w:pStyle w:val="TableContents"/>
              <w:bidi w:val="0"/>
              <w:spacing w:before="0" w:after="0"/>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comprehensive (loss) income attributable to NCI</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1300" w:type="dxa"/>
        <w:jc w:val="left"/>
        <w:tblInd w:w="0" w:type="dxa"/>
        <w:tblLayout w:type="fixed"/>
        <w:tblCellMar>
          <w:top w:w="0" w:type="dxa"/>
          <w:left w:w="0" w:type="dxa"/>
          <w:bottom w:w="0" w:type="dxa"/>
          <w:right w:w="0" w:type="dxa"/>
        </w:tblCellMar>
      </w:tblPr>
      <w:tblGrid>
        <w:gridCol w:w="275"/>
        <w:gridCol w:w="102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21.</w:t>
            </w:r>
          </w:p>
        </w:tc>
        <w:tc>
          <w:tcPr>
            <w:tcW w:w="10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revenue is comprised of:</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05"/>
        <w:gridCol w:w="60"/>
        <w:gridCol w:w="125"/>
        <w:gridCol w:w="695"/>
        <w:gridCol w:w="80"/>
        <w:gridCol w:w="60"/>
        <w:gridCol w:w="125"/>
        <w:gridCol w:w="695"/>
        <w:gridCol w:w="80"/>
        <w:gridCol w:w="60"/>
        <w:gridCol w:w="125"/>
        <w:gridCol w:w="695"/>
        <w:gridCol w:w="80"/>
      </w:tblGrid>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213,614</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excise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370,692</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excise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revenue from Canadian adult-use cannabis is $nil of advisory services revenue for the fiscal year ended </w:t>
      </w:r>
      <w:r>
        <w:rPr>
          <w:rStyle w:val="Emphasis"/>
          <w:rFonts w:ascii="Times New Roman" w:hAnsi="Times New Roman"/>
          <w:caps w:val="false"/>
          <w:smallCaps w:val="false"/>
          <w:sz w:val="20"/>
        </w:rPr>
        <w:t xml:space="preserve"> May 31, 2026, </w:t>
      </w:r>
      <w:r>
        <w:rPr>
          <w:rFonts w:ascii="Times New Roman" w:hAnsi="Times New Roman"/>
          <w:caps w:val="false"/>
          <w:smallCaps w:val="false"/>
          <w:sz w:val="20"/>
        </w:rPr>
        <w:t xml:space="preserve">compared to $1,460 and $1,500 of advisory services for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2024,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22.</w:t>
            </w:r>
          </w:p>
        </w:tc>
        <w:tc>
          <w:tcPr>
            <w:tcW w:w="1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goods 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goods sold is comprised of:</w:t>
      </w:r>
    </w:p>
    <w:p>
      <w:pPr>
        <w:pStyle w:val="TextBody"/>
        <w:bidi w:val="0"/>
        <w:spacing w:before="0" w:after="0"/>
        <w:ind w:left="0" w:right="0" w:hanging="0"/>
        <w:jc w:val="left"/>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1460"/>
        <w:gridCol w:w="60"/>
        <w:gridCol w:w="125"/>
        <w:gridCol w:w="695"/>
        <w:gridCol w:w="60"/>
        <w:gridCol w:w="60"/>
        <w:gridCol w:w="125"/>
        <w:gridCol w:w="695"/>
        <w:gridCol w:w="60"/>
        <w:gridCol w:w="60"/>
        <w:gridCol w:w="125"/>
        <w:gridCol w:w="695"/>
        <w:gridCol w:w="60"/>
      </w:tblGrid>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113,522</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182,594</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230,596</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38,879</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415" w:type="dxa"/>
        <w:jc w:val="left"/>
        <w:tblInd w:w="0" w:type="dxa"/>
        <w:tblLayout w:type="fixed"/>
        <w:tblCellMar>
          <w:top w:w="0" w:type="dxa"/>
          <w:left w:w="0" w:type="dxa"/>
          <w:bottom w:w="0" w:type="dxa"/>
          <w:right w:w="0" w:type="dxa"/>
        </w:tblCellMar>
      </w:tblPr>
      <w:tblGrid>
        <w:gridCol w:w="275"/>
        <w:gridCol w:w="314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23.</w:t>
            </w:r>
          </w:p>
        </w:tc>
        <w:tc>
          <w:tcPr>
            <w:tcW w:w="3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are comprised of the following items:</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825"/>
        <w:gridCol w:w="60"/>
        <w:gridCol w:w="125"/>
        <w:gridCol w:w="695"/>
        <w:gridCol w:w="80"/>
        <w:gridCol w:w="60"/>
        <w:gridCol w:w="125"/>
        <w:gridCol w:w="695"/>
        <w:gridCol w:w="60"/>
        <w:gridCol w:w="60"/>
        <w:gridCol w:w="125"/>
        <w:gridCol w:w="695"/>
        <w:gridCol w:w="8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83,673</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and general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28,460</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31,769</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12,586</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5,345</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sale of capital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accommodation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5,138</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4,585</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167,358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(Gain) loss on sale of capital assets for the fiscal year ended </w:t>
      </w:r>
      <w:r>
        <w:rPr>
          <w:rStyle w:val="Emphasis"/>
          <w:rFonts w:ascii="Times New Roman" w:hAnsi="Times New Roman"/>
          <w:caps w:val="false"/>
          <w:smallCaps w:val="false"/>
          <w:sz w:val="20"/>
        </w:rPr>
        <w:t>May 31, 2025, </w:t>
      </w:r>
      <w:r>
        <w:rPr>
          <w:rFonts w:ascii="Times New Roman" w:hAnsi="Times New Roman"/>
          <w:caps w:val="false"/>
          <w:smallCaps w:val="false"/>
          <w:sz w:val="20"/>
        </w:rPr>
        <w:t>was a loss of $1,787 related to the sale of the Avanti facility, which was closed as part of our restructuring efforts during the fiscal year ended </w:t>
      </w:r>
      <w:r>
        <w:rPr>
          <w:rStyle w:val="Emphasis"/>
          <w:rFonts w:ascii="Times New Roman" w:hAnsi="Times New Roman"/>
          <w:caps w:val="false"/>
          <w:smallCaps w:val="false"/>
          <w:sz w:val="20"/>
        </w:rPr>
        <w:t xml:space="preserve">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10" w:type="dxa"/>
        <w:jc w:val="left"/>
        <w:tblInd w:w="0" w:type="dxa"/>
        <w:tblLayout w:type="fixed"/>
        <w:tblCellMar>
          <w:top w:w="0" w:type="dxa"/>
          <w:left w:w="0" w:type="dxa"/>
          <w:bottom w:w="0" w:type="dxa"/>
          <w:right w:w="0" w:type="dxa"/>
        </w:tblCellMar>
      </w:tblPr>
      <w:tblGrid>
        <w:gridCol w:w="275"/>
        <w:gridCol w:w="12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24.</w:t>
            </w:r>
          </w:p>
        </w:tc>
        <w:tc>
          <w:tcPr>
            <w:tcW w:w="12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execution of our acquisition strategy and strategic transactions, the Company has incurred restructuring and exit costs associated with the integration efforts of these transactions. In connection with these efforts, the Company incurred $13,113, $34,283 and $15,581 of restructuring costs for the fiscal years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All restructuring plans are approved at the executive level, and their associated expenses are recognized in the period in which the plan is committed.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Within the Cannabis segment, 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Company incurred restructuring expenses totaling $6,258. These charges included $4,573 associated with the restructuring of the Quebec facility to transition from vegetable cultivation to cannabis cultivation in response to increased global cannabis demand, $1,093 related to employee termination severance and benefits associated with the reorganization of the Canadian cannabis commercial function, and $221 related to the wind-down of certain non-operating entities. Additionally, the Company recognized $371 related to its Fort Collins, CO partially vacant warehouse that was previously held for sale and was divested 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6</w:t>
      </w:r>
      <w:r>
        <w:rPr>
          <w:rFonts w:ascii="Times New Roman" w:hAnsi="Times New Roman"/>
          <w:caps w:val="false"/>
          <w:smallCaps w:val="false"/>
          <w:sz w:val="20"/>
        </w:rPr>
        <w:t> (capital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Within the Beverage segment, restructuring activities primarily related to Project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 business optimization plan designed to consolidate production, streamline operations, and improve the Company’s cost structure. Activities under the plan included the closure and consolidation of certain brewery and related facilities, including Redhook, Terrapin, Atwater, Hop Valley, and Revolver, as well as costs incurred by the restructuring team established to execute the plan. Restructuring charges primarily consisted of employee termination benefits, facility closure and exit costs, contract and other termination costs, costs associated with SKU rationalization activities, and other costs directly associated with the execution of the plan. During the fiscal year ended </w:t>
      </w:r>
      <w:r>
        <w:rPr>
          <w:rStyle w:val="Emphasis"/>
          <w:rFonts w:ascii="Times New Roman" w:hAnsi="Times New Roman"/>
          <w:caps w:val="false"/>
          <w:smallCaps w:val="false"/>
          <w:sz w:val="20"/>
        </w:rPr>
        <w:t xml:space="preserve">May 31, 2025, </w:t>
      </w:r>
      <w:r>
        <w:rPr>
          <w:rFonts w:ascii="Times New Roman" w:hAnsi="Times New Roman"/>
          <w:caps w:val="false"/>
          <w:smallCaps w:val="false"/>
          <w:sz w:val="20"/>
        </w:rPr>
        <w:t xml:space="preserve">the Company accrued $8,500 of restructuring charges related to these initiatives. During the fiscal year ended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related accrual was fully utilized. In addition, during the fiscal year ended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Company incurred $6,771 of additional restructuring related expenses associated with these efforts, including costs related to facility closures, production consolidation, and other activities under Project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The Company expects these initiatives to be substantially completed by the end of fiscal </w:t>
      </w:r>
      <w:r>
        <w:rPr>
          <w:rStyle w:val="Emphasis"/>
          <w:rFonts w:ascii="Times New Roman" w:hAnsi="Times New Roman"/>
          <w:caps w:val="false"/>
          <w:smallCaps w:val="false"/>
          <w:sz w:val="20"/>
        </w:rPr>
        <w:t>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sz w:val="20"/>
              </w:rPr>
              <w:t>25.</w:t>
            </w:r>
          </w:p>
        </w:tc>
        <w:tc>
          <w:tcPr>
            <w:tcW w:w="176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Interest expense, net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net is comprised of:</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1325"/>
        <w:gridCol w:w="60"/>
        <w:gridCol w:w="125"/>
        <w:gridCol w:w="650"/>
        <w:gridCol w:w="80"/>
        <w:gridCol w:w="60"/>
        <w:gridCol w:w="125"/>
        <w:gridCol w:w="650"/>
        <w:gridCol w:w="80"/>
        <w:gridCol w:w="60"/>
        <w:gridCol w:w="125"/>
        <w:gridCol w:w="650"/>
        <w:gridCol w:w="80"/>
      </w:tblGrid>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5"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12,831</w:t>
            </w:r>
          </w:p>
        </w:tc>
        <w:tc>
          <w:tcPr>
            <w:tcW w:w="8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(23,663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(36,433</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26.</w:t>
            </w:r>
          </w:p>
        </w:tc>
        <w:tc>
          <w:tcPr>
            <w:tcW w:w="27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Non-operating (expense)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Non-operating (expense) income is comprised of:</w:t>
      </w:r>
    </w:p>
    <w:p>
      <w:pPr>
        <w:pStyle w:val="TextBody"/>
        <w:bidi w:val="0"/>
        <w:spacing w:before="0" w:after="0"/>
        <w:ind w:left="160" w:right="0" w:hanging="0"/>
        <w:jc w:val="left"/>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4400"/>
        <w:gridCol w:w="60"/>
        <w:gridCol w:w="125"/>
        <w:gridCol w:w="545"/>
        <w:gridCol w:w="80"/>
        <w:gridCol w:w="60"/>
        <w:gridCol w:w="125"/>
        <w:gridCol w:w="590"/>
        <w:gridCol w:w="80"/>
        <w:gridCol w:w="60"/>
        <w:gridCol w:w="125"/>
        <w:gridCol w:w="650"/>
        <w:gridCol w:w="80"/>
      </w:tblGrid>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convertible debenture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gain on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Unrealized loss on 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non-operating (losses) gains,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(12,367</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(37,842</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other non-operating (losses) gains, net for the fiscal year ended </w:t>
      </w:r>
      <w:r>
        <w:rPr>
          <w:rStyle w:val="Emphasis"/>
          <w:rFonts w:ascii="Times New Roman" w:hAnsi="Times New Roman"/>
          <w:caps w:val="false"/>
          <w:smallCaps w:val="false"/>
          <w:sz w:val="20"/>
        </w:rPr>
        <w:t xml:space="preserve"> May 31, 2026, </w:t>
      </w:r>
      <w:r>
        <w:rPr>
          <w:rFonts w:ascii="Times New Roman" w:hAnsi="Times New Roman"/>
          <w:caps w:val="false"/>
          <w:smallCaps w:val="false"/>
          <w:sz w:val="20"/>
        </w:rPr>
        <w:t xml:space="preserve">was a loss of $1,800 on the change in fair value of assets held for sale related to the Fort Collins, CO partially vacant warehouse, as described in Note </w:t>
      </w:r>
      <w:r>
        <w:rPr>
          <w:rStyle w:val="Emphasis"/>
          <w:rFonts w:ascii="Times New Roman" w:hAnsi="Times New Roman"/>
          <w:caps w:val="false"/>
          <w:smallCaps w:val="false"/>
          <w:sz w:val="20"/>
        </w:rPr>
        <w:t>6</w:t>
      </w:r>
      <w:r>
        <w:rPr>
          <w:rFonts w:ascii="Times New Roman" w:hAnsi="Times New Roman"/>
          <w:caps w:val="false"/>
          <w:smallCaps w:val="false"/>
          <w:sz w:val="20"/>
        </w:rPr>
        <w:t> (capital assets), offset by a gain of $2,047 resulting from the exchange transaction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 as described in Note </w:t>
      </w:r>
      <w:r>
        <w:rPr>
          <w:rStyle w:val="Emphasis"/>
          <w:rFonts w:ascii="Times New Roman" w:hAnsi="Times New Roman"/>
          <w:caps w:val="false"/>
          <w:smallCaps w:val="false"/>
          <w:sz w:val="20"/>
        </w:rPr>
        <w:t>16</w:t>
      </w:r>
      <w:r>
        <w:rPr>
          <w:rFonts w:ascii="Times New Roman" w:hAnsi="Times New Roman"/>
          <w:caps w:val="false"/>
          <w:smallCaps w:val="false"/>
          <w:sz w:val="20"/>
        </w:rPr>
        <w:t> (Convertible debentures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other non-operating (losses) gains, net for the fiscal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were gains of $4,034 which were mainly comprised of a $5,792 gain resulting from the exchange transaction of the TLRY </w:t>
      </w:r>
      <w:r>
        <w:rPr>
          <w:rStyle w:val="Emphasis"/>
          <w:rFonts w:ascii="Times New Roman" w:hAnsi="Times New Roman"/>
          <w:caps w:val="false"/>
          <w:smallCaps w:val="false"/>
          <w:sz w:val="20"/>
        </w:rPr>
        <w:t>27</w:t>
      </w:r>
      <w:r>
        <w:rPr>
          <w:rFonts w:ascii="Times New Roman" w:hAnsi="Times New Roman"/>
          <w:caps w:val="false"/>
          <w:smallCaps w:val="false"/>
          <w:sz w:val="20"/>
        </w:rPr>
        <w:t> Note, offset by a $975 loss resulting from the downside protection from the Double Diamond Holdings dividend settlement.</w:t>
      </w:r>
    </w:p>
    <w:p>
      <w:pPr>
        <w:pStyle w:val="TextBody"/>
        <w:bidi w:val="0"/>
        <w:spacing w:before="0" w:after="0"/>
        <w:jc w:val="left"/>
        <w:rPr/>
      </w:pPr>
      <w:r>
        <w:rPr/>
        <w:t xml:space="preserve">  </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27.</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Purchase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payments on long-term debt (refer to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Long-term debt), convertible notes (refer to Note </w:t>
      </w:r>
      <w:r>
        <w:rPr>
          <w:rStyle w:val="Emphasis"/>
          <w:rFonts w:ascii="Times New Roman" w:hAnsi="Times New Roman"/>
          <w:caps w:val="false"/>
          <w:smallCaps w:val="false"/>
          <w:sz w:val="20"/>
        </w:rPr>
        <w:t>16</w:t>
      </w:r>
      <w:r>
        <w:rPr>
          <w:rFonts w:ascii="Times New Roman" w:hAnsi="Times New Roman"/>
          <w:caps w:val="false"/>
          <w:smallCaps w:val="false"/>
          <w:sz w:val="20"/>
        </w:rPr>
        <w:t> Convertible Debentures), material purchase commitments and construction commitments as follows:</w:t>
      </w:r>
    </w:p>
    <w:p>
      <w:pPr>
        <w:pStyle w:val="TextBody"/>
        <w:bidi w:val="0"/>
        <w:spacing w:before="0" w:after="0"/>
        <w:ind w:left="0" w:right="0" w:hanging="0"/>
        <w:jc w:val="left"/>
        <w:rPr>
          <w:caps w:val="false"/>
          <w:smallCaps w:val="false"/>
        </w:rPr>
      </w:pPr>
      <w:r>
        <w:rPr>
          <w:caps w:val="false"/>
          <w:smallCaps w:val="false"/>
        </w:rPr>
        <w:t> </w:t>
      </w:r>
    </w:p>
    <w:tbl>
      <w:tblPr>
        <w:tblW w:w="7905" w:type="dxa"/>
        <w:jc w:val="left"/>
        <w:tblInd w:w="0" w:type="dxa"/>
        <w:tblLayout w:type="fixed"/>
        <w:tblCellMar>
          <w:top w:w="0" w:type="dxa"/>
          <w:left w:w="0" w:type="dxa"/>
          <w:bottom w:w="0" w:type="dxa"/>
          <w:right w:w="0" w:type="dxa"/>
        </w:tblCellMar>
      </w:tblPr>
      <w:tblGrid>
        <w:gridCol w:w="2615"/>
        <w:gridCol w:w="60"/>
        <w:gridCol w:w="125"/>
        <w:gridCol w:w="695"/>
        <w:gridCol w:w="60"/>
        <w:gridCol w:w="60"/>
        <w:gridCol w:w="125"/>
        <w:gridCol w:w="590"/>
        <w:gridCol w:w="60"/>
        <w:gridCol w:w="60"/>
        <w:gridCol w:w="125"/>
        <w:gridCol w:w="695"/>
        <w:gridCol w:w="60"/>
        <w:gridCol w:w="60"/>
        <w:gridCol w:w="125"/>
        <w:gridCol w:w="590"/>
        <w:gridCol w:w="60"/>
        <w:gridCol w:w="60"/>
        <w:gridCol w:w="125"/>
        <w:gridCol w:w="485"/>
        <w:gridCol w:w="60"/>
        <w:gridCol w:w="60"/>
        <w:gridCol w:w="155"/>
        <w:gridCol w:w="735"/>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 repayment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25,800</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Convertible debentures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Material 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commitments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287,403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67,079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139,276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26,408</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or decreased to reflect any relevant developments on a quarterly basis. Where a loss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or the amount of loss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estimable,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adverse effect on our consolidated financial position, consolidated results of operations, or consolidated cash flows. However, it is possible that the ultimate resolution of these matters, if unfavorable,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 to our consolidated financial position, consolidated results of operations, or consolidated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Class Action Suits and Stockholder Derivative Suits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Aphria Inc. Securities Litigation (New York,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5, 2018, </w:t>
      </w:r>
      <w:r>
        <w:rPr>
          <w:rFonts w:ascii="Times New Roman" w:hAnsi="Times New Roman"/>
          <w:caps w:val="false"/>
          <w:smallCaps w:val="false"/>
          <w:sz w:val="20"/>
        </w:rPr>
        <w:t>a putative securities class action was commenced in SDNY against Aphria and certain current and former officers and directors. The action claims that the defendants misrepresented the value of </w:t>
      </w:r>
      <w:r>
        <w:rPr>
          <w:rStyle w:val="Emphasis"/>
          <w:rFonts w:ascii="Times New Roman" w:hAnsi="Times New Roman"/>
          <w:caps w:val="false"/>
          <w:smallCaps w:val="false"/>
          <w:sz w:val="20"/>
        </w:rPr>
        <w:t>three</w:t>
      </w:r>
      <w:r>
        <w:rPr>
          <w:rFonts w:ascii="Times New Roman" w:hAnsi="Times New Roman"/>
          <w:caps w:val="false"/>
          <w:smallCaps w:val="false"/>
          <w:sz w:val="20"/>
        </w:rPr>
        <w:t> cannabis-producing properties Aphria acquired in Jamaica, Colombia, and Argentina (the “LATAM Assets”). On </w:t>
      </w:r>
      <w:r>
        <w:rPr>
          <w:rStyle w:val="Emphasis"/>
          <w:rFonts w:ascii="Times New Roman" w:hAnsi="Times New Roman"/>
          <w:caps w:val="false"/>
          <w:smallCaps w:val="false"/>
          <w:sz w:val="20"/>
        </w:rPr>
        <w:t xml:space="preserve"> December 3, 2018, two</w:t>
      </w:r>
      <w:r>
        <w:rPr>
          <w:rFonts w:ascii="Times New Roman" w:hAnsi="Times New Roman"/>
          <w:caps w:val="false"/>
          <w:smallCaps w:val="false"/>
          <w:sz w:val="20"/>
        </w:rPr>
        <w:t> notorious short-sellers issued a report about the acquisitions, claiming the LATAM Assets were non-functional or non-existent, which allegedly caused Aphria’s stock price to fall. On </w:t>
      </w:r>
      <w:r>
        <w:rPr>
          <w:rStyle w:val="Emphasis"/>
          <w:rFonts w:ascii="Times New Roman" w:hAnsi="Times New Roman"/>
          <w:caps w:val="false"/>
          <w:smallCaps w:val="false"/>
          <w:sz w:val="20"/>
        </w:rPr>
        <w:t xml:space="preserve"> April 15, 2019, </w:t>
      </w:r>
      <w:r>
        <w:rPr>
          <w:rFonts w:ascii="Times New Roman" w:hAnsi="Times New Roman"/>
          <w:caps w:val="false"/>
          <w:smallCaps w:val="false"/>
          <w:sz w:val="20"/>
        </w:rPr>
        <w:t>Aphria took impairment charges on the LATAM Assets, which also allegedly caused Aphria’s stock price to decline. The putative class action claims that Aphria artificially inflated the price of its publicly-traded stock by making false statements about the LATAM Assets, and, when the purported truth was revealed by a short-seller report and write-down, the stock price declined, harming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30, 2020, </w:t>
      </w:r>
      <w:r>
        <w:rPr>
          <w:rFonts w:ascii="Times New Roman" w:hAnsi="Times New Roman"/>
          <w:caps w:val="false"/>
          <w:smallCaps w:val="false"/>
          <w:sz w:val="20"/>
        </w:rPr>
        <w:t>the Court denied the motion to dismiss the complaint as to Aphria, Vic Neufeld, and Carl Merton, and granted the motion as to Cole Cacciavillani, John Cervini, Andrew DeFrancesco, and SOL Global Investments. On </w:t>
      </w:r>
      <w:r>
        <w:rPr>
          <w:rStyle w:val="Emphasis"/>
          <w:rFonts w:ascii="Times New Roman" w:hAnsi="Times New Roman"/>
          <w:caps w:val="false"/>
          <w:smallCaps w:val="false"/>
          <w:sz w:val="20"/>
        </w:rPr>
        <w:t xml:space="preserve"> October 1, 2020, </w:t>
      </w:r>
      <w:r>
        <w:rPr>
          <w:rFonts w:ascii="Times New Roman" w:hAnsi="Times New Roman"/>
          <w:caps w:val="false"/>
          <w:smallCaps w:val="false"/>
          <w:sz w:val="20"/>
        </w:rPr>
        <w:t>Plaintiffs moved for reconsideration of the order dismissing DeFrancesco and SOL or, in the alternative, to amend their complaint. On </w:t>
      </w:r>
      <w:r>
        <w:rPr>
          <w:rStyle w:val="Emphasis"/>
          <w:rFonts w:ascii="Times New Roman" w:hAnsi="Times New Roman"/>
          <w:caps w:val="false"/>
          <w:smallCaps w:val="false"/>
          <w:sz w:val="20"/>
        </w:rPr>
        <w:t xml:space="preserve"> October 14, 2020, </w:t>
      </w:r>
      <w:r>
        <w:rPr>
          <w:rFonts w:ascii="Times New Roman" w:hAnsi="Times New Roman"/>
          <w:caps w:val="false"/>
          <w:smallCaps w:val="false"/>
          <w:sz w:val="20"/>
        </w:rPr>
        <w:t>Aphria, Neufeld, and Merton moved for reconsideration of the order denying their motion to dismiss. On </w:t>
      </w:r>
      <w:r>
        <w:rPr>
          <w:rStyle w:val="Emphasis"/>
          <w:rFonts w:ascii="Times New Roman" w:hAnsi="Times New Roman"/>
          <w:caps w:val="false"/>
          <w:smallCaps w:val="false"/>
          <w:sz w:val="20"/>
        </w:rPr>
        <w:t xml:space="preserve"> September 28, 2021, </w:t>
      </w:r>
      <w:r>
        <w:rPr>
          <w:rFonts w:ascii="Times New Roman" w:hAnsi="Times New Roman"/>
          <w:caps w:val="false"/>
          <w:smallCaps w:val="false"/>
          <w:sz w:val="20"/>
        </w:rPr>
        <w:t>the Court denied all motions for reconsideration and provided Plaintiffs with the opportunity to amend their complaint. Plaintiffs did </w:t>
      </w:r>
      <w:r>
        <w:rPr>
          <w:rStyle w:val="Emphasis"/>
          <w:rFonts w:ascii="Times New Roman" w:hAnsi="Times New Roman"/>
          <w:caps w:val="false"/>
          <w:smallCaps w:val="false"/>
          <w:sz w:val="20"/>
        </w:rPr>
        <w:t>not</w:t>
      </w:r>
      <w:r>
        <w:rPr>
          <w:rFonts w:ascii="Times New Roman" w:hAnsi="Times New Roman"/>
          <w:caps w:val="false"/>
          <w:smallCaps w:val="false"/>
          <w:sz w:val="20"/>
        </w:rPr>
        <w:t> amend, and so the dismissals of Cacciavillani, Cervini, DeFrancesco, and SOL Investments became dismissals with prejudice.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28, 2022, </w:t>
      </w:r>
      <w:r>
        <w:rPr>
          <w:rFonts w:ascii="Times New Roman" w:hAnsi="Times New Roman"/>
          <w:caps w:val="false"/>
          <w:smallCaps w:val="false"/>
          <w:sz w:val="20"/>
        </w:rPr>
        <w:t>Plaintiffs moved for class certification, and briefing on the motion was complete as of </w:t>
      </w:r>
      <w:r>
        <w:rPr>
          <w:rStyle w:val="Emphasis"/>
          <w:rFonts w:ascii="Times New Roman" w:hAnsi="Times New Roman"/>
          <w:caps w:val="false"/>
          <w:smallCaps w:val="false"/>
          <w:sz w:val="20"/>
        </w:rPr>
        <w:t xml:space="preserve"> June 28, 2022. </w:t>
      </w:r>
      <w:r>
        <w:rPr>
          <w:rFonts w:ascii="Times New Roman" w:hAnsi="Times New Roman"/>
          <w:caps w:val="false"/>
          <w:smallCaps w:val="false"/>
          <w:sz w:val="20"/>
        </w:rPr>
        <w:t>The motion was granted, and a class was certified. On </w:t>
      </w:r>
      <w:r>
        <w:rPr>
          <w:rStyle w:val="Emphasis"/>
          <w:rFonts w:ascii="Times New Roman" w:hAnsi="Times New Roman"/>
          <w:caps w:val="false"/>
          <w:smallCaps w:val="false"/>
          <w:sz w:val="20"/>
        </w:rPr>
        <w:t xml:space="preserve"> April 12, 2024, </w:t>
      </w:r>
      <w:r>
        <w:rPr>
          <w:rFonts w:ascii="Times New Roman" w:hAnsi="Times New Roman"/>
          <w:caps w:val="false"/>
          <w:smallCaps w:val="false"/>
          <w:sz w:val="20"/>
        </w:rPr>
        <w:t>the parties filed a revised schedule for the remainder of the proceeding through trial. As of the date of this Form </w:t>
      </w:r>
      <w:r>
        <w:rPr>
          <w:rStyle w:val="Emphasis"/>
          <w:rFonts w:ascii="Times New Roman" w:hAnsi="Times New Roman"/>
          <w:caps w:val="false"/>
          <w:smallCaps w:val="false"/>
          <w:sz w:val="20"/>
        </w:rPr>
        <w:t>10</w:t>
      </w:r>
      <w:r>
        <w:rPr>
          <w:rFonts w:ascii="Times New Roman" w:hAnsi="Times New Roman"/>
          <w:caps w:val="false"/>
          <w:smallCaps w:val="false"/>
          <w:sz w:val="20"/>
        </w:rPr>
        <w:t>-K, the parties have completed fact discovery. The Company and the individual defendants believe the claims are without merit and will continue to vigorously defend against them, but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assurances as to the outcome.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MMIRF, LLC v. Tilray Brands, Inc., et 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MMIRF, LLC filed a complaint in the Superior Court of California, Los Angeles County, against Tilray Brands, Inc., Serruya Private Equity Inc., Superhero Acquisition Corp., Superhero Acquisition L.P., Irwin Simon, Michael Serruya, and Denise Faltischek, asserting claims for breach of fiduciary duty, aiding and abetting breach of fiduciary duty, and civil conspiracy against all defendants. The plaintiff allegedly is an assignee of claims previously possessed by MM CAN USA, Inc., a former subsidiary of MedMen Enterprises, Inc. (“MedMen”). The complaint alleges that, following a series of transactions in </w:t>
      </w:r>
      <w:r>
        <w:rPr>
          <w:rStyle w:val="Emphasis"/>
          <w:rFonts w:ascii="Times New Roman" w:hAnsi="Times New Roman"/>
          <w:caps w:val="false"/>
          <w:smallCaps w:val="false"/>
          <w:sz w:val="20"/>
        </w:rPr>
        <w:t xml:space="preserve">August 2021 </w:t>
      </w:r>
      <w:r>
        <w:rPr>
          <w:rFonts w:ascii="Times New Roman" w:hAnsi="Times New Roman"/>
          <w:caps w:val="false"/>
          <w:smallCaps w:val="false"/>
          <w:sz w:val="20"/>
        </w:rPr>
        <w:t xml:space="preserve">pursuant to which Tilray (and other investors) acquired an interest in senior secured convertible notes of MedMen through its investment in Superhero Acquisition L.P. as a limited partner (as previously disclosed in a current report filed on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on </w:t>
      </w:r>
      <w:r>
        <w:rPr>
          <w:rStyle w:val="Emphasis"/>
          <w:rFonts w:ascii="Times New Roman" w:hAnsi="Times New Roman"/>
          <w:caps w:val="false"/>
          <w:smallCaps w:val="false"/>
          <w:sz w:val="20"/>
        </w:rPr>
        <w:t xml:space="preserve">August 17, 2021), </w:t>
      </w:r>
      <w:r>
        <w:rPr>
          <w:rFonts w:ascii="Times New Roman" w:hAnsi="Times New Roman"/>
          <w:caps w:val="false"/>
          <w:smallCaps w:val="false"/>
          <w:sz w:val="20"/>
        </w:rPr>
        <w:t xml:space="preserve">Tilray and the other defendants gained “de facto” control over, and thereby became fiduciaries of, MedMen. The complaint further alleges that the defendants breached those purported fiduciary duties in taking certain actions that detrimentally impacted MedMen’s business, which ultimately entered bankruptcy and receivership proceedings in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 xml:space="preserve">The plaintiff seeks damages in excess of $1.0 billion. Tilray intends to vigorously defend against the claims asserted in the complaint. Based on the information available as of the date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a loss is probable or reasonably estimable.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Proceedings Related to 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Fotmer Corporation S.A. v. Tilray Brands Inc. et 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4, 2023, </w:t>
      </w:r>
      <w:r>
        <w:rPr>
          <w:rFonts w:ascii="Times New Roman" w:hAnsi="Times New Roman"/>
          <w:caps w:val="false"/>
          <w:smallCaps w:val="false"/>
          <w:sz w:val="20"/>
        </w:rPr>
        <w:t xml:space="preserve">Fotmer Corporation S.A. commenced an arbitration demanding $1,233 for alleged breaches by Tilray under a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purchase agreement. On </w:t>
      </w:r>
      <w:r>
        <w:rPr>
          <w:rStyle w:val="Emphasis"/>
          <w:rFonts w:ascii="Times New Roman" w:hAnsi="Times New Roman"/>
          <w:caps w:val="false"/>
          <w:smallCaps w:val="false"/>
          <w:sz w:val="20"/>
        </w:rPr>
        <w:t xml:space="preserve">July 5, 2023, </w:t>
      </w:r>
      <w:r>
        <w:rPr>
          <w:rFonts w:ascii="Times New Roman" w:hAnsi="Times New Roman"/>
          <w:caps w:val="false"/>
          <w:smallCaps w:val="false"/>
          <w:sz w:val="20"/>
        </w:rPr>
        <w:t xml:space="preserve">Tilray commenced proceedings in the Berlin Regional Court seeking $2,250 under a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supply agreement, asserting that Fotmer’s alleged monetary claims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supply agreements are unfounded and that Fotmer owes Tilray amounts in respect of advance payments made for future deliveries, defective products, and EU GMP certification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8, 2023, </w:t>
      </w:r>
      <w:r>
        <w:rPr>
          <w:rFonts w:ascii="Times New Roman" w:hAnsi="Times New Roman"/>
          <w:caps w:val="false"/>
          <w:smallCaps w:val="false"/>
          <w:sz w:val="20"/>
        </w:rPr>
        <w:t xml:space="preserve">an arbitral award was issued ordering Tilray to pay Fotmer $1,233 in connection with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supply agreement. Tilray has not paid the arbitral award and has asserted that its claims against Fotmer and the issues being litigated in Germany support equitable setoff.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25, 2026, </w:t>
      </w:r>
      <w:r>
        <w:rPr>
          <w:rFonts w:ascii="Times New Roman" w:hAnsi="Times New Roman"/>
          <w:caps w:val="false"/>
          <w:smallCaps w:val="false"/>
          <w:sz w:val="20"/>
        </w:rPr>
        <w:t>the Berlin Regional Court issued judgment decisively in Tilray’s favor, ordering Fotmer to pay Tilray $2,250, plus applicable interest and costs. The court also dismissed Fotmer’s counterclaim, which sought more than €11,000 in damages,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Tilray is evaluating and pursuing available enforcement options in multiple jurisdictions. Tilray will continue to vigorously pursue enforcement of the judgment against Fotmer and defend its interests in any related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Summary of litigation accruals</w:t>
      </w:r>
      <w:r>
        <w:rPr>
          <w:rFonts w:ascii="Times New Roman" w:hAnsi="Times New Roman"/>
          <w:caps w:val="false"/>
          <w:smallCaps w:val="false"/>
          <w:sz w:val="20"/>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described in Note </w:t>
      </w:r>
      <w:r>
        <w:rPr>
          <w:rStyle w:val="Emphasis"/>
          <w:rFonts w:ascii="Times New Roman" w:hAnsi="Times New Roman"/>
          <w:caps w:val="false"/>
          <w:smallCaps w:val="false"/>
          <w:sz w:val="20"/>
        </w:rPr>
        <w:t>14</w:t>
      </w:r>
      <w:r>
        <w:rPr>
          <w:rFonts w:ascii="Times New Roman" w:hAnsi="Times New Roman"/>
          <w:caps w:val="false"/>
          <w:smallCaps w:val="false"/>
          <w:sz w:val="20"/>
        </w:rPr>
        <w:t> (Accounts payable and accrued liabilities), the total estimated litigation expense accrual included in accrued liabilities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was $11,931 and $12,431, respectively. During the intervening period, the accrual decreased by $410 from settled claims and decreased $90 due to a net change in the estimated likelihood of certain claim’s settlement, with the remaining change attributable to foreign exchange effects. This estimated accrual is intended to cover various ongoing litigation matters with probable losses that can be reasonably estimated.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810" w:type="dxa"/>
        <w:jc w:val="left"/>
        <w:tblInd w:w="0" w:type="dxa"/>
        <w:tblLayout w:type="fixed"/>
        <w:tblCellMar>
          <w:top w:w="0" w:type="dxa"/>
          <w:left w:w="0" w:type="dxa"/>
          <w:bottom w:w="0" w:type="dxa"/>
          <w:right w:w="0" w:type="dxa"/>
        </w:tblCellMar>
      </w:tblPr>
      <w:tblGrid>
        <w:gridCol w:w="275"/>
        <w:gridCol w:w="453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28.</w:t>
            </w:r>
          </w:p>
        </w:tc>
        <w:tc>
          <w:tcPr>
            <w:tcW w:w="4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risk management and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classified its financial instruments as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(Significant accounting policies</w:t>
      </w:r>
      <w:r>
        <w:rPr>
          <w:rFonts w:ascii="Times New Roman" w:hAnsi="Times New Roman"/>
          <w:i/>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carrying values of marketable securities, accounts receivable, bank indebtedness and accounts payable and accrued liabilities approximate their fair values due to their short periods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May 31, 2025</w:t>
      </w:r>
      <w:r>
        <w:rPr>
          <w:rFonts w:ascii="Times New Roman" w:hAnsi="Times New Roman"/>
          <w:caps w:val="false"/>
          <w:smallCaps w:val="false"/>
          <w:sz w:val="20"/>
        </w:rPr>
        <w:t>, the Company had long-term debt of $1,822 and $2,546, respectively, and the principal portion of convertible debentures payable of $88,000 and $105,000, respectively, subject to fixed interest rates.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recorded at fair value are classified using a fair value hierarchy that reflects the significance of inputs used in making the measurements. Cash and cash equivalents are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hierarchy is summarized as follows:</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635"/>
        <w:gridCol w:w="635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(unadjusted)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12"/>
        <w:gridCol w:w="9533"/>
      </w:tblGrid>
      <w:tr>
        <w:trPr/>
        <w:tc>
          <w:tcPr>
            <w:tcW w:w="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p>
        </w:tc>
        <w:tc>
          <w:tcPr>
            <w:tcW w:w="95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Inputs that are observable for the asset or liability, either directly (prices) or indirectly (derived from prices) from observable market data</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635"/>
        <w:gridCol w:w="569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p>
        </w:tc>
        <w:tc>
          <w:tcPr>
            <w:tcW w:w="569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Inputs for assets and liabilities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based upon observable market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present information about the Company’s assets and liabilities that are measured at fair value on a recurring basis as of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indicates the fair value hierarchy of the valuation techniques the Company utilized to determine such fair value:</w:t>
      </w:r>
    </w:p>
    <w:p>
      <w:pPr>
        <w:pStyle w:val="TextBody"/>
        <w:bidi w:val="0"/>
        <w:spacing w:before="0" w:after="0"/>
        <w:ind w:left="0" w:right="0" w:hanging="0"/>
        <w:jc w:val="left"/>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410"/>
        <w:gridCol w:w="60"/>
        <w:gridCol w:w="125"/>
        <w:gridCol w:w="695"/>
        <w:gridCol w:w="60"/>
        <w:gridCol w:w="60"/>
        <w:gridCol w:w="167"/>
        <w:gridCol w:w="452"/>
        <w:gridCol w:w="60"/>
        <w:gridCol w:w="60"/>
        <w:gridCol w:w="127"/>
        <w:gridCol w:w="492"/>
        <w:gridCol w:w="60"/>
        <w:gridCol w:w="60"/>
        <w:gridCol w:w="125"/>
        <w:gridCol w:w="695"/>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225,977</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5,289</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investments measured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recurring fair value measurements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237,817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3410"/>
        <w:gridCol w:w="60"/>
        <w:gridCol w:w="125"/>
        <w:gridCol w:w="695"/>
        <w:gridCol w:w="60"/>
        <w:gridCol w:w="60"/>
        <w:gridCol w:w="127"/>
        <w:gridCol w:w="492"/>
        <w:gridCol w:w="60"/>
        <w:gridCol w:w="60"/>
        <w:gridCol w:w="125"/>
        <w:gridCol w:w="650"/>
        <w:gridCol w:w="80"/>
        <w:gridCol w:w="60"/>
        <w:gridCol w:w="125"/>
        <w:gridCol w:w="695"/>
        <w:gridCol w:w="8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221,666</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34,697</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investments measured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10,132</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4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recurring fair value measurements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250,403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financial assets and liabilities required to be measured on a recurring basis are its equity investments measured at fair value, digital assets, acquisition-related contingent consideration, and warrant liability.</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31, 2026</w:t>
      </w:r>
      <w:r>
        <w:rPr>
          <w:rFonts w:ascii="Times New Roman" w:hAnsi="Times New Roman"/>
          <w:caps w:val="false"/>
          <w:smallCaps w:val="false"/>
          <w:sz w:val="20"/>
        </w:rPr>
        <w:t>, the Company purchased 9.16 units of Bitcoin. Digital assets recorded at fair value have quoted prices in active markets for identical assets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The following table presents the Company’s digital asset holdings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647" w:type="dxa"/>
        <w:jc w:val="left"/>
        <w:tblInd w:w="0" w:type="dxa"/>
        <w:tblLayout w:type="fixed"/>
        <w:tblCellMar>
          <w:top w:w="0" w:type="dxa"/>
          <w:left w:w="0" w:type="dxa"/>
          <w:bottom w:w="0" w:type="dxa"/>
          <w:right w:w="0" w:type="dxa"/>
        </w:tblCellMar>
      </w:tblPr>
      <w:tblGrid>
        <w:gridCol w:w="1550"/>
        <w:gridCol w:w="60"/>
        <w:gridCol w:w="105"/>
        <w:gridCol w:w="665"/>
        <w:gridCol w:w="60"/>
        <w:gridCol w:w="60"/>
        <w:gridCol w:w="182"/>
        <w:gridCol w:w="707"/>
        <w:gridCol w:w="60"/>
        <w:gridCol w:w="60"/>
        <w:gridCol w:w="252"/>
        <w:gridCol w:w="682"/>
        <w:gridCol w:w="60"/>
        <w:gridCol w:w="60"/>
        <w:gridCol w:w="720"/>
        <w:gridCol w:w="2284"/>
        <w:gridCol w:w="80"/>
      </w:tblGrid>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Cumulative Unrealized Gain (Loss)</w:t>
            </w:r>
          </w:p>
        </w:tc>
        <w:tc>
          <w:tcPr>
            <w:tcW w:w="8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Bitcoin</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Certain equity investments recorded at fair value have quoted prices in active markets for identical assets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The Company classified securities with observable inputs as Level </w:t>
      </w:r>
      <w:r>
        <w:rPr>
          <w:rStyle w:val="Emphasis"/>
          <w:rFonts w:ascii="Times New Roman" w:hAnsi="Times New Roman"/>
          <w:caps w:val="false"/>
          <w:smallCaps w:val="false"/>
          <w:sz w:val="20"/>
        </w:rPr>
        <w:t>2</w:t>
      </w:r>
      <w:r>
        <w:rPr>
          <w:rFonts w:ascii="Times New Roman" w:hAnsi="Times New Roman"/>
          <w:caps w:val="false"/>
          <w:smallCaps w:val="false"/>
          <w:sz w:val="20"/>
        </w:rPr>
        <w:t> and without a quoted market price as Level </w:t>
      </w:r>
      <w:r>
        <w:rPr>
          <w:rStyle w:val="Emphasis"/>
          <w:rFonts w:ascii="Times New Roman" w:hAnsi="Times New Roman"/>
          <w:caps w:val="false"/>
          <w:smallCaps w:val="false"/>
          <w:sz w:val="20"/>
        </w:rPr>
        <w:t>3.</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included within equity investment under measurement alternative is an option to acquire a 68% membership interest in SH Acquisition for $1.00 upon U.S. federal cannabis legalization valued at $4,364 and $8,160 respectively. During the fiscal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the fair value of this option decreased by $3,796 due to changes in the discounted cash flow model used to value the underlying business. Specifically, projected cash flows associated with retail operations were reduced to $nil as a result of restructuring activities, with the remaining valuation attributable solely to projected brand-related cash flows.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 portion of the total consideration to be paid in connection with the Company’s acquisition of Montauk Brewing Company (“Montauk”) was contingent upon the achievement by Montauk of certain financial measures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In the event that Montauk achieved either the pre-determined sales volume target or EBITDA target, then $15,000 of contingent consideration would be deemed earned and payable. If both the sales volume target and the EBITDA target were achieved, an additional $3,000 would be deemed earned and payable for a total contingent consideration payment of $18,000.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For the year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the Company assessed the estimated value of the contingent consideration liability as $15,000, which was estimated to be achieved based on management’s forecast, applying a probability of achievement of 100% for the sales volume target and 0% on the remaining criteria, which was </w:t>
      </w:r>
      <w:r>
        <w:rPr>
          <w:rStyle w:val="Emphasis"/>
          <w:rFonts w:ascii="Times New Roman" w:hAnsi="Times New Roman"/>
          <w:caps w:val="false"/>
          <w:smallCaps w:val="false"/>
          <w:sz w:val="20"/>
        </w:rPr>
        <w:t>not</w:t>
      </w:r>
      <w:r>
        <w:rPr>
          <w:rFonts w:ascii="Times New Roman" w:hAnsi="Times New Roman"/>
          <w:caps w:val="false"/>
          <w:smallCaps w:val="false"/>
          <w:sz w:val="20"/>
        </w:rPr>
        <w:t> expected to be achieved as EBITDA targets were </w:t>
      </w:r>
      <w:r>
        <w:rPr>
          <w:rStyle w:val="Emphasis"/>
          <w:rFonts w:ascii="Times New Roman" w:hAnsi="Times New Roman"/>
          <w:caps w:val="false"/>
          <w:smallCaps w:val="false"/>
          <w:sz w:val="20"/>
        </w:rPr>
        <w:t>not</w:t>
      </w:r>
      <w:r>
        <w:rPr>
          <w:rFonts w:ascii="Times New Roman" w:hAnsi="Times New Roman"/>
          <w:caps w:val="false"/>
          <w:smallCaps w:val="false"/>
          <w:sz w:val="20"/>
        </w:rPr>
        <w:t> forecasted to be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August 31, 2025, </w:t>
      </w:r>
      <w:r>
        <w:rPr>
          <w:rFonts w:ascii="Times New Roman" w:hAnsi="Times New Roman"/>
          <w:caps w:val="false"/>
          <w:smallCaps w:val="false"/>
          <w:sz w:val="20"/>
        </w:rPr>
        <w:t>the Company reassessed the estimated fair value of the contingent consideration liability as $nil, based on subsequent information regarding Montauk’s operating results and revised expectations for the remainder of the earn</w:t>
        <w:noBreakHyphen/>
        <w:t>out period. As a result of lower</w:t>
        <w:noBreakHyphen/>
        <w:t>than</w:t>
        <w:noBreakHyphen/>
        <w:t>anticipated sales volumes during the peak selling periods of </w:t>
      </w:r>
      <w:r>
        <w:rPr>
          <w:rStyle w:val="Emphasis"/>
          <w:rFonts w:ascii="Times New Roman" w:hAnsi="Times New Roman"/>
          <w:caps w:val="false"/>
          <w:smallCaps w:val="false"/>
          <w:sz w:val="20"/>
        </w:rPr>
        <w:t xml:space="preserve"> June,  July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August 2025, </w:t>
      </w:r>
      <w:r>
        <w:rPr>
          <w:rFonts w:ascii="Times New Roman" w:hAnsi="Times New Roman"/>
          <w:caps w:val="false"/>
          <w:smallCaps w:val="false"/>
          <w:sz w:val="20"/>
        </w:rPr>
        <w:t>and the loss of certain national retail programs, management concluded that Montauk </w:t>
      </w:r>
      <w:r>
        <w:rPr>
          <w:rStyle w:val="Emphasis"/>
          <w:rFonts w:ascii="Times New Roman" w:hAnsi="Times New Roman"/>
          <w:caps w:val="false"/>
          <w:smallCaps w:val="false"/>
          <w:sz w:val="20"/>
        </w:rPr>
        <w:t>no</w:t>
      </w:r>
      <w:r>
        <w:rPr>
          <w:rFonts w:ascii="Times New Roman" w:hAnsi="Times New Roman"/>
          <w:caps w:val="false"/>
          <w:smallCaps w:val="false"/>
          <w:sz w:val="20"/>
        </w:rPr>
        <w:t> longer had a viable path to achieving the sales volume target or the EBITDA target within the earn</w:t>
        <w:noBreakHyphen/>
        <w:t>out period. Accordingly, the Company applied a probability of achievement of 0% to the sales volume target and 0% to the remaining criteria. The resulting $15,000 change in fair value of the contingent consideration liability was recorded within the statement of profit and loss and contributed to the Company’s net income generated during the period ended </w:t>
      </w:r>
      <w:r>
        <w:rPr>
          <w:rStyle w:val="Emphasis"/>
          <w:rFonts w:ascii="Times New Roman" w:hAnsi="Times New Roman"/>
          <w:caps w:val="false"/>
          <w:smallCaps w:val="false"/>
          <w:sz w:val="20"/>
        </w:rPr>
        <w:t xml:space="preserve"> August 31, 2025, </w:t>
      </w:r>
      <w:r>
        <w:rPr>
          <w:rFonts w:ascii="Times New Roman" w:hAnsi="Times New Roman"/>
          <w:caps w:val="false"/>
          <w:smallCaps w:val="false"/>
          <w:sz w:val="20"/>
        </w:rPr>
        <w:t>despite historically reporting a net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February 28, 2026, </w:t>
      </w:r>
      <w:r>
        <w:rPr>
          <w:rFonts w:ascii="Times New Roman" w:hAnsi="Times New Roman"/>
          <w:caps w:val="false"/>
          <w:smallCaps w:val="false"/>
          <w:sz w:val="20"/>
        </w:rPr>
        <w:t>the earn-out period concluded and neither financial measure was achieved. Accordingly, no further changes to the fair value of the contingent consideration liability were recognized during the year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as no contingent consideration obligation was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0" w:right="0" w:firstLine="540"/>
        <w:jc w:val="both"/>
        <w:rPr/>
      </w:pPr>
      <w:r>
        <w:rPr>
          <w:rFonts w:ascii="Times New Roman" w:hAnsi="Times New Roman"/>
          <w:caps w:val="false"/>
          <w:smallCaps w:val="false"/>
          <w:sz w:val="20"/>
        </w:rPr>
        <w:t>The fair value measurement was based on significant unobservable inputs related to projected operating performance and expected cash outflows and was therefore classified was a Level </w:t>
      </w:r>
      <w:r>
        <w:rPr>
          <w:rStyle w:val="Emphasis"/>
          <w:rFonts w:ascii="Times New Roman" w:hAnsi="Times New Roman"/>
          <w:caps w:val="false"/>
          <w:smallCaps w:val="false"/>
          <w:sz w:val="20"/>
        </w:rPr>
        <w:t>3</w:t>
      </w:r>
      <w:r>
        <w:rPr>
          <w:rFonts w:ascii="Times New Roman" w:hAnsi="Times New Roman"/>
          <w:caps w:val="false"/>
          <w:smallCaps w:val="false"/>
          <w:sz w:val="20"/>
        </w:rPr>
        <w:t> fair value measurement.</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160" w:right="0" w:firstLine="540"/>
        <w:jc w:val="both"/>
        <w:rPr/>
      </w:pPr>
      <w:r>
        <w:rPr>
          <w:rFonts w:ascii="Times New Roman" w:hAnsi="Times New Roman"/>
          <w:caps w:val="false"/>
          <w:smallCaps w:val="false"/>
          <w:sz w:val="20"/>
        </w:rPr>
        <w:t>The balances of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measured at fair value on a recurring basis are reconciled, as follows for the period ended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334" w:type="dxa"/>
        <w:jc w:val="left"/>
        <w:tblInd w:w="0" w:type="dxa"/>
        <w:tblLayout w:type="fixed"/>
        <w:tblCellMar>
          <w:top w:w="0" w:type="dxa"/>
          <w:left w:w="0" w:type="dxa"/>
          <w:bottom w:w="0" w:type="dxa"/>
          <w:right w:w="0" w:type="dxa"/>
        </w:tblCellMar>
      </w:tblPr>
      <w:tblGrid>
        <w:gridCol w:w="2855"/>
        <w:gridCol w:w="60"/>
        <w:gridCol w:w="191"/>
        <w:gridCol w:w="834"/>
        <w:gridCol w:w="80"/>
        <w:gridCol w:w="60"/>
        <w:gridCol w:w="151"/>
        <w:gridCol w:w="663"/>
        <w:gridCol w:w="80"/>
        <w:gridCol w:w="60"/>
        <w:gridCol w:w="196"/>
        <w:gridCol w:w="1024"/>
        <w:gridCol w:w="8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Warrant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Contingent</w:t>
            </w:r>
          </w:p>
        </w:tc>
        <w:tc>
          <w:tcPr>
            <w:tcW w:w="8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8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fair value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Instruments exercised</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The balances of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measured at fair value on a recurring basis are reconciled, as follows for the period ended </w:t>
      </w:r>
      <w:r>
        <w:rPr>
          <w:rStyle w:val="Emphasis"/>
          <w:rFonts w:ascii="Times New Roman" w:hAnsi="Times New Roman"/>
          <w:caps w:val="false"/>
          <w:smallCaps w:val="false"/>
          <w:sz w:val="20"/>
        </w:rPr>
        <w:t xml:space="preserve"> May 31, 2025:</w:t>
      </w:r>
    </w:p>
    <w:p>
      <w:pPr>
        <w:pStyle w:val="TextBody"/>
        <w:bidi w:val="0"/>
        <w:spacing w:before="0" w:after="0"/>
        <w:ind w:left="0" w:right="0" w:hanging="0"/>
        <w:jc w:val="left"/>
        <w:rPr>
          <w:caps w:val="false"/>
          <w:smallCaps w:val="false"/>
        </w:rPr>
      </w:pPr>
      <w:r>
        <w:rPr>
          <w:caps w:val="false"/>
          <w:smallCaps w:val="false"/>
        </w:rPr>
        <w:t> </w:t>
      </w:r>
    </w:p>
    <w:tbl>
      <w:tblPr>
        <w:tblW w:w="8844" w:type="dxa"/>
        <w:jc w:val="left"/>
        <w:tblInd w:w="0" w:type="dxa"/>
        <w:tblLayout w:type="fixed"/>
        <w:tblCellMar>
          <w:top w:w="0" w:type="dxa"/>
          <w:left w:w="0" w:type="dxa"/>
          <w:bottom w:w="0" w:type="dxa"/>
          <w:right w:w="0" w:type="dxa"/>
        </w:tblCellMar>
      </w:tblPr>
      <w:tblGrid>
        <w:gridCol w:w="2855"/>
        <w:gridCol w:w="60"/>
        <w:gridCol w:w="217"/>
        <w:gridCol w:w="1137"/>
        <w:gridCol w:w="80"/>
        <w:gridCol w:w="60"/>
        <w:gridCol w:w="185"/>
        <w:gridCol w:w="810"/>
        <w:gridCol w:w="80"/>
        <w:gridCol w:w="60"/>
        <w:gridCol w:w="137"/>
        <w:gridCol w:w="603"/>
        <w:gridCol w:w="80"/>
        <w:gridCol w:w="60"/>
        <w:gridCol w:w="194"/>
        <w:gridCol w:w="1011"/>
        <w:gridCol w:w="80"/>
        <w:gridCol w:w="60"/>
        <w:gridCol w:w="238"/>
        <w:gridCol w:w="757"/>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APHA 24</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Convertible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Warrant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Contingent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Convertible</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notes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Consideration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Debt</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Additions/(Repayments)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11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(loss) on fair value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May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pPr>
      <w:r>
        <w:rPr>
          <w:rFonts w:ascii="Times New Roman" w:hAnsi="Times New Roman"/>
          <w:caps w:val="false"/>
          <w:smallCaps w:val="false"/>
          <w:sz w:val="20"/>
        </w:rPr>
        <w:t>The unrealized gain (loss) on assets and liabilities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 are recognized in the consolidated statements of loss and comprehensive loss using the following inputs:</w:t>
      </w:r>
    </w:p>
    <w:p>
      <w:pPr>
        <w:pStyle w:val="TextBody"/>
        <w:bidi w:val="0"/>
        <w:spacing w:before="0" w:after="0"/>
        <w:ind w:left="160" w:right="0" w:firstLine="540"/>
        <w:jc w:val="both"/>
        <w:rPr>
          <w:caps w:val="false"/>
          <w:smallCaps w:val="false"/>
        </w:rPr>
      </w:pPr>
      <w:r>
        <w:rPr>
          <w:caps w:val="false"/>
          <w:smallCaps w:val="false"/>
        </w:rPr>
        <w:t> </w:t>
      </w:r>
    </w:p>
    <w:tbl>
      <w:tblPr>
        <w:tblW w:w="7715" w:type="dxa"/>
        <w:jc w:val="left"/>
        <w:tblInd w:w="0" w:type="dxa"/>
        <w:tblLayout w:type="fixed"/>
        <w:tblCellMar>
          <w:top w:w="0" w:type="dxa"/>
          <w:left w:w="0" w:type="dxa"/>
          <w:bottom w:w="0" w:type="dxa"/>
          <w:right w:w="0" w:type="dxa"/>
        </w:tblCellMar>
      </w:tblPr>
      <w:tblGrid>
        <w:gridCol w:w="2900"/>
        <w:gridCol w:w="1850"/>
        <w:gridCol w:w="60"/>
        <w:gridCol w:w="2240"/>
        <w:gridCol w:w="60"/>
        <w:gridCol w:w="545"/>
        <w:gridCol w:w="60"/>
      </w:tblGrid>
      <w:tr>
        <w:trPr/>
        <w:tc>
          <w:tcPr>
            <w:tcW w:w="290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ind w:left="0" w:right="0" w:hanging="0"/>
              <w:jc w:val="left"/>
              <w:rPr/>
            </w:pPr>
            <w:r>
              <w:rPr>
                <w:rStyle w:val="Emphasis"/>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ind w:left="0" w:right="0" w:hanging="0"/>
              <w:jc w:val="left"/>
              <w:rPr/>
            </w:pPr>
            <w:r>
              <w:rPr/>
              <w:t> </w:t>
            </w:r>
          </w:p>
        </w:tc>
        <w:tc>
          <w:tcPr>
            <w:tcW w:w="18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Valuation</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 / financial liability</w:t>
            </w:r>
          </w:p>
        </w:tc>
        <w:tc>
          <w:tcPr>
            <w:tcW w:w="18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technique</w:t>
            </w:r>
          </w:p>
        </w:tc>
        <w:tc>
          <w:tcPr>
            <w:tcW w:w="60" w:type="dxa"/>
            <w:tcBorders/>
            <w:shd w:fill="FFFFFF" w:val="clear"/>
            <w:vAlign w:val="center"/>
          </w:tcPr>
          <w:p>
            <w:pPr>
              <w:pStyle w:val="TableContents"/>
              <w:bidi w:val="0"/>
              <w:spacing w:before="0" w:after="283"/>
              <w:ind w:left="0" w:right="0" w:hanging="0"/>
              <w:jc w:val="center"/>
              <w:rPr/>
            </w:pPr>
            <w:r>
              <w:rPr/>
              <w:t> </w:t>
            </w:r>
          </w:p>
        </w:tc>
        <w:tc>
          <w:tcPr>
            <w:tcW w:w="22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Inputs</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investments</w:t>
            </w:r>
          </w:p>
        </w:tc>
        <w:tc>
          <w:tcPr>
            <w:tcW w:w="18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Discounted cash flows</w:t>
            </w:r>
          </w:p>
        </w:tc>
        <w:tc>
          <w:tcPr>
            <w:tcW w:w="60" w:type="dxa"/>
            <w:tcBorders/>
            <w:shd w:fill="CCEEFF" w:val="clear"/>
            <w:vAlign w:val="center"/>
          </w:tcPr>
          <w:p>
            <w:pPr>
              <w:pStyle w:val="TableContents"/>
              <w:bidi w:val="0"/>
              <w:spacing w:before="0" w:after="283"/>
              <w:ind w:left="0" w:right="0" w:hanging="0"/>
              <w:jc w:val="center"/>
              <w:rPr/>
            </w:pPr>
            <w:r>
              <w:rPr/>
              <w:t> </w:t>
            </w:r>
          </w:p>
        </w:tc>
        <w:tc>
          <w:tcPr>
            <w:tcW w:w="22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Probability of achievement</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u w:val="single"/>
        </w:rPr>
      </w:pPr>
      <w:r>
        <w:rPr>
          <w:rFonts w:ascii="Times New Roman" w:hAnsi="Times New Roman"/>
          <w:i/>
          <w:caps w:val="false"/>
          <w:smallCaps w:val="false"/>
          <w:sz w:val="20"/>
          <w:u w:val="single"/>
        </w:rPr>
        <w:t>Items measured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prepayments and other current assets, long-lived assets, including property and equipment, goodwill and intangible assets are measured at fair value when there is an indicator of impairment and are recorded at fair value only when an impairment charge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exposure to the following risks from its use of financial instruments: credit; liquidity; currency rate; interest rate price; equity price risk; and capital management risk.</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
        <w:gridCol w:w="245"/>
        <w:gridCol w:w="8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w:t>
            </w:r>
          </w:p>
        </w:tc>
        <w:tc>
          <w:tcPr>
            <w:tcW w:w="8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Credit risk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Credit risk is the risk of financial loss to the Company if a customer or counterparty to a financial instrument fails to meet its contractual obligations. The maximum credit exposure at </w:t>
      </w:r>
      <w:r>
        <w:rPr>
          <w:rStyle w:val="Emphasis"/>
          <w:rFonts w:ascii="Times New Roman" w:hAnsi="Times New Roman"/>
          <w:caps w:val="false"/>
          <w:smallCaps w:val="false"/>
          <w:sz w:val="20"/>
        </w:rPr>
        <w:t>May 31, 2026</w:t>
      </w:r>
      <w:r>
        <w:rPr>
          <w:rFonts w:ascii="Times New Roman" w:hAnsi="Times New Roman"/>
          <w:caps w:val="false"/>
          <w:smallCaps w:val="false"/>
          <w:sz w:val="20"/>
        </w:rPr>
        <w:t xml:space="preserve">, is the carrying amount of cash and cash equivalents, accounts receivable, prepaids and other current assets. All cash and cash equivalents are placed with major financial institutions in Canada, Australia, Portugal, Germany, Colombia, Argentina, United Kingdom and the United States. To date,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on its cash deposits. Accounts receivable are unsecured,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collateral from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evaluates the collectability of its accounts receivable and maintains an allowance for credit losses at an amount sufficient to absorb losses inherent in the existing accounts receivable portfolio as of the reporting dates based on the estimate of expected net credit losses.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Trade receivables included an allowance for doubtful accounts and credit loss provision of $3,156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-$3,702) and are broken out below as follows:</w:t>
      </w:r>
    </w:p>
    <w:p>
      <w:pPr>
        <w:pStyle w:val="TextBody"/>
        <w:bidi w:val="0"/>
        <w:spacing w:before="0" w:after="0"/>
        <w:ind w:left="0" w:right="0" w:firstLine="720"/>
        <w:jc w:val="both"/>
        <w:rPr>
          <w:caps w:val="false"/>
          <w:smallCaps w:val="false"/>
        </w:rPr>
      </w:pPr>
      <w:r>
        <w:rPr>
          <w:caps w:val="false"/>
          <w:smallCaps w:val="false"/>
        </w:rPr>
        <w:t> </w:t>
      </w:r>
    </w:p>
    <w:tbl>
      <w:tblPr>
        <w:tblW w:w="7472" w:type="dxa"/>
        <w:jc w:val="left"/>
        <w:tblInd w:w="0" w:type="dxa"/>
        <w:tblLayout w:type="fixed"/>
        <w:tblCellMar>
          <w:top w:w="0" w:type="dxa"/>
          <w:left w:w="0" w:type="dxa"/>
          <w:bottom w:w="0" w:type="dxa"/>
          <w:right w:w="0" w:type="dxa"/>
        </w:tblCellMar>
      </w:tblPr>
      <w:tblGrid>
        <w:gridCol w:w="2015"/>
        <w:gridCol w:w="60"/>
        <w:gridCol w:w="125"/>
        <w:gridCol w:w="695"/>
        <w:gridCol w:w="185"/>
        <w:gridCol w:w="60"/>
        <w:gridCol w:w="125"/>
        <w:gridCol w:w="695"/>
        <w:gridCol w:w="185"/>
        <w:gridCol w:w="60"/>
        <w:gridCol w:w="160"/>
        <w:gridCol w:w="759"/>
        <w:gridCol w:w="185"/>
        <w:gridCol w:w="60"/>
        <w:gridCol w:w="160"/>
        <w:gridCol w:w="759"/>
        <w:gridCol w:w="185"/>
        <w:gridCol w:w="60"/>
        <w:gridCol w:w="154"/>
        <w:gridCol w:w="600"/>
        <w:gridCol w:w="185"/>
      </w:tblGrid>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0-30 days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31-60 days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61-90 days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w:t>
            </w:r>
          </w:p>
        </w:tc>
        <w:tc>
          <w:tcPr>
            <w:tcW w:w="185"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18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7"/>
        <w:gridCol w:w="60"/>
        <w:gridCol w:w="480"/>
        <w:gridCol w:w="1868"/>
        <w:gridCol w:w="60"/>
        <w:gridCol w:w="60"/>
        <w:gridCol w:w="384"/>
        <w:gridCol w:w="1684"/>
        <w:gridCol w:w="80"/>
        <w:gridCol w:w="60"/>
        <w:gridCol w:w="345"/>
        <w:gridCol w:w="1349"/>
        <w:gridCol w:w="78"/>
      </w:tblGrid>
      <w:tr>
        <w:trPr/>
        <w:tc>
          <w:tcPr>
            <w:tcW w:w="3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at the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8"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Movement during the year(1)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at end of period</w:t>
            </w:r>
          </w:p>
        </w:tc>
        <w:tc>
          <w:tcPr>
            <w:tcW w:w="78"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May 31, 2026</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 and credit loss provision</w:t>
            </w:r>
          </w:p>
        </w:tc>
        <w:tc>
          <w:tcPr>
            <w:tcW w:w="6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3,156</w:t>
            </w:r>
          </w:p>
        </w:tc>
        <w:tc>
          <w:tcPr>
            <w:tcW w:w="78"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May 31, 2025</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 and credit loss provision</w:t>
            </w:r>
          </w:p>
        </w:tc>
        <w:tc>
          <w:tcPr>
            <w:tcW w:w="6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ind w:left="0" w:right="0" w:hanging="0"/>
              <w:jc w:val="left"/>
              <w:rPr/>
            </w:pPr>
            <w:r>
              <w:rPr/>
              <w:t> </w:t>
            </w:r>
          </w:p>
        </w:tc>
        <w:tc>
          <w:tcPr>
            <w:tcW w:w="1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3,702</w:t>
            </w:r>
          </w:p>
        </w:tc>
        <w:tc>
          <w:tcPr>
            <w:tcW w:w="78"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May 31, 2024</w:t>
            </w:r>
          </w:p>
        </w:tc>
        <w:tc>
          <w:tcPr>
            <w:tcW w:w="6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 and credit loss provision</w:t>
            </w:r>
          </w:p>
        </w:tc>
        <w:tc>
          <w:tcPr>
            <w:tcW w:w="6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ind w:left="0" w:right="0" w:hanging="0"/>
              <w:jc w:val="left"/>
              <w:rPr/>
            </w:pPr>
            <w:r>
              <w:rPr/>
              <w:t> </w:t>
            </w:r>
          </w:p>
        </w:tc>
        <w:tc>
          <w:tcPr>
            <w:tcW w:w="1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3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w:t>
            </w:r>
          </w:p>
        </w:tc>
        <w:tc>
          <w:tcPr>
            <w:tcW w:w="9947"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Included in movements for the period is the total movements for foreign exchange, additions to the provisions and utilization of the credit loss provision and allowance for doubtful accounts. </w:t>
            </w:r>
          </w:p>
        </w:tc>
      </w:tr>
    </w:tbl>
    <w:p>
      <w:pPr>
        <w:pStyle w:val="TextBody"/>
        <w:bidi w:val="0"/>
        <w:spacing w:before="0" w:after="0"/>
        <w:ind w:left="0" w:right="0" w:hanging="0"/>
        <w:jc w:val="left"/>
        <w:rPr/>
      </w:pPr>
      <w:r>
        <w:rPr/>
        <w:t> </w:t>
      </w:r>
    </w:p>
    <w:tbl>
      <w:tblPr>
        <w:tblW w:w="1420" w:type="dxa"/>
        <w:jc w:val="left"/>
        <w:tblInd w:w="0" w:type="dxa"/>
        <w:tblLayout w:type="fixed"/>
        <w:tblCellMar>
          <w:top w:w="0" w:type="dxa"/>
          <w:left w:w="0" w:type="dxa"/>
          <w:bottom w:w="0" w:type="dxa"/>
          <w:right w:w="0" w:type="dxa"/>
        </w:tblCellMar>
      </w:tblPr>
      <w:tblGrid>
        <w:gridCol w:w="60"/>
        <w:gridCol w:w="245"/>
        <w:gridCol w:w="11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w:t>
            </w:r>
          </w:p>
        </w:tc>
        <w:tc>
          <w:tcPr>
            <w:tcW w:w="111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Liquidity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the Company’s financial liabilities consisted of bank indebtedness and accounts payable and accrued liabilities, which have contractual maturity dates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as well as long-term debt and convertible debentures which have contractual maturities over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a minimum deposit on certain cash operating accounts tied to loans secured by its Aphria One, SweetWater, and craft beverage facilities. The Company maintains debt service charge and leverage covenants on certain loans secured by its Aphria Diamond facilities and ABC Group that are measured quarterly. The Company believes that it has sufficient operating room with respect to its financial covenants for the next fiscal year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being in breach of any of its financial covenants. See Note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(Subsequent events) for additional details.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manages its liquidity risk by reviewing its capital requirements on an ongoing basis. Based on the Company’s working capital position 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management regards liquidity risk to be low.</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230"/>
        <w:gridCol w:w="15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w:t>
            </w:r>
          </w:p>
        </w:tc>
        <w:tc>
          <w:tcPr>
            <w:tcW w:w="150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Currency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May 31, 2026</w:t>
      </w:r>
      <w:r>
        <w:rPr>
          <w:rFonts w:ascii="Times New Roman" w:hAnsi="Times New Roman"/>
          <w:caps w:val="false"/>
          <w:smallCaps w:val="false"/>
          <w:sz w:val="20"/>
        </w:rPr>
        <w:t xml:space="preserve">, a portion of the Company’s financial assets and liabilities held in Canadian dollars and Euros consist of cash and cash equivalents, and long-term investments. The Company’s objective in managing its foreign currency risk is to minimize its net exposure to foreign currency cash flows by transacting, to the greatest extent possible,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 the functional currency. The Company is exposed to currency rate risk in other comprehensive income, relating to foreign subsidiaries which operate in a foreign currency.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use foreign exchange contracts to hedge its exposure to its foreign currency cash flows as management has determined that this risk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 at this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60"/>
        <w:gridCol w:w="245"/>
        <w:gridCol w:w="13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w:t>
            </w:r>
          </w:p>
        </w:tc>
        <w:tc>
          <w:tcPr>
            <w:tcW w:w="13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Interest rate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exposure to changes in interest rates relate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230"/>
        <w:gridCol w:w="17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w:t>
            </w:r>
          </w:p>
        </w:tc>
        <w:tc>
          <w:tcPr>
            <w:tcW w:w="173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Capital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objectives when managing its capital are to safeguard its ability to continue as a going concern, to meet its capital expenditures for its continued operations, and to maintain a flexible capital structure which optimizes the cost of capital within a framework of acceptable risk. The Company manages its capital structure and adjusts it in light of changes in economic conditions and the risk characteristics of the underlying assets. To maintain or adjust its capital structure,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issue new shares, issue new debt, or acquire or dispose of assets.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externally imposed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Management reviews its capital management approach on an ongoing basis and believes that this approach, given the relative size of the Company, is reasonable.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Company’s capital management approach in the year. The Company considers its cash and cash equivalents and marketable securities as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29.</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Company’s Chief Operating Decision Maker (“CODM”) is the Chairman of the Board of Directors and Chief Executive Officer. The CODM uses segment gross profit for the purpose of resource allocation, assessment of segment performance against determined targets, and in deciding whether to implement cost saving targets. The Company operates in four segments.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cannabis operations, which encompasses the production, distribution, sale, co-manufacturing and advisory services of both medical and adult-use cannabis,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beverage operations, which encompasses the production, marketing and sale of beverage products,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distribution operations, which encompasses the purchase and resale of pharmaceuticals products to customers, and </w:t>
      </w:r>
      <w:r>
        <w:rPr>
          <w:rStyle w:val="Emphasis"/>
          <w:rFonts w:ascii="Times New Roman" w:hAnsi="Times New Roman"/>
          <w:caps w:val="false"/>
          <w:smallCaps w:val="false"/>
          <w:sz w:val="20"/>
        </w:rPr>
        <w:t>4</w:t>
      </w:r>
      <w:r>
        <w:rPr>
          <w:rFonts w:ascii="Times New Roman" w:hAnsi="Times New Roman"/>
          <w:caps w:val="false"/>
          <w:smallCaps w:val="false"/>
          <w:sz w:val="20"/>
        </w:rPr>
        <w:t>) wellness products, which encompasses hemp foods and cannabidiol (“CBD”) products. This structure is in line with how our CODM assesses our performance and allocates resources.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Operating segments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aggregated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asset information is provided for the segments because the Company’s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asset information by segment on a regular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reconcile the Company’s segment gross profit to consolidated U.S. GAAP results:</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1970"/>
        <w:gridCol w:w="60"/>
        <w:gridCol w:w="125"/>
        <w:gridCol w:w="695"/>
        <w:gridCol w:w="60"/>
        <w:gridCol w:w="60"/>
        <w:gridCol w:w="125"/>
        <w:gridCol w:w="695"/>
        <w:gridCol w:w="60"/>
        <w:gridCol w:w="60"/>
        <w:gridCol w:w="125"/>
        <w:gridCol w:w="695"/>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beverage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113,522</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cannabis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182,594</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Cannabis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258,740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230,596</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Wellness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38,879</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Wellness 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565,591</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223,351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Segment costs are comprised of cost of goods sold which include product costs, salaries and an allocation of overhead costs.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total segment gross profit to the Company’s consolidated totals:</w:t>
      </w:r>
    </w:p>
    <w:p>
      <w:pPr>
        <w:pStyle w:val="TextBody"/>
        <w:bidi w:val="0"/>
        <w:spacing w:before="0" w:after="0"/>
        <w:ind w:left="0" w:right="0" w:firstLine="720"/>
        <w:jc w:val="both"/>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5945"/>
        <w:gridCol w:w="60"/>
        <w:gridCol w:w="125"/>
        <w:gridCol w:w="755"/>
        <w:gridCol w:w="80"/>
        <w:gridCol w:w="60"/>
        <w:gridCol w:w="125"/>
        <w:gridCol w:w="905"/>
        <w:gridCol w:w="80"/>
        <w:gridCol w:w="60"/>
        <w:gridCol w:w="125"/>
        <w:gridCol w:w="755"/>
        <w:gridCol w:w="80"/>
      </w:tblGrid>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223,351</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167,358</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37,233</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84,752</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promotion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41,933</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intangible assets and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than temporary change in fair value of convertible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42,681</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costs, net of recoveries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8,251</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15,581</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15,462</w:t>
            </w:r>
          </w:p>
        </w:tc>
        <w:tc>
          <w:tcPr>
            <w:tcW w:w="8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398,096</w:t>
            </w:r>
          </w:p>
        </w:tc>
        <w:tc>
          <w:tcPr>
            <w:tcW w:w="8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(2,282,705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(recovery),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Channels of cannabis revenue were as follows:</w:t>
      </w:r>
    </w:p>
    <w:p>
      <w:pPr>
        <w:pStyle w:val="TextBody"/>
        <w:bidi w:val="0"/>
        <w:spacing w:before="0" w:after="0"/>
        <w:ind w:left="0" w:right="0" w:hanging="0"/>
        <w:jc w:val="left"/>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545"/>
        <w:gridCol w:w="60"/>
        <w:gridCol w:w="125"/>
        <w:gridCol w:w="695"/>
        <w:gridCol w:w="80"/>
        <w:gridCol w:w="60"/>
        <w:gridCol w:w="125"/>
        <w:gridCol w:w="695"/>
        <w:gridCol w:w="80"/>
        <w:gridCol w:w="60"/>
        <w:gridCol w:w="125"/>
        <w:gridCol w:w="695"/>
        <w:gridCol w:w="80"/>
      </w:tblGrid>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medical cannabis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25,211</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Canadian adult-use 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266,846</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wholesale cannabis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25,340</w:t>
            </w:r>
          </w:p>
        </w:tc>
        <w:tc>
          <w:tcPr>
            <w:tcW w:w="8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international cannabis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53,295</w:t>
            </w:r>
          </w:p>
        </w:tc>
        <w:tc>
          <w:tcPr>
            <w:tcW w:w="8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excise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There was $nil of cannabis advisory services revenue for the fiscal year ended </w:t>
      </w:r>
      <w:r>
        <w:rPr>
          <w:rStyle w:val="Emphasis"/>
          <w:rFonts w:ascii="Times New Roman" w:hAnsi="Times New Roman"/>
          <w:caps w:val="false"/>
          <w:smallCaps w:val="false"/>
          <w:sz w:val="20"/>
        </w:rPr>
        <w:t xml:space="preserve"> May 31, 2026, </w:t>
      </w:r>
      <w:r>
        <w:rPr>
          <w:rFonts w:ascii="Times New Roman" w:hAnsi="Times New Roman"/>
          <w:caps w:val="false"/>
          <w:smallCaps w:val="false"/>
          <w:sz w:val="20"/>
        </w:rPr>
        <w:t>compared to $1,460 and $1,500 for the fiscal years ended </w:t>
      </w:r>
      <w:r>
        <w:rPr>
          <w:rStyle w:val="Emphasis"/>
          <w:rFonts w:ascii="Times New Roman" w:hAnsi="Times New Roman"/>
          <w:caps w:val="false"/>
          <w:smallCaps w:val="false"/>
          <w:sz w:val="20"/>
        </w:rPr>
        <w:t xml:space="preserve"> May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Geographic net revenue:</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1145"/>
        <w:gridCol w:w="60"/>
        <w:gridCol w:w="125"/>
        <w:gridCol w:w="695"/>
        <w:gridCol w:w="60"/>
        <w:gridCol w:w="60"/>
        <w:gridCol w:w="125"/>
        <w:gridCol w:w="695"/>
        <w:gridCol w:w="60"/>
        <w:gridCol w:w="60"/>
        <w:gridCol w:w="125"/>
        <w:gridCol w:w="695"/>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May 31,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233,141</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243,722</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296,450</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Geographic capital assets:</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145"/>
        <w:gridCol w:w="60"/>
        <w:gridCol w:w="125"/>
        <w:gridCol w:w="695"/>
        <w:gridCol w:w="60"/>
        <w:gridCol w:w="60"/>
        <w:gridCol w:w="125"/>
        <w:gridCol w:w="695"/>
        <w:gridCol w:w="60"/>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May 31,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200,003</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267,458</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97,371</w:t>
            </w:r>
          </w:p>
        </w:tc>
        <w:tc>
          <w:tcPr>
            <w:tcW w:w="6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3,601</w:t>
            </w:r>
          </w:p>
        </w:tc>
        <w:tc>
          <w:tcPr>
            <w:tcW w:w="60"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Major customers are defined as customers that each individually account for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Company’s annual revenues. For the fiscal years ended </w:t>
      </w:r>
      <w:r>
        <w:rPr>
          <w:rStyle w:val="Emphasis"/>
          <w:rFonts w:ascii="Times New Roman" w:hAnsi="Times New Roman"/>
          <w:caps w:val="false"/>
          <w:smallCaps w:val="false"/>
          <w:sz w:val="20"/>
        </w:rPr>
        <w:t xml:space="preserve"> May 31, 2026,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there were no major customers representing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our annual revenues.</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30.</w:t>
            </w:r>
          </w:p>
        </w:tc>
        <w:tc>
          <w:tcPr>
            <w:tcW w:w="15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Subsequent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June 1,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the Company issued an additional 639,581 shares in connection with the Company’s ATM Program, thereby generating gross proceeds of $3,528. The Company netted proceeds of $3,457 after commissions and other fees associated with these issuances in the amount of $71.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June 1,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24, 2026, </w:t>
      </w:r>
      <w:r>
        <w:rPr>
          <w:rFonts w:ascii="Times New Roman" w:hAnsi="Times New Roman"/>
          <w:caps w:val="false"/>
          <w:smallCaps w:val="false"/>
          <w:sz w:val="20"/>
        </w:rPr>
        <w:t xml:space="preserve">Tilray entered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private debt-for-equity Exchange Transactions with unrelated parties. Pursuant to the Exchange Transactions, the Company issued an aggregate of 3,852,527 shares of Common Stock in exchange for $18,000 aggregate principal amount of the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due </w:t>
      </w:r>
      <w:r>
        <w:rPr>
          <w:rStyle w:val="Emphasis"/>
          <w:rFonts w:ascii="Times New Roman" w:hAnsi="Times New Roman"/>
          <w:caps w:val="false"/>
          <w:smallCaps w:val="false"/>
          <w:sz w:val="20"/>
        </w:rPr>
        <w:t>June 15, 2027. </w:t>
      </w:r>
      <w:r>
        <w:rPr>
          <w:rFonts w:ascii="Times New Roman" w:hAnsi="Times New Roman"/>
          <w:caps w:val="false"/>
          <w:smallCaps w:val="false"/>
          <w:sz w:val="20"/>
        </w:rPr>
        <w:t xml:space="preserve">As a result, $70,000 of principal remains outstanding on the Company’s TLRY </w:t>
      </w:r>
      <w:r>
        <w:rPr>
          <w:rStyle w:val="Emphasis"/>
          <w:rFonts w:ascii="Times New Roman" w:hAnsi="Times New Roman"/>
          <w:caps w:val="false"/>
          <w:smallCaps w:val="false"/>
          <w:sz w:val="20"/>
        </w:rPr>
        <w:t>27</w:t>
      </w:r>
      <w:r>
        <w:rPr>
          <w:rFonts w:ascii="Times New Roman" w:hAnsi="Times New Roman"/>
          <w:caps w:val="false"/>
          <w:smallCaps w:val="false"/>
          <w:sz w:val="20"/>
        </w:rPr>
        <w:t xml:space="preserve"> Notes as of the date of this filing.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24, 2026, </w:t>
      </w:r>
      <w:r>
        <w:rPr>
          <w:rFonts w:ascii="Times New Roman" w:hAnsi="Times New Roman"/>
          <w:caps w:val="false"/>
          <w:smallCaps w:val="false"/>
          <w:sz w:val="20"/>
        </w:rPr>
        <w:t xml:space="preserve">American Beverage Crafts Group, Inc., a wholly owned subsidiary of the Company, entered into a Sixth Amendment to Credit Agreement (the “Sixth Amendment”) with Bank of America, N.A., as administrative agent, and the lenders party thereto. The Sixth Amendment amends the Credit Agreement dated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among other things, reflects revisions to the Company’s credit facilities, including a reduction in the revolving commitments from $25,000 to $15,000 and modifications to certain of the financial covenants. The Sixth Amendment also acknowledges a voluntary principal prepayment of $10,000 million made on </w:t>
      </w:r>
      <w:r>
        <w:rPr>
          <w:rStyle w:val="Emphasis"/>
          <w:rFonts w:ascii="Times New Roman" w:hAnsi="Times New Roman"/>
          <w:caps w:val="false"/>
          <w:smallCaps w:val="false"/>
          <w:sz w:val="20"/>
        </w:rPr>
        <w:t xml:space="preserve">May 29, 2026, </w:t>
      </w:r>
      <w:r>
        <w:rPr>
          <w:rFonts w:ascii="Times New Roman" w:hAnsi="Times New Roman"/>
          <w:caps w:val="false"/>
          <w:smallCaps w:val="false"/>
          <w:sz w:val="20"/>
        </w:rPr>
        <w:t>and includes various amendments, consents and other provisions relating to certain corporate and financing transactions.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1" w:name="report"/>
      <w:bookmarkEnd w:id="21"/>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Board of Directors and Shareholders of Tilray Brands,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Opinions on the Financial Statements and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the accompanying consolidated statements of financial position of Tilray Brands, Inc. and its subsidiaries (the Company) as of May 31, 2026 and 2025, and the related consolidated statements of loss and comprehensive loss, of changes in equity and of cash flows for the years then ended, including the related notes (collectively referred to as the consolidated financial statements). We also have audited the Company’s internal control over financial reporting as of May 31, 2026,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(2013) issued by the Committee of Sponsoring Organizations of the Treadway Commission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our opinion, the consolidated financial statements referred to above present fairly, in all material respects, the financial position of the Company as of May 31, 2026 and 2025,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May 31, 2026,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(2013) issued by the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Management's Report on Internal Control over Financial Reporting, management has excluded certain business operations and assets of BrewDog plc and certain of its subsidiary undertakings (BrewDog UK I), BrewDog Brewing Australia Pty Ltd (BrewDog AUS), certain BrewDog assets in the U.S (BrewDog US), 5 BrewDog brewpubs in Scotland and England (BrewDog UK II), and the Lyphe Group (Lyphe) from its assessment of internal control over financial reporting as of May 31, 2026, because they were acquired by the Company in purchase business combinations during the year ended May 31, 2026. The business operations and assets of BrewDog UK 1, BrewDog AUS, BrewDog US, BrewDog UK II and Lyphe are wholly-owned subsidiaries whose total assets and total revenues excluded from management’s assessment and our audit of internal control over financial reporting represent 9.5%, 1.0%, 1.5%, 0.2% and 0.2% of total assets and 3.8%, 0.2%, 0.5%, o% and 0% of net revenues, respectively, of the related consolidated financial statement amounts as of and for the year ended May 31, 2026.</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Audit Matters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Qualitative Goodwill Impairment Assessment related to Cannabis Reporting Unit</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Notes 3 and 10 to the consolidated financial statements, the Company’s goodwill balance was $752.4 million as at May 31, 2026 related to the Cannabis Reporting Unit. Goodwill is tested annually for impairment in the fourth quarter, or more frequently if events or changes in circumstances indicate that goodwill might be impaired. In the annual impairment test, the Company first assesses qualitative factors to determine whether it is more likely than not that the fair value of a reporting unit is less than its carrying value (the qualitative goodwill impairment assessment). If further testing is required, the Company estimates the fair value of the reporting unit and compares it to the carrying value. Management uses significant judgment in assessing the qualitative factors to be considered in the qualitative goodwill impairment assessment, including macroeconomic factors, industry trends, cost factors, overall financial performance and the Company’s share price and resultant market value capitalization in comparison to its book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considerations for our determination that performing procedures relating to the qualitative goodwill impairment assessment related to Cannabis Reporting Unit is a critical audit matter are (i) the significant judgment by management in assessing the qualitative factors in the qualitative goodwill impairment assessment to determine whether it is more likely than not that the fair value of a reporting unit is less than its carrying value; (ii) a high degree of auditor judgment, subjectivity and effort in performing procedures and evaluating audit evidence related to management’s qualitative goodwill impairment assessment; and (iii) the audit effort involved the use of professionals with specialized skill and knowledge in assessing the appropriateness of market data and industry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controls relating to management’s qualitative goodwill impairment assessment. These procedures also included, among others, evaluating the reasonableness of management’s qualitative goodwill impairment assessment which includes the following factors: macroeconomic factors, industry trends, cost factors, overall financial performance and the Company’s share price and resultant market value capitalization in comparison to its book value by (i) considering consistency with current and past performance of the reporting unit; (ii) considering consistency with external market and industry data; (iii) comparing share price trends and market value capitalization for the Company at various points during the year to third party market data; and (iv) considering consistency with evidence obtained in other areas of the audit. Professionals with specialized skill and knowledge were used to assist in evaluating the appropriateness of market data and industry trends used in the qualitative goodwill impairment assessment.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/s/PricewaterhouseCoopers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Chartered Professional Accountants, Licensed Public Accountants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Toronto, Canada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2" w:name="item9"/>
      <w:bookmarkEnd w:id="22"/>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3" w:name="item9a"/>
      <w:bookmarkEnd w:id="23"/>
      <w:r>
        <w:rPr>
          <w:rFonts w:ascii="Times New Roman" w:hAnsi="Times New Roman"/>
          <w:b/>
          <w:caps w:val="false"/>
          <w:smallCaps w:val="false"/>
          <w:sz w:val="20"/>
        </w:rPr>
        <w:t xml:space="preserve">Item 9A.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established disclosure controls and procedures (as defined in Rules 13a-15(e) and 15d-15(e) under the Exchange Act) to ensure that material information relating to us, including our consolidated subsidiaries, is made known to the officers who certify our financial reports and to other members of senior management and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(CEO) and Chief Financial Officer (CFO), conducted an evaluation of the effectiveness of our disclosure controls and procedures. Based on this evaluation, as of the end of the period covered by this Annual Report on Form 10-K, our CEO and CFO have concluded that our disclosure controls and procedures are effective to ensure that the information required to be disclosed by us in the reports that we file or submit under the Exchange Act is (1) recorded, processed, summarized, and reported within the time periods specified in the SEC rules and forms, and (2) accumulated and communicated to management, including our CEO and CFO,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Internal control over financial reporting includes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pertain to the maintenance of records that in reasonable detail accurately and fairly reflect the transactions and dispositions of the Company's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that transactions are recorded as necessary to permit preparation of financial statements in accordance with generally accepted accounting principles, and that receipts and expenditures are being made only in accordance with the authorization of management and directors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important to understand that there are inherent limitations on effectiveness of internal controls as stated within COSO. Internal controls, no matter how well designed and operated, may not prevent or detect misstatements and can only provide reasonable assurance to management and the Board of Directors regarding achievement of an entity’s objectives.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Judgments in decision-making can be faulty, and control and process breakdowns can occur because of simple errors or mistakes;</w:t>
            </w:r>
          </w:p>
        </w:tc>
      </w:tr>
    </w:tbl>
    <w:p>
      <w:pPr>
        <w:pStyle w:val="TextBody"/>
        <w:bidi w:val="0"/>
        <w:spacing w:before="0" w:after="0"/>
        <w:ind w:left="0" w:right="0" w:hanging="0"/>
        <w:jc w:val="left"/>
        <w:rPr/>
      </w:pPr>
      <w:r>
        <w:rPr/>
        <w:t> </w:t>
      </w:r>
    </w:p>
    <w:tbl>
      <w:tblPr>
        <w:tblW w:w="9835" w:type="dxa"/>
        <w:jc w:val="left"/>
        <w:tblInd w:w="0" w:type="dxa"/>
        <w:tblLayout w:type="fixed"/>
        <w:tblCellMar>
          <w:top w:w="0" w:type="dxa"/>
          <w:left w:w="0" w:type="dxa"/>
          <w:bottom w:w="0" w:type="dxa"/>
          <w:right w:w="0" w:type="dxa"/>
        </w:tblCellMar>
      </w:tblPr>
      <w:tblGrid>
        <w:gridCol w:w="60"/>
        <w:gridCol w:w="110"/>
        <w:gridCol w:w="9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can be circumvented by individuals, acting alone or in collusion with each other, or by management override;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 of any system of controls is based in part on certain assumptions about the likelihood of future events, and there can be no assurance that any design will succeed in achieving its stated goals under all potential future conditions;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Over time, controls may become inadequate because of changes in conditions or deterioration in the degree of compliance with policies or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CEO and CFO, we conducted an evaluation of the effectiveness of our internal control over financial reporting as of May 31, 2026, based on the criteria set forth by the Committee of Sponsoring Organizations of the Treadway Commission (COSO) in Internal Control - Integrated Framework (2013) issued. Based on this evaluation, our management concluded that our internal control over financial reporting was effective as of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our fiscal year ended May 31, 2026, we acquired certain business operations and assets of BrewDog plc and certain of its subsidiary undertakings (BrewDog UK I), BrewDog Brewing Australia Pty Ltd (BrewDog AUS), certain BrewDog assets in the U.S (BrewDog US), 5 additional BrewDog brewpubs in Scotland and England (BrewDog UK II), and the Lyphe Group (Lyphe). As a result of the acquisition, each of the acquired entities became wholly-owned subsidiaries of Tilray. In accordance with guidance issued by the SEC, companies are permitted to exclude acquisitions from their final assessment of internal control over financial reporting for the first fiscal year in which the acquisition occurred. Our management, with the participation of our CEO and CFO, has excluded these acquisitions from its assessment of internal control over financial reporting as of May 31, 2026. The operations of the BrewDog UK I, BrewDog AUS, BrewDog US, BrewDog UK II, and Lyphe represent approximately 9.5%, 1.0%, 1.5%, 0.2%, 0.2% of our total assets and 3.8%, 0.2%, 0.5%, 0%, 0% of our net revenues as of and for the year ended May 31,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effectiveness of the Company’s internal control over financial reporting as of May 31, 2026 has been audited by PricewaterhouseCoopers LLP, an independent registered public accounting firm, as stated in their report which accompanies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such term is defined in Rules 13a-15(f) and 15d-15(f) under the Exchange Act) that occurred during our most recent quarter,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4" w:name="item9b"/>
      <w:bookmarkEnd w:id="24"/>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24, 2026, </w:t>
      </w:r>
      <w:r>
        <w:rPr>
          <w:rFonts w:ascii="Times New Roman" w:hAnsi="Times New Roman"/>
          <w:caps w:val="false"/>
          <w:smallCaps w:val="false"/>
          <w:sz w:val="20"/>
        </w:rPr>
        <w:t xml:space="preserve">American Beverage Crafts Group, Inc. entered into the Sixth Amendment with Bank of America, N.A., as administrative agent, and the lenders party thereto. The Sixth Amendment amends the Credit Agreement dated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among other things, reflects revisions to the Company's credit facilities, including a reduction in the revolving commitments from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million to </w:t>
      </w:r>
      <w:r>
        <w:rPr>
          <w:rStyle w:val="Emphasis"/>
          <w:rFonts w:ascii="Times New Roman" w:hAnsi="Times New Roman"/>
          <w:caps w:val="false"/>
          <w:smallCaps w:val="false"/>
          <w:sz w:val="20"/>
        </w:rPr>
        <w:t>$15.0</w:t>
      </w:r>
      <w:r>
        <w:rPr>
          <w:rFonts w:ascii="Times New Roman" w:hAnsi="Times New Roman"/>
          <w:caps w:val="false"/>
          <w:smallCaps w:val="false"/>
          <w:sz w:val="20"/>
        </w:rPr>
        <w:t xml:space="preserve"> million and modifications to certain of the financial covenants. The Sixth Amendment also acknowledges a voluntary principal prepayment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million made on </w:t>
      </w:r>
      <w:r>
        <w:rPr>
          <w:rStyle w:val="Emphasis"/>
          <w:rFonts w:ascii="Times New Roman" w:hAnsi="Times New Roman"/>
          <w:caps w:val="false"/>
          <w:smallCaps w:val="false"/>
          <w:sz w:val="20"/>
        </w:rPr>
        <w:t xml:space="preserve">May 29, 2026, </w:t>
      </w:r>
      <w:r>
        <w:rPr>
          <w:rFonts w:ascii="Times New Roman" w:hAnsi="Times New Roman"/>
          <w:caps w:val="false"/>
          <w:smallCaps w:val="false"/>
          <w:sz w:val="20"/>
        </w:rPr>
        <w:t xml:space="preserve">and includes various amendments, consents and other provisions relating to certain corporate and financing transactions. The foregoing description is qualified in its entirety by reference to the full text of the Sixth Amendment, which is filed as Exhibit </w:t>
      </w:r>
      <w:r>
        <w:rPr>
          <w:rStyle w:val="Emphasis"/>
          <w:rFonts w:ascii="Times New Roman" w:hAnsi="Times New Roman"/>
          <w:caps w:val="false"/>
          <w:smallCaps w:val="false"/>
          <w:sz w:val="20"/>
        </w:rPr>
        <w:t>10.29</w:t>
      </w:r>
      <w:r>
        <w:rPr>
          <w:rFonts w:ascii="Times New Roman" w:hAnsi="Times New Roman"/>
          <w:caps w:val="false"/>
          <w:smallCaps w:val="false"/>
          <w:sz w:val="20"/>
        </w:rPr>
        <w:t xml:space="preserve"> to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23, 2026, </w:t>
      </w:r>
      <w:r>
        <w:rPr>
          <w:rFonts w:ascii="Times New Roman" w:hAnsi="Times New Roman"/>
          <w:caps w:val="false"/>
          <w:smallCaps w:val="false"/>
          <w:sz w:val="20"/>
        </w:rPr>
        <w:t>the Board of Directors of the Company (the “Board”) approved fiscal year </w:t>
      </w:r>
      <w:r>
        <w:rPr>
          <w:rStyle w:val="Emphasis"/>
          <w:rFonts w:ascii="Times New Roman" w:hAnsi="Times New Roman"/>
          <w:caps w:val="false"/>
          <w:smallCaps w:val="false"/>
          <w:sz w:val="20"/>
        </w:rPr>
        <w:t>2026</w:t>
      </w:r>
      <w:r>
        <w:rPr>
          <w:rFonts w:ascii="Times New Roman" w:hAnsi="Times New Roman"/>
          <w:caps w:val="false"/>
          <w:smallCaps w:val="false"/>
          <w:sz w:val="20"/>
        </w:rPr>
        <w:t> retention payments to be made on or about </w:t>
      </w:r>
      <w:r>
        <w:rPr>
          <w:rStyle w:val="Emphasis"/>
          <w:rFonts w:ascii="Times New Roman" w:hAnsi="Times New Roman"/>
          <w:caps w:val="false"/>
          <w:smallCaps w:val="false"/>
          <w:sz w:val="20"/>
        </w:rPr>
        <w:t xml:space="preserve"> August 15, 2026 (</w:t>
      </w:r>
      <w:r>
        <w:rPr>
          <w:rFonts w:ascii="Times New Roman" w:hAnsi="Times New Roman"/>
          <w:caps w:val="false"/>
          <w:smallCaps w:val="false"/>
          <w:sz w:val="20"/>
        </w:rPr>
        <w:t xml:space="preserve">the “Payment Date”) for the following executives (the “Executives”) in the amount set forth opposite each Executive’s name pursuant to an Executive Retention Agreement (the “Executive Retention Agreement”) entered into with each Executive. Pursuant to the terms of each Executive Retention Agreement, such retention payments require continued employment from the Payment Date through </w:t>
      </w:r>
      <w:r>
        <w:rPr>
          <w:rStyle w:val="Emphasis"/>
          <w:rFonts w:ascii="Times New Roman" w:hAnsi="Times New Roman"/>
          <w:caps w:val="false"/>
          <w:smallCaps w:val="false"/>
          <w:sz w:val="20"/>
        </w:rPr>
        <w:t>August 31, 2027 (</w:t>
      </w:r>
      <w:r>
        <w:rPr>
          <w:rFonts w:ascii="Times New Roman" w:hAnsi="Times New Roman"/>
          <w:caps w:val="false"/>
          <w:smallCaps w:val="false"/>
          <w:sz w:val="20"/>
        </w:rPr>
        <w:t>the “Repayment Period”). If the Executive terminates employment without Good Reason or is terminated by the Company for Cause (both terms as defined in the Executive’s employment agreements) prior to </w:t>
      </w:r>
      <w:r>
        <w:rPr>
          <w:rStyle w:val="Emphasis"/>
          <w:rFonts w:ascii="Times New Roman" w:hAnsi="Times New Roman"/>
          <w:caps w:val="false"/>
          <w:smallCaps w:val="false"/>
          <w:sz w:val="20"/>
        </w:rPr>
        <w:t xml:space="preserve"> August 31, 2027, </w:t>
      </w:r>
      <w:r>
        <w:rPr>
          <w:rFonts w:ascii="Times New Roman" w:hAnsi="Times New Roman"/>
          <w:caps w:val="false"/>
          <w:smallCaps w:val="false"/>
          <w:sz w:val="20"/>
        </w:rPr>
        <w:t>then such Executive must repay a pro-rated portion of the retention payment based on the number of days </w:t>
      </w:r>
      <w:r>
        <w:rPr>
          <w:rStyle w:val="Emphasis"/>
          <w:rFonts w:ascii="Times New Roman" w:hAnsi="Times New Roman"/>
          <w:caps w:val="false"/>
          <w:smallCaps w:val="false"/>
          <w:sz w:val="20"/>
        </w:rPr>
        <w:t>not</w:t>
      </w:r>
      <w:r>
        <w:rPr>
          <w:rFonts w:ascii="Times New Roman" w:hAnsi="Times New Roman"/>
          <w:caps w:val="false"/>
          <w:smallCaps w:val="false"/>
          <w:sz w:val="20"/>
        </w:rPr>
        <w:t> employed by the Company during the Repayment Period. A copy of the form of Executive Retention Agreement is filed as an exhibit to this </w:t>
      </w:r>
      <w:r>
        <w:rPr>
          <w:rStyle w:val="Emphasis"/>
          <w:rFonts w:ascii="Times New Roman" w:hAnsi="Times New Roman"/>
          <w:caps w:val="false"/>
          <w:smallCaps w:val="false"/>
          <w:sz w:val="20"/>
        </w:rPr>
        <w:t>Form10</w:t>
      </w:r>
      <w:r>
        <w:rPr>
          <w:rFonts w:ascii="Times New Roman" w:hAnsi="Times New Roman"/>
          <w:caps w:val="false"/>
          <w:smallCaps w:val="false"/>
          <w:sz w:val="20"/>
        </w:rPr>
        <w:t>-K. </w:t>
      </w:r>
    </w:p>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60"/>
        <w:gridCol w:w="60"/>
        <w:gridCol w:w="1625"/>
        <w:gridCol w:w="60"/>
      </w:tblGrid>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Executives</w:t>
            </w:r>
          </w:p>
        </w:tc>
        <w:tc>
          <w:tcPr>
            <w:tcW w:w="60" w:type="dxa"/>
            <w:tcBorders/>
            <w:shd w:fill="FFFFFF" w:val="clear"/>
            <w:vAlign w:val="center"/>
          </w:tcPr>
          <w:p>
            <w:pPr>
              <w:pStyle w:val="TableContents"/>
              <w:bidi w:val="0"/>
              <w:spacing w:before="0" w:after="283"/>
              <w:ind w:left="0" w:right="0" w:hanging="0"/>
              <w:jc w:val="left"/>
              <w:rPr/>
            </w:pPr>
            <w:r>
              <w:rPr/>
              <w:t> </w:t>
            </w:r>
          </w:p>
        </w:tc>
        <w:tc>
          <w:tcPr>
            <w:tcW w:w="16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Retention Payment</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Irwin Simon</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$2,000,000</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Carl Merton</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300,000</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Denise Faltischek</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300,000</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Mitchell Gendel</w:t>
            </w:r>
          </w:p>
        </w:tc>
        <w:tc>
          <w:tcPr>
            <w:tcW w:w="60" w:type="dxa"/>
            <w:tcBorders/>
            <w:shd w:fill="FFFFFF" w:val="clear"/>
            <w:vAlign w:val="center"/>
          </w:tcPr>
          <w:p>
            <w:pPr>
              <w:pStyle w:val="TableContents"/>
              <w:bidi w:val="0"/>
              <w:spacing w:before="0" w:after="283"/>
              <w:jc w:val="left"/>
              <w:rPr/>
            </w:pPr>
            <w:r>
              <w:rPr/>
              <w:t> </w:t>
            </w:r>
          </w:p>
        </w:tc>
        <w:tc>
          <w:tcPr>
            <w:tcW w:w="162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300,000</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Roger Savell</w:t>
            </w:r>
          </w:p>
        </w:tc>
        <w:tc>
          <w:tcPr>
            <w:tcW w:w="6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100,000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i/>
          <w:caps w:val="false"/>
          <w:smallCaps w:val="false"/>
          <w:sz w:val="20"/>
          <w:u w:val="single"/>
        </w:rPr>
        <w:t xml:space="preserve">Rule </w:t>
      </w:r>
      <w:r>
        <w:rPr>
          <w:rStyle w:val="Emphasis"/>
          <w:rFonts w:ascii="Times New Roman" w:hAnsi="Times New Roman"/>
          <w:i/>
          <w:caps w:val="false"/>
          <w:smallCaps w:val="false"/>
          <w:sz w:val="20"/>
          <w:u w:val="single"/>
        </w:rPr>
        <w:t>10b5</w:t>
      </w:r>
      <w:r>
        <w:rPr>
          <w:rFonts w:ascii="Times New Roman" w:hAnsi="Times New Roman"/>
          <w:i/>
          <w:caps w:val="false"/>
          <w:smallCaps w:val="false"/>
          <w:sz w:val="20"/>
          <w:u w:val="single"/>
        </w:rPr>
        <w:t>-</w:t>
      </w:r>
      <w:r>
        <w:rPr>
          <w:rStyle w:val="Emphasis"/>
          <w:rFonts w:ascii="Times New Roman" w:hAnsi="Times New Roman"/>
          <w:i/>
          <w:caps w:val="false"/>
          <w:smallCaps w:val="false"/>
          <w:sz w:val="20"/>
          <w:u w:val="single"/>
        </w:rPr>
        <w:t>1</w:t>
      </w:r>
      <w:r>
        <w:rPr>
          <w:rFonts w:ascii="Times New Roman" w:hAnsi="Times New Roman"/>
          <w:i/>
          <w:caps w:val="false"/>
          <w:smallCaps w:val="false"/>
          <w:sz w:val="20"/>
          <w:u w:val="single"/>
        </w:rPr>
        <w:t xml:space="preserve"> Trading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or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or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(c) of Regulation S-K, during the fiscal year covered by this report.</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5" w:name="item9c"/>
      <w:bookmarkEnd w:id="25"/>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6" w:name="partiii"/>
      <w:bookmarkEnd w:id="26"/>
      <w:r>
        <w:rPr>
          <w:rFonts w:ascii="Times New Roman" w:hAnsi="Times New Roman"/>
          <w:b/>
          <w:caps w:val="false"/>
          <w:smallCaps w:val="false"/>
          <w:sz w:val="20"/>
        </w:rPr>
        <w:t xml:space="preserve">PART 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Part III incorporates certain information by reference from the definitive proxy statement to be filed in connection with our 2026 Annual Meeting of Stockholders (the “2026 Proxy Statement”). We will file the Proxy Statement with the Securities and Exchange Commission pursuant to Regulation 14A not later than 120 days after the end of the fiscal year ended May 31, 2026. If our Proxy Statement is not filed within 120 days of May 31, 2026, the omitted information will be included in an amendment to this Annual Report on Form 10</w:t>
        <w:noBreakHyphen/>
        <w:t>K filed not later than the end of such 120-day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7" w:name="item10"/>
      <w:bookmarkEnd w:id="2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Directors, Executive Officers and Corporate Governance.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information required by this Item concerning our executive officers and our directors and nominees for director, including information with respect to our audit committee and audit committee financial expert,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found under the section entitled “Proposal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Election of Directors,” “Information Regarding the Board of Directors and Corporate Governance,” and “Executive Officers” appearing in the 2026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3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information required by this Item concerning our code of ethics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be found under the section entitled “Information Regarding the Board of Directors and Corporate Governance” appearing in the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1003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information required by this Item concerning compliance with Section </w:t>
            </w:r>
            <w:r>
              <w:rPr>
                <w:rStyle w:val="Emphasis"/>
                <w:rFonts w:ascii="Times New Roman;Times;serif" w:hAnsi="Times New Roman;Times;serif"/>
                <w:caps w:val="false"/>
                <w:smallCaps w:val="false"/>
                <w:sz w:val="20"/>
              </w:rPr>
              <w:t>16</w:t>
            </w:r>
            <w:r>
              <w:rPr>
                <w:rFonts w:ascii="Times New Roman;Times;serif" w:hAnsi="Times New Roman;Times;serif"/>
                <w:caps w:val="false"/>
                <w:smallCaps w:val="false"/>
                <w:sz w:val="20"/>
              </w:rPr>
              <w:t xml:space="preserve">(a) of the Securities Exchange Act of </w:t>
            </w:r>
            <w:r>
              <w:rPr>
                <w:rStyle w:val="Emphasis"/>
                <w:rFonts w:ascii="Times New Roman;Times;serif" w:hAnsi="Times New Roman;Times;serif"/>
                <w:caps w:val="false"/>
                <w:smallCaps w:val="false"/>
                <w:sz w:val="20"/>
              </w:rPr>
              <w:t>1934</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found in the section entitled “Delinquent Section </w:t>
            </w:r>
            <w:r>
              <w:rPr>
                <w:rStyle w:val="Emphasis"/>
                <w:rFonts w:ascii="Times New Roman;Times;serif" w:hAnsi="Times New Roman;Times;serif"/>
                <w:caps w:val="false"/>
                <w:smallCaps w:val="false"/>
                <w:sz w:val="20"/>
              </w:rPr>
              <w:t>16</w:t>
            </w:r>
            <w:r>
              <w:rPr>
                <w:rFonts w:ascii="Times New Roman;Times;serif" w:hAnsi="Times New Roman;Times;serif"/>
                <w:caps w:val="false"/>
                <w:smallCaps w:val="false"/>
                <w:sz w:val="20"/>
              </w:rPr>
              <w:t>(a) Reports” appearing in the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8" w:name="item11"/>
      <w:bookmarkEnd w:id="28"/>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information required by this Item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found under the sections entitled “Director Compensation”, “Executive Compensation” and “Equity Compensation Plan Information” appearing in the 2026 Proxy Statement. Such information is incorporated herein by reference.</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9" w:name="item12"/>
      <w:bookmarkEnd w:id="29"/>
      <w:r>
        <w:rPr>
          <w:rFonts w:ascii="Times New Roman" w:hAnsi="Times New Roman"/>
          <w:b/>
          <w:caps w:val="false"/>
          <w:smallCaps w:val="false"/>
          <w:sz w:val="20"/>
        </w:rPr>
        <w:t xml:space="preserve">Item 12. 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with respect to security ownership of certain beneficial owners and management may be found under the section entitled “Security Ownership of Certain Beneficial Owners and Management” appearing in the 2026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with respect to securities authorized for issuance under our equity compensation plans may be found under the sections entitled “Equity Compensation Plan Information” appearing in the 2026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0" w:name="item13"/>
      <w:bookmarkEnd w:id="30"/>
      <w:r>
        <w:rPr>
          <w:rFonts w:ascii="Times New Roman" w:hAnsi="Times New Roman"/>
          <w:b/>
          <w:caps w:val="false"/>
          <w:smallCaps w:val="false"/>
          <w:sz w:val="20"/>
        </w:rPr>
        <w:t xml:space="preserve">Item 13. Certain Relationships and Related Transactions, and Director Independence.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concerning related party transactions may be found under the section entitled “Transactions with Related Persons” appearing in the 2026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2026 Proxy Statement. Such information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1" w:name="item14"/>
      <w:bookmarkEnd w:id="31"/>
      <w:r>
        <w:rPr>
          <w:rFonts w:ascii="Times New Roman" w:hAnsi="Times New Roman"/>
          <w:b/>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may be found under the section entitled “Proposal No. 3 - Ratification of Appointment of Independent Registered Public Accounting Firm” appearing in the 2026 Proxy Statement. Such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2" w:name="partiv"/>
      <w:bookmarkEnd w:id="32"/>
      <w:r>
        <w:rPr>
          <w:rFonts w:ascii="Times New Roman" w:hAnsi="Times New Roman"/>
          <w:b/>
          <w:caps w:val="false"/>
          <w:smallCaps w:val="false"/>
          <w:sz w:val="20"/>
        </w:rPr>
        <w:t xml:space="preserve">PART 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3" w:name="item15"/>
      <w:bookmarkEnd w:id="33"/>
      <w:r>
        <w:rPr>
          <w:rFonts w:ascii="Times New Roman" w:hAnsi="Times New Roman"/>
          <w:b/>
          <w:caps w:val="false"/>
          <w:smallCaps w:val="false"/>
          <w:sz w:val="20"/>
        </w:rPr>
        <w:t>Item 15. Exhibits,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documents are filed as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245"/>
        <w:gridCol w:w="68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 and Report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
        <w:gridCol w:w="245"/>
        <w:gridCol w:w="25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40" w:right="0" w:hanging="0"/>
        <w:jc w:val="both"/>
        <w:rPr>
          <w:rFonts w:ascii="Times New Roman" w:hAnsi="Times New Roman"/>
          <w:caps w:val="false"/>
          <w:smallCaps w:val="false"/>
          <w:sz w:val="20"/>
        </w:rPr>
      </w:pPr>
      <w:r>
        <w:rPr>
          <w:rFonts w:ascii="Times New Roman" w:hAnsi="Times New Roman"/>
          <w:caps w:val="false"/>
          <w:smallCaps w:val="false"/>
          <w:sz w:val="20"/>
        </w:rPr>
        <w:t>Financial Statement Schedules have been omitted because the information required to be set forth therein is not applicable or is shown in the financial statements or notes thereto.</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2"/>
        <w:gridCol w:w="9913"/>
      </w:tblGrid>
      <w:tr>
        <w:trPr/>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 are incorporated herein by reference or are filed with this report as indicated below (numbered in accordance with Item 601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The exhibits listed below on the Exhibit Index are filed herewith or are incorporated by reference to exhibits previously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4" w:name="exs"/>
      <w:bookmarkEnd w:id="34"/>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
        <w:gridCol w:w="5463"/>
        <w:gridCol w:w="770"/>
        <w:gridCol w:w="844"/>
        <w:gridCol w:w="650"/>
        <w:gridCol w:w="735"/>
        <w:gridCol w:w="975"/>
      </w:tblGrid>
      <w:tr>
        <w:trPr/>
        <w:tc>
          <w:tcPr>
            <w:tcW w:w="768" w:type="dxa"/>
            <w:tcBorders/>
            <w:vAlign w:val="center"/>
          </w:tcPr>
          <w:p>
            <w:pPr>
              <w:pStyle w:val="TableContents"/>
              <w:bidi w:val="0"/>
              <w:spacing w:before="0" w:after="283"/>
              <w:jc w:val="left"/>
              <w:rPr/>
            </w:pPr>
            <w:r>
              <w:rPr/>
              <w:t> </w:t>
            </w:r>
          </w:p>
        </w:tc>
        <w:tc>
          <w:tcPr>
            <w:tcW w:w="5463" w:type="dxa"/>
            <w:tcBorders/>
            <w:vAlign w:val="center"/>
          </w:tcPr>
          <w:p>
            <w:pPr>
              <w:pStyle w:val="TableContents"/>
              <w:bidi w:val="0"/>
              <w:spacing w:before="0" w:after="283"/>
              <w:jc w:val="left"/>
              <w:rPr/>
            </w:pPr>
            <w:r>
              <w:rPr/>
              <w:t> </w:t>
            </w:r>
          </w:p>
        </w:tc>
        <w:tc>
          <w:tcPr>
            <w:tcW w:w="3974"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6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46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844"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7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9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68" w:type="dxa"/>
            <w:tcBorders/>
            <w:vAlign w:val="center"/>
          </w:tcPr>
          <w:p>
            <w:pPr>
              <w:pStyle w:val="TableContents"/>
              <w:bidi w:val="0"/>
              <w:spacing w:before="0" w:after="283"/>
              <w:jc w:val="left"/>
              <w:rPr/>
            </w:pPr>
            <w:r>
              <w:rPr/>
              <w:t> </w:t>
            </w:r>
          </w:p>
        </w:tc>
        <w:tc>
          <w:tcPr>
            <w:tcW w:w="546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r>
      <w:tr>
        <w:trPr/>
        <w:tc>
          <w:tcPr>
            <w:tcW w:w="768"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5463" w:type="dxa"/>
            <w:tcBorders/>
            <w:vAlign w:val="center"/>
          </w:tcPr>
          <w:p>
            <w:pPr>
              <w:pStyle w:val="TableContents"/>
              <w:bidi w:val="0"/>
              <w:spacing w:before="0" w:after="283"/>
              <w:jc w:val="left"/>
              <w:rPr/>
            </w:pPr>
            <w:hyperlink r:id="rId3">
              <w:r>
                <w:rPr>
                  <w:rStyle w:val="InternetLink"/>
                  <w:u w:val="single"/>
                </w:rPr>
                <w:t>Fifth Amended and Restated Certificate of Incorporation of Tilray Brands, Inc., dated as of December 19, 2024, as currently in effect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8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7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1/10/2025</w:t>
            </w:r>
          </w:p>
        </w:tc>
        <w:tc>
          <w:tcPr>
            <w:tcW w:w="975" w:type="dxa"/>
            <w:tcBorders/>
            <w:vAlign w:val="center"/>
          </w:tcPr>
          <w:p>
            <w:pPr>
              <w:pStyle w:val="TableContents"/>
              <w:bidi w:val="0"/>
              <w:spacing w:before="0" w:after="283"/>
              <w:jc w:val="left"/>
              <w:rPr/>
            </w:pPr>
            <w:r>
              <w:rPr/>
              <w:t> </w:t>
            </w:r>
          </w:p>
        </w:tc>
      </w:tr>
      <w:tr>
        <w:trPr/>
        <w:tc>
          <w:tcPr>
            <w:tcW w:w="768" w:type="dxa"/>
            <w:tcBorders/>
            <w:vAlign w:val="center"/>
          </w:tcPr>
          <w:p>
            <w:pPr>
              <w:pStyle w:val="TableContents"/>
              <w:bidi w:val="0"/>
              <w:spacing w:before="0" w:after="283"/>
              <w:jc w:val="left"/>
              <w:rPr/>
            </w:pPr>
            <w:r>
              <w:rPr/>
              <w:t> </w:t>
            </w:r>
          </w:p>
        </w:tc>
        <w:tc>
          <w:tcPr>
            <w:tcW w:w="546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ind w:left="0" w:right="0" w:firstLine="180"/>
              <w:jc w:val="left"/>
              <w:rPr/>
            </w:pPr>
            <w:r>
              <w:rPr/>
              <w:t> </w:t>
            </w:r>
          </w:p>
        </w:tc>
      </w:tr>
      <w:tr>
        <w:trPr/>
        <w:tc>
          <w:tcPr>
            <w:tcW w:w="768" w:type="dxa"/>
            <w:tcBorders/>
            <w:vAlign w:val="center"/>
          </w:tcPr>
          <w:p>
            <w:pPr>
              <w:pStyle w:val="TableContents"/>
              <w:bidi w:val="0"/>
              <w:spacing w:before="0" w:after="283"/>
              <w:jc w:val="left"/>
              <w:rPr/>
            </w:pPr>
            <w:r>
              <w:rPr/>
              <w:t>3.2</w:t>
            </w:r>
          </w:p>
        </w:tc>
        <w:tc>
          <w:tcPr>
            <w:tcW w:w="5463" w:type="dxa"/>
            <w:tcBorders/>
            <w:vAlign w:val="center"/>
          </w:tcPr>
          <w:p>
            <w:pPr>
              <w:pStyle w:val="TableContents"/>
              <w:bidi w:val="0"/>
              <w:spacing w:before="0" w:after="283"/>
              <w:jc w:val="left"/>
              <w:rPr/>
            </w:pPr>
            <w:hyperlink r:id="rId4">
              <w:r>
                <w:rPr>
                  <w:rStyle w:val="InternetLink"/>
                </w:rPr>
                <w:t>Certificate of Amendment of the Fifth Amended and Restated Certificate of Incorporation of the Company, filed on November 26, 2025</w:t>
              </w:r>
            </w:hyperlink>
          </w:p>
        </w:tc>
        <w:tc>
          <w:tcPr>
            <w:tcW w:w="770" w:type="dxa"/>
            <w:tcBorders/>
            <w:vAlign w:val="center"/>
          </w:tcPr>
          <w:p>
            <w:pPr>
              <w:pStyle w:val="TableContents"/>
              <w:bidi w:val="0"/>
              <w:spacing w:before="0" w:after="283"/>
              <w:jc w:val="center"/>
              <w:rPr/>
            </w:pPr>
            <w:r>
              <w:rPr/>
              <w:t>8-K</w:t>
            </w:r>
          </w:p>
        </w:tc>
        <w:tc>
          <w:tcPr>
            <w:tcW w:w="844"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3.1</w:t>
            </w:r>
          </w:p>
        </w:tc>
        <w:tc>
          <w:tcPr>
            <w:tcW w:w="735" w:type="dxa"/>
            <w:tcBorders/>
            <w:vAlign w:val="center"/>
          </w:tcPr>
          <w:p>
            <w:pPr>
              <w:pStyle w:val="TableContents"/>
              <w:bidi w:val="0"/>
              <w:spacing w:before="0" w:after="283"/>
              <w:jc w:val="center"/>
              <w:rPr/>
            </w:pPr>
            <w:r>
              <w:rPr/>
              <w:t>11/26/2025</w:t>
            </w:r>
          </w:p>
        </w:tc>
        <w:tc>
          <w:tcPr>
            <w:tcW w:w="975" w:type="dxa"/>
            <w:tcBorders/>
            <w:vAlign w:val="center"/>
          </w:tcPr>
          <w:p>
            <w:pPr>
              <w:pStyle w:val="TableContents"/>
              <w:bidi w:val="0"/>
              <w:spacing w:before="0" w:after="283"/>
              <w:jc w:val="left"/>
              <w:rPr/>
            </w:pPr>
            <w:r>
              <w:rPr/>
              <w:t> </w:t>
            </w:r>
          </w:p>
        </w:tc>
      </w:tr>
      <w:tr>
        <w:trPr/>
        <w:tc>
          <w:tcPr>
            <w:tcW w:w="768" w:type="dxa"/>
            <w:tcBorders/>
            <w:vAlign w:val="center"/>
          </w:tcPr>
          <w:p>
            <w:pPr>
              <w:pStyle w:val="TableContents"/>
              <w:bidi w:val="0"/>
              <w:spacing w:before="0" w:after="283"/>
              <w:jc w:val="left"/>
              <w:rPr/>
            </w:pPr>
            <w:r>
              <w:rPr/>
              <w:t> </w:t>
            </w:r>
          </w:p>
        </w:tc>
        <w:tc>
          <w:tcPr>
            <w:tcW w:w="546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left"/>
              <w:rPr/>
            </w:pPr>
            <w:r>
              <w:rPr/>
              <w:t> </w:t>
            </w:r>
          </w:p>
        </w:tc>
      </w:tr>
      <w:tr>
        <w:trPr/>
        <w:tc>
          <w:tcPr>
            <w:tcW w:w="768"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5463"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Amended and Restated Bylaws, as of January 10, 2022, as currently in effect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7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1/10/2022</w:t>
            </w:r>
          </w:p>
        </w:tc>
        <w:tc>
          <w:tcPr>
            <w:tcW w:w="9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1"/>
        <w:gridCol w:w="5593"/>
        <w:gridCol w:w="770"/>
        <w:gridCol w:w="824"/>
        <w:gridCol w:w="650"/>
        <w:gridCol w:w="667"/>
        <w:gridCol w:w="950"/>
      </w:tblGrid>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3861" w:type="dxa"/>
            <w:gridSpan w:val="5"/>
            <w:tcBorders/>
            <w:vAlign w:val="center"/>
          </w:tcPr>
          <w:p>
            <w:pPr>
              <w:pStyle w:val="TableContents"/>
              <w:bidi w:val="0"/>
              <w:spacing w:before="0" w:after="283"/>
              <w:jc w:val="center"/>
              <w:rPr>
                <w:b/>
              </w:rPr>
            </w:pPr>
            <w:r>
              <w:rPr>
                <w:b/>
              </w:rPr>
              <w:t>Incorporated by Reference</w:t>
            </w:r>
          </w:p>
        </w:tc>
      </w:tr>
      <w:tr>
        <w:trPr/>
        <w:tc>
          <w:tcPr>
            <w:tcW w:w="7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59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824"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67"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9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5593"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Indenture, dated May 31, 2023, between Tilray Brands, Inc. and Computershare Trust Company, N.A.</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5/31/2023</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5593"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First Supplemental Indenture, dated May 31, 2023, between Tilray Brands, Inc. and Computershare Trust Company, N.A.</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5/31/2023</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5593" w:type="dxa"/>
            <w:tcBorders/>
            <w:vAlign w:val="center"/>
          </w:tcPr>
          <w:p>
            <w:pPr>
              <w:pStyle w:val="TableContents"/>
              <w:bidi w:val="0"/>
              <w:spacing w:before="0" w:after="0"/>
              <w:ind w:left="0" w:right="0" w:hanging="0"/>
              <w:jc w:val="left"/>
              <w:rPr/>
            </w:pPr>
            <w:hyperlink w:anchor="ex_946875.htm">
              <w:r>
                <w:rPr>
                  <w:rStyle w:val="InternetLink"/>
                  <w:rFonts w:ascii="Times New Roman" w:hAnsi="Times New Roman"/>
                  <w:caps w:val="false"/>
                  <w:smallCaps w:val="false"/>
                  <w:sz w:val="20"/>
                  <w:u w:val="single"/>
                </w:rPr>
                <w:t>Description of Securities of the Registrant</w:t>
              </w:r>
            </w:hyperlink>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5593"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Form of Pre-Funded Warrant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03/17/2020</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5593"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Form of Warrant</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03/17/2020</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5593"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Agreement Of Resignation, Appointment and Acceptance, dated as of January 27, 2022, by and among Tilray Brands, Inc., Glas Trust Company LLC and Computershare Trust Company, N.A.</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1/28/2022</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4.7</w:t>
            </w:r>
          </w:p>
        </w:tc>
        <w:tc>
          <w:tcPr>
            <w:tcW w:w="5593"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Agreement Of Resignation, Appointment and Acceptance, dated as of January 27, 2022, by and among Tilray Brands, Inc., Glas Trust Company LLC and Computershare Trust Company, N.A.</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1/28/2022</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5593"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Amended and Restated 2018 Equity Incentive Plan</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333-225741</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7/9/2018</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5593"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Form of Restricted Stock Unit Award Agreement under the Amended and Restated 2018 Equity Incentive Plan</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333-225741</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7/9/2018</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5593"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Form of Indemnity Agreement by and between the Registrant and its directors and officers</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8/10/2020</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pPr>
            <w:r>
              <w:rPr/>
              <w:t> </w:t>
            </w:r>
          </w:p>
        </w:tc>
        <w:tc>
          <w:tcPr>
            <w:tcW w:w="559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5593"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Common Share Purchase Warrant Agreement, between Aphria Inc. and Computershare Trust Company of Canada, dated January 30, 2020</w:t>
              </w:r>
            </w:hyperlink>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82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10.39</w:t>
            </w:r>
          </w:p>
        </w:tc>
        <w:tc>
          <w:tcPr>
            <w:tcW w:w="66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7/28/2021</w:t>
            </w:r>
          </w:p>
        </w:tc>
        <w:tc>
          <w:tcPr>
            <w:tcW w:w="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835" w:type="dxa"/>
        <w:jc w:val="left"/>
        <w:tblInd w:w="0" w:type="dxa"/>
        <w:tblLayout w:type="fixed"/>
        <w:tblCellMar>
          <w:top w:w="0" w:type="dxa"/>
          <w:left w:w="0" w:type="dxa"/>
          <w:bottom w:w="0" w:type="dxa"/>
          <w:right w:w="0" w:type="dxa"/>
        </w:tblCellMar>
      </w:tblPr>
      <w:tblGrid>
        <w:gridCol w:w="980"/>
        <w:gridCol w:w="2105"/>
        <w:gridCol w:w="770"/>
        <w:gridCol w:w="1085"/>
        <w:gridCol w:w="650"/>
        <w:gridCol w:w="965"/>
        <w:gridCol w:w="1280"/>
      </w:tblGrid>
      <w:tr>
        <w:trPr/>
        <w:tc>
          <w:tcPr>
            <w:tcW w:w="98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4750" w:type="dxa"/>
            <w:gridSpan w:val="5"/>
            <w:tcBorders/>
            <w:vAlign w:val="center"/>
          </w:tcPr>
          <w:p>
            <w:pPr>
              <w:pStyle w:val="TableContents"/>
              <w:bidi w:val="0"/>
              <w:spacing w:before="0" w:after="283"/>
              <w:jc w:val="center"/>
              <w:rPr>
                <w:b/>
              </w:rPr>
            </w:pPr>
            <w:r>
              <w:rPr>
                <w:b/>
              </w:rPr>
              <w:t>Incorporated by Reference</w:t>
            </w:r>
          </w:p>
        </w:tc>
      </w:tr>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21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10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9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1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bl>
    <w:tbl>
      <w:tblPr>
        <w:tblW w:w="10205" w:type="dxa"/>
        <w:jc w:val="left"/>
        <w:tblInd w:w="0" w:type="dxa"/>
        <w:tblLayout w:type="fixed"/>
        <w:tblCellMar>
          <w:top w:w="0" w:type="dxa"/>
          <w:left w:w="0" w:type="dxa"/>
          <w:bottom w:w="0" w:type="dxa"/>
          <w:right w:w="0" w:type="dxa"/>
        </w:tblCellMar>
      </w:tblPr>
      <w:tblGrid>
        <w:gridCol w:w="440"/>
        <w:gridCol w:w="7015"/>
        <w:gridCol w:w="465"/>
        <w:gridCol w:w="935"/>
        <w:gridCol w:w="440"/>
        <w:gridCol w:w="848"/>
        <w:gridCol w:w="62"/>
      </w:tblGrid>
      <w:tr>
        <w:trPr/>
        <w:tc>
          <w:tcPr>
            <w:tcW w:w="440" w:type="dxa"/>
            <w:tcBorders/>
            <w:vAlign w:val="center"/>
          </w:tcPr>
          <w:p>
            <w:pPr>
              <w:pStyle w:val="TableContents"/>
              <w:bidi w:val="0"/>
              <w:spacing w:before="0" w:after="283"/>
              <w:jc w:val="left"/>
              <w:rPr/>
            </w:pPr>
            <w:r>
              <w:rPr/>
              <w:t> </w:t>
            </w:r>
          </w:p>
        </w:tc>
        <w:tc>
          <w:tcPr>
            <w:tcW w:w="701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10.5</w:t>
            </w:r>
          </w:p>
        </w:tc>
        <w:tc>
          <w:tcPr>
            <w:tcW w:w="7015" w:type="dxa"/>
            <w:tcBorders/>
            <w:vAlign w:val="center"/>
          </w:tcPr>
          <w:p>
            <w:pPr>
              <w:pStyle w:val="TableContents"/>
              <w:bidi w:val="0"/>
              <w:spacing w:before="0" w:after="283"/>
              <w:jc w:val="left"/>
              <w:rPr/>
            </w:pPr>
            <w:hyperlink r:id="rId16">
              <w:r>
                <w:rPr>
                  <w:rStyle w:val="InternetLink"/>
                  <w:u w:val="single"/>
                </w:rPr>
                <w:t>Employment Agreement by and between the Registrant and Irwin Simon, dated August 28, 2021</w:t>
              </w:r>
            </w:hyperlink>
          </w:p>
        </w:tc>
        <w:tc>
          <w:tcPr>
            <w:tcW w:w="465" w:type="dxa"/>
            <w:tcBorders/>
            <w:vAlign w:val="center"/>
          </w:tcPr>
          <w:p>
            <w:pPr>
              <w:pStyle w:val="TableContents"/>
              <w:bidi w:val="0"/>
              <w:spacing w:before="0" w:after="283"/>
              <w:jc w:val="center"/>
              <w:rPr/>
            </w:pPr>
            <w:r>
              <w:rPr/>
              <w:t>10-Q</w:t>
            </w:r>
          </w:p>
        </w:tc>
        <w:tc>
          <w:tcPr>
            <w:tcW w:w="935" w:type="dxa"/>
            <w:tcBorders/>
            <w:vAlign w:val="center"/>
          </w:tcPr>
          <w:p>
            <w:pPr>
              <w:pStyle w:val="TableContents"/>
              <w:bidi w:val="0"/>
              <w:spacing w:before="0" w:after="283"/>
              <w:jc w:val="center"/>
              <w:rPr/>
            </w:pPr>
            <w:r>
              <w:rPr/>
              <w:t>001-38594</w:t>
            </w:r>
          </w:p>
        </w:tc>
        <w:tc>
          <w:tcPr>
            <w:tcW w:w="440" w:type="dxa"/>
            <w:tcBorders/>
            <w:vAlign w:val="center"/>
          </w:tcPr>
          <w:p>
            <w:pPr>
              <w:pStyle w:val="TableContents"/>
              <w:bidi w:val="0"/>
              <w:spacing w:before="0" w:after="283"/>
              <w:jc w:val="center"/>
              <w:rPr/>
            </w:pPr>
            <w:r>
              <w:rPr/>
              <w:t>10.1</w:t>
            </w:r>
          </w:p>
        </w:tc>
        <w:tc>
          <w:tcPr>
            <w:tcW w:w="848" w:type="dxa"/>
            <w:tcBorders/>
            <w:vAlign w:val="center"/>
          </w:tcPr>
          <w:p>
            <w:pPr>
              <w:pStyle w:val="TableContents"/>
              <w:bidi w:val="0"/>
              <w:spacing w:before="0" w:after="283"/>
              <w:jc w:val="center"/>
              <w:rPr/>
            </w:pPr>
            <w:r>
              <w:rPr/>
              <w:t>10/7/2021</w:t>
            </w:r>
          </w:p>
        </w:tc>
        <w:tc>
          <w:tcPr>
            <w:tcW w:w="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6868"/>
        <w:gridCol w:w="479"/>
        <w:gridCol w:w="970"/>
        <w:gridCol w:w="560"/>
        <w:gridCol w:w="886"/>
        <w:gridCol w:w="62"/>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6868"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Employment Agreement by and between the Registrant and Denise Faltischek, dated August 28, 2021</w:t>
              </w:r>
            </w:hyperlink>
          </w:p>
        </w:tc>
        <w:tc>
          <w:tcPr>
            <w:tcW w:w="4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9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10/7/2021</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868"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Employment Agreement by and between the Registrant and Carl Merton, dated August 28, 2021</w:t>
              </w:r>
            </w:hyperlink>
          </w:p>
        </w:tc>
        <w:tc>
          <w:tcPr>
            <w:tcW w:w="4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9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001-38594</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10/7/2021</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6868"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Employment Agreement by and between the Registrant and Mitchell Gendel, dated July 26, 2021</w:t>
              </w:r>
            </w:hyperlink>
          </w:p>
        </w:tc>
        <w:tc>
          <w:tcPr>
            <w:tcW w:w="479" w:type="dxa"/>
            <w:tcBorders/>
            <w:vAlign w:val="center"/>
          </w:tcPr>
          <w:p>
            <w:pPr>
              <w:pStyle w:val="TableContents"/>
              <w:bidi w:val="0"/>
              <w:spacing w:before="0" w:after="283"/>
              <w:jc w:val="center"/>
              <w:rPr/>
            </w:pPr>
            <w:r>
              <w:rPr/>
              <w:t>10-K</w:t>
            </w:r>
          </w:p>
        </w:tc>
        <w:tc>
          <w:tcPr>
            <w:tcW w:w="970" w:type="dxa"/>
            <w:tcBorders/>
            <w:vAlign w:val="center"/>
          </w:tcPr>
          <w:p>
            <w:pPr>
              <w:pStyle w:val="TableContents"/>
              <w:bidi w:val="0"/>
              <w:spacing w:before="0" w:after="283"/>
              <w:jc w:val="center"/>
              <w:rPr/>
            </w:pPr>
            <w:r>
              <w:rPr/>
              <w:t>001-38594</w:t>
            </w:r>
          </w:p>
        </w:tc>
        <w:tc>
          <w:tcPr>
            <w:tcW w:w="560" w:type="dxa"/>
            <w:tcBorders/>
            <w:vAlign w:val="center"/>
          </w:tcPr>
          <w:p>
            <w:pPr>
              <w:pStyle w:val="TableContents"/>
              <w:bidi w:val="0"/>
              <w:spacing w:before="0" w:after="283"/>
              <w:jc w:val="center"/>
              <w:rPr/>
            </w:pPr>
            <w:r>
              <w:rPr/>
              <w:t>10.14</w:t>
            </w:r>
          </w:p>
        </w:tc>
        <w:tc>
          <w:tcPr>
            <w:tcW w:w="886" w:type="dxa"/>
            <w:tcBorders/>
            <w:vAlign w:val="center"/>
          </w:tcPr>
          <w:p>
            <w:pPr>
              <w:pStyle w:val="TableContents"/>
              <w:bidi w:val="0"/>
              <w:spacing w:before="0" w:after="283"/>
              <w:jc w:val="center"/>
              <w:rPr/>
            </w:pPr>
            <w:r>
              <w:rPr/>
              <w:t>7/28/2022</w:t>
            </w:r>
          </w:p>
        </w:tc>
        <w:tc>
          <w:tcPr>
            <w:tcW w:w="62"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868"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4"/>
        <w:gridCol w:w="5803"/>
        <w:gridCol w:w="770"/>
        <w:gridCol w:w="772"/>
        <w:gridCol w:w="650"/>
        <w:gridCol w:w="624"/>
        <w:gridCol w:w="882"/>
      </w:tblGrid>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3698"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0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80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77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24"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88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704" w:type="dxa"/>
            <w:tcBorders/>
            <w:vAlign w:val="center"/>
          </w:tcPr>
          <w:p>
            <w:pPr>
              <w:pStyle w:val="TableContents"/>
              <w:bidi w:val="0"/>
              <w:spacing w:before="0" w:after="283"/>
              <w:jc w:val="left"/>
              <w:rPr/>
            </w:pPr>
            <w:r>
              <w:rPr/>
              <w:t>10.9</w:t>
            </w:r>
          </w:p>
        </w:tc>
        <w:tc>
          <w:tcPr>
            <w:tcW w:w="5803" w:type="dxa"/>
            <w:tcBorders/>
          </w:tcPr>
          <w:p>
            <w:pPr>
              <w:pStyle w:val="TableContents"/>
              <w:bidi w:val="0"/>
              <w:spacing w:before="0" w:after="0"/>
              <w:ind w:left="0" w:right="0" w:hanging="0"/>
              <w:jc w:val="left"/>
              <w:rPr/>
            </w:pPr>
            <w:hyperlink r:id="rId20">
              <w:r>
                <w:rPr>
                  <w:rStyle w:val="InternetLink"/>
                  <w:rFonts w:ascii="Times New Roman" w:hAnsi="Times New Roman"/>
                  <w:sz w:val="20"/>
                </w:rPr>
                <w:t>Indenture dated as of May 27, 2021, by and between HEXO Corp. as issuer, and GLAS Trust Company LLC, as trustee</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10.7</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7/12/2022</w:t>
            </w:r>
          </w:p>
        </w:tc>
        <w:tc>
          <w:tcPr>
            <w:tcW w:w="882" w:type="dxa"/>
            <w:tcBorders/>
          </w:tcPr>
          <w:p>
            <w:pPr>
              <w:pStyle w:val="TableContents"/>
              <w:bidi w:val="0"/>
              <w:spacing w:before="0" w:after="0"/>
              <w:ind w:left="0" w:right="0" w:hanging="0"/>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10.10</w:t>
            </w:r>
          </w:p>
        </w:tc>
        <w:tc>
          <w:tcPr>
            <w:tcW w:w="5803" w:type="dxa"/>
            <w:tcBorders/>
          </w:tcPr>
          <w:p>
            <w:pPr>
              <w:pStyle w:val="TableContents"/>
              <w:bidi w:val="0"/>
              <w:spacing w:before="0" w:after="0"/>
              <w:ind w:left="0" w:right="0" w:hanging="0"/>
              <w:jc w:val="left"/>
              <w:rPr/>
            </w:pPr>
            <w:hyperlink r:id="rId21">
              <w:r>
                <w:rPr>
                  <w:rStyle w:val="InternetLink"/>
                  <w:rFonts w:ascii="Times New Roman" w:hAnsi="Times New Roman"/>
                  <w:sz w:val="20"/>
                </w:rPr>
                <w:t>Purchase Agreement, dated August 7, 2023, by and among Tilray, Anheuser-Busch Companies, LLC, Craft USA Holdings, LLC, Craft Brew Alliance, Inc. and Tilray Beverages, LLC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8/7/2023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10.11</w:t>
            </w:r>
          </w:p>
        </w:tc>
        <w:tc>
          <w:tcPr>
            <w:tcW w:w="5803" w:type="dxa"/>
            <w:tcBorders/>
          </w:tcPr>
          <w:p>
            <w:pPr>
              <w:pStyle w:val="TableContents"/>
              <w:bidi w:val="0"/>
              <w:spacing w:before="0" w:after="0"/>
              <w:ind w:left="0" w:right="0" w:hanging="0"/>
              <w:jc w:val="left"/>
              <w:rPr/>
            </w:pPr>
            <w:hyperlink r:id="rId22">
              <w:r>
                <w:rPr>
                  <w:rStyle w:val="InternetLink"/>
                  <w:rFonts w:ascii="Times New Roman" w:hAnsi="Times New Roman"/>
                  <w:sz w:val="20"/>
                </w:rPr>
                <w:t>First Amendment to the Purchase Agreement, dated as of September 29, 2023, by and among Tilray, Anheuser-Busch Companies, LLC, Craft USA Holdings, LLC, Craft Brew Alliance, Inc. and Tilray Beverages, LLC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10.12</w:t>
            </w:r>
          </w:p>
        </w:tc>
        <w:tc>
          <w:tcPr>
            <w:tcW w:w="5803" w:type="dxa"/>
            <w:tcBorders/>
          </w:tcPr>
          <w:p>
            <w:pPr>
              <w:pStyle w:val="TableContents"/>
              <w:bidi w:val="0"/>
              <w:spacing w:before="0" w:after="0"/>
              <w:ind w:left="0" w:right="0" w:hanging="0"/>
              <w:jc w:val="left"/>
              <w:rPr/>
            </w:pPr>
            <w:hyperlink r:id="rId23">
              <w:r>
                <w:rPr>
                  <w:rStyle w:val="InternetLink"/>
                  <w:rFonts w:ascii="Times New Roman" w:hAnsi="Times New Roman"/>
                  <w:sz w:val="20"/>
                </w:rPr>
                <w:t>Form of 2023 EBITDA PSU Equity Incentive Award.</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10.13</w:t>
            </w:r>
          </w:p>
        </w:tc>
        <w:tc>
          <w:tcPr>
            <w:tcW w:w="5803" w:type="dxa"/>
            <w:tcBorders/>
          </w:tcPr>
          <w:p>
            <w:pPr>
              <w:pStyle w:val="TableContents"/>
              <w:bidi w:val="0"/>
              <w:spacing w:before="0" w:after="0"/>
              <w:ind w:left="0" w:right="0" w:hanging="0"/>
              <w:jc w:val="left"/>
              <w:rPr/>
            </w:pPr>
            <w:hyperlink r:id="rId24">
              <w:r>
                <w:rPr>
                  <w:rStyle w:val="InternetLink"/>
                  <w:rFonts w:ascii="Times New Roman" w:hAnsi="Times New Roman"/>
                  <w:sz w:val="20"/>
                </w:rPr>
                <w:t>Fourth Amended and Restated Wholesale Cannabis Supply Agreement, dated as of January 5, 2024, by and between 1974568 Ontario Limited and Aphria Inc. (incorporated by reference to Exhibit 10.1 to the Company’s Quarterly Report on Form 10-Q filed with the SEC on January 9, 2024).</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10.14</w:t>
            </w:r>
          </w:p>
        </w:tc>
        <w:tc>
          <w:tcPr>
            <w:tcW w:w="5803" w:type="dxa"/>
            <w:tcBorders/>
          </w:tcPr>
          <w:p>
            <w:pPr>
              <w:pStyle w:val="TableContents"/>
              <w:bidi w:val="0"/>
              <w:spacing w:before="0" w:after="0"/>
              <w:ind w:left="0" w:right="0" w:hanging="0"/>
              <w:jc w:val="left"/>
              <w:rPr/>
            </w:pPr>
            <w:hyperlink r:id="rId25">
              <w:r>
                <w:rPr>
                  <w:rStyle w:val="InternetLink"/>
                  <w:rFonts w:ascii="Times New Roman" w:hAnsi="Times New Roman"/>
                  <w:sz w:val="20"/>
                </w:rPr>
                <w:t>Form of 2024 EBITDA Performance Award.</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tcPr>
          <w:p>
            <w:pPr>
              <w:pStyle w:val="TableContents"/>
              <w:bidi w:val="0"/>
              <w:spacing w:before="0" w:after="0"/>
              <w:ind w:left="0" w:right="0" w:hanging="0"/>
              <w:jc w:val="left"/>
              <w:rPr/>
            </w:pPr>
            <w:r>
              <w:rPr/>
              <w:t> </w:t>
            </w:r>
          </w:p>
        </w:tc>
        <w:tc>
          <w:tcPr>
            <w:tcW w:w="770" w:type="dxa"/>
            <w:tcBorders/>
          </w:tcPr>
          <w:p>
            <w:pPr>
              <w:pStyle w:val="TableContents"/>
              <w:bidi w:val="0"/>
              <w:spacing w:before="0" w:after="0"/>
              <w:ind w:left="0" w:right="0" w:hanging="0"/>
              <w:jc w:val="left"/>
              <w:rPr/>
            </w:pPr>
            <w:r>
              <w:rPr/>
              <w:t> </w:t>
            </w:r>
          </w:p>
        </w:tc>
        <w:tc>
          <w:tcPr>
            <w:tcW w:w="772"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624" w:type="dxa"/>
            <w:tcBorders/>
          </w:tcPr>
          <w:p>
            <w:pPr>
              <w:pStyle w:val="TableContents"/>
              <w:bidi w:val="0"/>
              <w:spacing w:before="0" w:after="0"/>
              <w:ind w:left="0" w:right="0" w:hanging="0"/>
              <w:jc w:val="left"/>
              <w:rPr/>
            </w:pPr>
            <w:r>
              <w:rPr/>
              <w:t> </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10.15</w:t>
            </w:r>
          </w:p>
        </w:tc>
        <w:tc>
          <w:tcPr>
            <w:tcW w:w="5803" w:type="dxa"/>
            <w:tcBorders/>
          </w:tcPr>
          <w:p>
            <w:pPr>
              <w:pStyle w:val="TableContents"/>
              <w:bidi w:val="0"/>
              <w:spacing w:before="0" w:after="0"/>
              <w:ind w:left="0" w:right="0" w:hanging="0"/>
              <w:jc w:val="left"/>
              <w:rPr/>
            </w:pPr>
            <w:hyperlink r:id="rId26">
              <w:r>
                <w:rPr>
                  <w:rStyle w:val="InternetLink"/>
                  <w:rFonts w:ascii="Times New Roman" w:hAnsi="Times New Roman"/>
                  <w:sz w:val="20"/>
                </w:rPr>
                <w:t>Amended Credit Agreement, effective June 30, 2023, by and among Four Twenty Corporation, certain subsidiaries and affiliates of Four Twenty Corporation, Bank of America, N.A., City National Bank, the lenders party thereto and BofA Securities, Inc.</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8/31/2023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10.16</w:t>
            </w:r>
          </w:p>
        </w:tc>
        <w:tc>
          <w:tcPr>
            <w:tcW w:w="5803" w:type="dxa"/>
            <w:tcBorders/>
          </w:tcPr>
          <w:p>
            <w:pPr>
              <w:pStyle w:val="TableContents"/>
              <w:bidi w:val="0"/>
              <w:spacing w:before="0" w:after="0"/>
              <w:ind w:left="0" w:right="0" w:hanging="0"/>
              <w:jc w:val="left"/>
              <w:rPr/>
            </w:pPr>
            <w:hyperlink r:id="rId27">
              <w:r>
                <w:rPr>
                  <w:rStyle w:val="InternetLink"/>
                  <w:rFonts w:ascii="Times New Roman" w:hAnsi="Times New Roman"/>
                  <w:sz w:val="20"/>
                </w:rPr>
                <w:t>Second Amendment and Consent to Credit Agreement, dated as of September 29, 2023 by and among Four Twenty Corporation, Bank of America, N.A. and the Guarantors and Lenders party thereto.</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10/2/2023</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10.17</w:t>
            </w:r>
          </w:p>
        </w:tc>
        <w:tc>
          <w:tcPr>
            <w:tcW w:w="5803" w:type="dxa"/>
            <w:tcBorders/>
          </w:tcPr>
          <w:p>
            <w:pPr>
              <w:pStyle w:val="TableContents"/>
              <w:bidi w:val="0"/>
              <w:spacing w:before="0" w:after="0"/>
              <w:ind w:left="0" w:right="0" w:hanging="0"/>
              <w:jc w:val="left"/>
              <w:rPr/>
            </w:pPr>
            <w:hyperlink r:id="rId28">
              <w:r>
                <w:rPr>
                  <w:rStyle w:val="InternetLink"/>
                  <w:rFonts w:ascii="Times New Roman" w:hAnsi="Times New Roman"/>
                  <w:sz w:val="20"/>
                </w:rPr>
                <w:t>Waiver to Credit Agreement, dated as of January 5, 2024, by and among Four Twenty Corporation, Bank of America, N.A., and the Guarantors and Lenders party thereto.</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10.18</w:t>
            </w:r>
          </w:p>
        </w:tc>
        <w:tc>
          <w:tcPr>
            <w:tcW w:w="5803" w:type="dxa"/>
            <w:tcBorders/>
          </w:tcPr>
          <w:p>
            <w:pPr>
              <w:pStyle w:val="TableContents"/>
              <w:bidi w:val="0"/>
              <w:spacing w:before="0" w:after="0"/>
              <w:ind w:left="0" w:right="0" w:hanging="0"/>
              <w:jc w:val="left"/>
              <w:rPr/>
            </w:pPr>
            <w:hyperlink r:id="rId29">
              <w:r>
                <w:rPr>
                  <w:rStyle w:val="InternetLink"/>
                  <w:rFonts w:ascii="Times New Roman" w:hAnsi="Times New Roman"/>
                  <w:sz w:val="20"/>
                </w:rPr>
                <w:t>Third Amendment and Consent to Credit Agreement, dated as of March 29, 2024, by and among American Beverage Crafts Group, Inc. (formerly known as Four Twenty Corporation), Bank of America, N.A. and the Guarantors and Lenders party thereto.</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4/9/2024</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10.19</w:t>
            </w:r>
          </w:p>
        </w:tc>
        <w:tc>
          <w:tcPr>
            <w:tcW w:w="5803" w:type="dxa"/>
            <w:tcBorders/>
            <w:vAlign w:val="center"/>
          </w:tcPr>
          <w:p>
            <w:pPr>
              <w:pStyle w:val="TableContents"/>
              <w:bidi w:val="0"/>
              <w:spacing w:before="0" w:after="283"/>
              <w:jc w:val="left"/>
              <w:rPr/>
            </w:pPr>
            <w:hyperlink r:id="rId30">
              <w:r>
                <w:rPr>
                  <w:rStyle w:val="InternetLink"/>
                </w:rPr>
                <w:t>Promissory note in the amount of $23,791,65710.24 payable by Aphria Diamond Inc.</w:t>
              </w:r>
            </w:hyperlink>
          </w:p>
        </w:tc>
        <w:tc>
          <w:tcPr>
            <w:tcW w:w="770" w:type="dxa"/>
            <w:tcBorders/>
            <w:vAlign w:val="center"/>
          </w:tcPr>
          <w:p>
            <w:pPr>
              <w:pStyle w:val="TableContents"/>
              <w:bidi w:val="0"/>
              <w:spacing w:before="0" w:after="283"/>
              <w:jc w:val="center"/>
              <w:rPr/>
            </w:pPr>
            <w:r>
              <w:rPr/>
              <w:t>10-Q</w:t>
            </w:r>
          </w:p>
        </w:tc>
        <w:tc>
          <w:tcPr>
            <w:tcW w:w="772"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10.2</w:t>
            </w:r>
          </w:p>
        </w:tc>
        <w:tc>
          <w:tcPr>
            <w:tcW w:w="624" w:type="dxa"/>
            <w:tcBorders/>
            <w:vAlign w:val="center"/>
          </w:tcPr>
          <w:p>
            <w:pPr>
              <w:pStyle w:val="TableContents"/>
              <w:bidi w:val="0"/>
              <w:spacing w:before="0" w:after="283"/>
              <w:jc w:val="center"/>
              <w:rPr/>
            </w:pPr>
            <w:r>
              <w:rPr/>
              <w:t>10/10/2024</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10.20</w:t>
            </w:r>
          </w:p>
        </w:tc>
        <w:tc>
          <w:tcPr>
            <w:tcW w:w="5803" w:type="dxa"/>
            <w:tcBorders/>
          </w:tcPr>
          <w:p>
            <w:pPr>
              <w:pStyle w:val="TableContents"/>
              <w:bidi w:val="0"/>
              <w:spacing w:before="0" w:after="0"/>
              <w:ind w:left="0" w:right="0" w:hanging="0"/>
              <w:jc w:val="left"/>
              <w:rPr/>
            </w:pPr>
            <w:hyperlink r:id="rId31">
              <w:r>
                <w:rPr>
                  <w:rStyle w:val="InternetLink"/>
                  <w:rFonts w:ascii="Times New Roman" w:hAnsi="Times New Roman"/>
                  <w:sz w:val="20"/>
                </w:rPr>
                <w:t>Fourth Amendment and Consent to Credit Agreement, dated as of October 30, 2024.</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11/1/2024</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10.21</w:t>
            </w:r>
          </w:p>
        </w:tc>
        <w:tc>
          <w:tcPr>
            <w:tcW w:w="5803" w:type="dxa"/>
            <w:tcBorders/>
          </w:tcPr>
          <w:p>
            <w:pPr>
              <w:pStyle w:val="TableContents"/>
              <w:bidi w:val="0"/>
              <w:spacing w:before="0" w:after="0"/>
              <w:ind w:left="0" w:right="0" w:hanging="0"/>
              <w:jc w:val="left"/>
              <w:rPr/>
            </w:pPr>
            <w:hyperlink r:id="rId32">
              <w:r>
                <w:rPr>
                  <w:rStyle w:val="InternetLink"/>
                  <w:rFonts w:ascii="Times New Roman" w:hAnsi="Times New Roman"/>
                  <w:sz w:val="20"/>
                </w:rPr>
                <w:t>Credit Agreement, dated February 21, 2025, by and among Aphria Diamond Inc., Canadian Imperial Bank of Commerce and the other parties thereto (incorporated by reference to Exhibit 10.1 to the Current Report on Form 8-K filed with the U.S. Securities and Exchange Commission on February 26, 2025).</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2/26/2025</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10.22</w:t>
            </w:r>
          </w:p>
        </w:tc>
        <w:tc>
          <w:tcPr>
            <w:tcW w:w="5803" w:type="dxa"/>
            <w:tcBorders/>
          </w:tcPr>
          <w:p>
            <w:pPr>
              <w:pStyle w:val="TableContents"/>
              <w:bidi w:val="0"/>
              <w:spacing w:before="0" w:after="0"/>
              <w:ind w:left="0" w:right="0" w:hanging="0"/>
              <w:jc w:val="left"/>
              <w:rPr/>
            </w:pPr>
            <w:hyperlink r:id="rId33">
              <w:r>
                <w:rPr>
                  <w:rStyle w:val="InternetLink"/>
                  <w:rFonts w:ascii="Times New Roman" w:hAnsi="Times New Roman"/>
                  <w:sz w:val="20"/>
                </w:rPr>
                <w:t>Fifth Amendment to Credit Agreement, dated as of July 25, 2025.</w:t>
              </w:r>
            </w:hyperlink>
          </w:p>
        </w:tc>
        <w:tc>
          <w:tcPr>
            <w:tcW w:w="77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772"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001-38594</w:t>
            </w:r>
          </w:p>
        </w:tc>
        <w:tc>
          <w:tcPr>
            <w:tcW w:w="65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10.20</w:t>
            </w:r>
          </w:p>
        </w:tc>
        <w:tc>
          <w:tcPr>
            <w:tcW w:w="624"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10/9/2025</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10.23</w:t>
            </w:r>
          </w:p>
        </w:tc>
        <w:tc>
          <w:tcPr>
            <w:tcW w:w="5803" w:type="dxa"/>
            <w:tcBorders/>
          </w:tcPr>
          <w:p>
            <w:pPr>
              <w:pStyle w:val="TableContents"/>
              <w:bidi w:val="0"/>
              <w:spacing w:before="0" w:after="0"/>
              <w:ind w:left="0" w:right="0" w:hanging="0"/>
              <w:jc w:val="left"/>
              <w:rPr/>
            </w:pPr>
            <w:hyperlink r:id="rId34">
              <w:r>
                <w:rPr>
                  <w:rStyle w:val="InternetLink"/>
                  <w:rFonts w:ascii="Times New Roman" w:hAnsi="Times New Roman"/>
                  <w:sz w:val="20"/>
                </w:rPr>
                <w:t>Amendment No. 1 to Employment Agreement, dated as of October 7, 2025, by and between the Company and Irwin D. Simon.</w:t>
              </w:r>
            </w:hyperlink>
          </w:p>
        </w:tc>
        <w:tc>
          <w:tcPr>
            <w:tcW w:w="770" w:type="dxa"/>
            <w:tcBorders/>
          </w:tcPr>
          <w:p>
            <w:pPr>
              <w:pStyle w:val="TableContents"/>
              <w:bidi w:val="0"/>
              <w:spacing w:before="0" w:after="283"/>
              <w:jc w:val="center"/>
              <w:rPr/>
            </w:pPr>
            <w:r>
              <w:rPr/>
              <w:t>10-Q</w:t>
            </w:r>
          </w:p>
        </w:tc>
        <w:tc>
          <w:tcPr>
            <w:tcW w:w="772" w:type="dxa"/>
            <w:tcBorders/>
          </w:tcPr>
          <w:p>
            <w:pPr>
              <w:pStyle w:val="TableContents"/>
              <w:bidi w:val="0"/>
              <w:spacing w:before="0" w:after="283"/>
              <w:jc w:val="center"/>
              <w:rPr/>
            </w:pPr>
            <w:r>
              <w:rPr/>
              <w:t>001-38594</w:t>
            </w:r>
          </w:p>
        </w:tc>
        <w:tc>
          <w:tcPr>
            <w:tcW w:w="650" w:type="dxa"/>
            <w:tcBorders/>
          </w:tcPr>
          <w:p>
            <w:pPr>
              <w:pStyle w:val="TableContents"/>
              <w:bidi w:val="0"/>
              <w:spacing w:before="0" w:after="283"/>
              <w:jc w:val="center"/>
              <w:rPr/>
            </w:pPr>
            <w:r>
              <w:rPr/>
              <w:t>10.2</w:t>
            </w:r>
          </w:p>
        </w:tc>
        <w:tc>
          <w:tcPr>
            <w:tcW w:w="624" w:type="dxa"/>
            <w:tcBorders/>
          </w:tcPr>
          <w:p>
            <w:pPr>
              <w:pStyle w:val="TableContents"/>
              <w:bidi w:val="0"/>
              <w:spacing w:before="0" w:after="283"/>
              <w:jc w:val="center"/>
              <w:rPr/>
            </w:pPr>
            <w:r>
              <w:rPr/>
              <w:t>10/9/2025</w:t>
            </w:r>
          </w:p>
        </w:tc>
        <w:tc>
          <w:tcPr>
            <w:tcW w:w="882" w:type="dxa"/>
            <w:tcBorders/>
          </w:tcPr>
          <w:p>
            <w:pPr>
              <w:pStyle w:val="TableContents"/>
              <w:bidi w:val="0"/>
              <w:spacing w:before="0" w:after="0"/>
              <w:ind w:left="0" w:right="0" w:hanging="0"/>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10.24</w:t>
            </w:r>
          </w:p>
        </w:tc>
        <w:tc>
          <w:tcPr>
            <w:tcW w:w="5803" w:type="dxa"/>
            <w:tcBorders/>
            <w:vAlign w:val="center"/>
          </w:tcPr>
          <w:p>
            <w:pPr>
              <w:pStyle w:val="TableContents"/>
              <w:bidi w:val="0"/>
              <w:spacing w:before="0" w:after="283"/>
              <w:jc w:val="left"/>
              <w:rPr/>
            </w:pPr>
            <w:hyperlink r:id="rId35">
              <w:r>
                <w:rPr>
                  <w:rStyle w:val="InternetLink"/>
                </w:rPr>
                <w:t>Promissory note in the amount of $14,821,356, made by Aphria Diamond Inc. in favor of Double Diamond Holdings Ltd.</w:t>
              </w:r>
            </w:hyperlink>
          </w:p>
        </w:tc>
        <w:tc>
          <w:tcPr>
            <w:tcW w:w="770" w:type="dxa"/>
            <w:tcBorders/>
            <w:vAlign w:val="center"/>
          </w:tcPr>
          <w:p>
            <w:pPr>
              <w:pStyle w:val="TableContents"/>
              <w:bidi w:val="0"/>
              <w:spacing w:before="0" w:after="283"/>
              <w:jc w:val="center"/>
              <w:rPr/>
            </w:pPr>
            <w:r>
              <w:rPr/>
              <w:t>10-Q</w:t>
            </w:r>
          </w:p>
        </w:tc>
        <w:tc>
          <w:tcPr>
            <w:tcW w:w="772"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10.3</w:t>
            </w:r>
          </w:p>
        </w:tc>
        <w:tc>
          <w:tcPr>
            <w:tcW w:w="624" w:type="dxa"/>
            <w:tcBorders/>
            <w:vAlign w:val="center"/>
          </w:tcPr>
          <w:p>
            <w:pPr>
              <w:pStyle w:val="TableContents"/>
              <w:bidi w:val="0"/>
              <w:spacing w:before="0" w:after="283"/>
              <w:jc w:val="center"/>
              <w:rPr/>
            </w:pPr>
            <w:r>
              <w:rPr/>
              <w:t>10/09/2025</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10.25</w:t>
            </w:r>
          </w:p>
        </w:tc>
        <w:tc>
          <w:tcPr>
            <w:tcW w:w="5803" w:type="dxa"/>
            <w:tcBorders/>
            <w:vAlign w:val="center"/>
          </w:tcPr>
          <w:p>
            <w:pPr>
              <w:pStyle w:val="TableContents"/>
              <w:bidi w:val="0"/>
              <w:spacing w:before="0" w:after="283"/>
              <w:jc w:val="left"/>
              <w:rPr/>
            </w:pPr>
            <w:hyperlink r:id="rId36">
              <w:r>
                <w:rPr>
                  <w:rStyle w:val="InternetLink"/>
                </w:rPr>
                <w:t>Business and Asset Sale Agreement, dated March 2, 2026, by and among Tilray Brands, Inc., BrewDog plc, BrewDog Retail Limited, Draft House Holding, BrewDog International Limited, and Tilray Brands UK Ltd.</w:t>
              </w:r>
            </w:hyperlink>
          </w:p>
        </w:tc>
        <w:tc>
          <w:tcPr>
            <w:tcW w:w="770" w:type="dxa"/>
            <w:tcBorders/>
            <w:vAlign w:val="center"/>
          </w:tcPr>
          <w:p>
            <w:pPr>
              <w:pStyle w:val="TableContents"/>
              <w:bidi w:val="0"/>
              <w:spacing w:before="0" w:after="283"/>
              <w:jc w:val="center"/>
              <w:rPr/>
            </w:pPr>
            <w:r>
              <w:rPr/>
              <w:t>10-Q</w:t>
            </w:r>
          </w:p>
        </w:tc>
        <w:tc>
          <w:tcPr>
            <w:tcW w:w="772"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10.1</w:t>
            </w:r>
          </w:p>
        </w:tc>
        <w:tc>
          <w:tcPr>
            <w:tcW w:w="624" w:type="dxa"/>
            <w:tcBorders/>
            <w:vAlign w:val="center"/>
          </w:tcPr>
          <w:p>
            <w:pPr>
              <w:pStyle w:val="TableContents"/>
              <w:bidi w:val="0"/>
              <w:spacing w:before="0" w:after="283"/>
              <w:jc w:val="center"/>
              <w:rPr/>
            </w:pPr>
            <w:r>
              <w:rPr/>
              <w:t>4/1/2026</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10.26</w:t>
            </w:r>
          </w:p>
        </w:tc>
        <w:tc>
          <w:tcPr>
            <w:tcW w:w="5803" w:type="dxa"/>
            <w:tcBorders/>
            <w:vAlign w:val="center"/>
          </w:tcPr>
          <w:p>
            <w:pPr>
              <w:pStyle w:val="TableContents"/>
              <w:bidi w:val="0"/>
              <w:spacing w:before="0" w:after="283"/>
              <w:jc w:val="left"/>
              <w:rPr/>
            </w:pPr>
            <w:hyperlink r:id="rId37">
              <w:r>
                <w:rPr>
                  <w:rStyle w:val="InternetLink"/>
                </w:rPr>
                <w:t>Sales Agreement, dated as of April 15, 2026 by and among Tilray Brands, Inc. and Jefferies LLC, TD Securities (USA) LLC and Roth Capital Partners, LLC</w:t>
              </w:r>
            </w:hyperlink>
          </w:p>
        </w:tc>
        <w:tc>
          <w:tcPr>
            <w:tcW w:w="770" w:type="dxa"/>
            <w:tcBorders/>
            <w:vAlign w:val="center"/>
          </w:tcPr>
          <w:p>
            <w:pPr>
              <w:pStyle w:val="TableContents"/>
              <w:bidi w:val="0"/>
              <w:spacing w:before="0" w:after="283"/>
              <w:jc w:val="center"/>
              <w:rPr/>
            </w:pPr>
            <w:r>
              <w:rPr/>
              <w:t>8-K</w:t>
            </w:r>
          </w:p>
        </w:tc>
        <w:tc>
          <w:tcPr>
            <w:tcW w:w="772"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1.1</w:t>
            </w:r>
          </w:p>
        </w:tc>
        <w:tc>
          <w:tcPr>
            <w:tcW w:w="624" w:type="dxa"/>
            <w:tcBorders/>
            <w:vAlign w:val="center"/>
          </w:tcPr>
          <w:p>
            <w:pPr>
              <w:pStyle w:val="TableContents"/>
              <w:bidi w:val="0"/>
              <w:spacing w:before="0" w:after="283"/>
              <w:jc w:val="center"/>
              <w:rPr/>
            </w:pPr>
            <w:r>
              <w:rPr/>
              <w:t>4/15/2026</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10.27</w:t>
            </w:r>
          </w:p>
        </w:tc>
        <w:tc>
          <w:tcPr>
            <w:tcW w:w="5803" w:type="dxa"/>
            <w:tcBorders/>
            <w:vAlign w:val="center"/>
          </w:tcPr>
          <w:p>
            <w:pPr>
              <w:pStyle w:val="TableContents"/>
              <w:bidi w:val="0"/>
              <w:spacing w:before="0" w:after="283"/>
              <w:jc w:val="left"/>
              <w:rPr/>
            </w:pPr>
            <w:hyperlink r:id="rId38">
              <w:r>
                <w:rPr>
                  <w:rStyle w:val="InternetLink"/>
                </w:rPr>
                <w:t>Amended and Restated 2025 Form of Executive Retention Agreement.</w:t>
              </w:r>
            </w:hyperlink>
          </w:p>
        </w:tc>
        <w:tc>
          <w:tcPr>
            <w:tcW w:w="770" w:type="dxa"/>
            <w:tcBorders/>
            <w:vAlign w:val="center"/>
          </w:tcPr>
          <w:p>
            <w:pPr>
              <w:pStyle w:val="TableContents"/>
              <w:bidi w:val="0"/>
              <w:spacing w:before="0" w:after="283"/>
              <w:jc w:val="center"/>
              <w:rPr/>
            </w:pPr>
            <w:r>
              <w:rPr/>
              <w:t>10-K</w:t>
            </w:r>
          </w:p>
        </w:tc>
        <w:tc>
          <w:tcPr>
            <w:tcW w:w="772" w:type="dxa"/>
            <w:tcBorders/>
            <w:vAlign w:val="center"/>
          </w:tcPr>
          <w:p>
            <w:pPr>
              <w:pStyle w:val="TableContents"/>
              <w:bidi w:val="0"/>
              <w:spacing w:before="0" w:after="283"/>
              <w:jc w:val="center"/>
              <w:rPr/>
            </w:pPr>
            <w:r>
              <w:rPr/>
              <w:t>001-38594</w:t>
            </w:r>
          </w:p>
        </w:tc>
        <w:tc>
          <w:tcPr>
            <w:tcW w:w="650" w:type="dxa"/>
            <w:tcBorders/>
            <w:vAlign w:val="center"/>
          </w:tcPr>
          <w:p>
            <w:pPr>
              <w:pStyle w:val="TableContents"/>
              <w:bidi w:val="0"/>
              <w:spacing w:before="0" w:after="283"/>
              <w:jc w:val="center"/>
              <w:rPr/>
            </w:pPr>
            <w:r>
              <w:rPr/>
              <w:t>10.23</w:t>
            </w:r>
          </w:p>
        </w:tc>
        <w:tc>
          <w:tcPr>
            <w:tcW w:w="624" w:type="dxa"/>
            <w:tcBorders/>
            <w:vAlign w:val="center"/>
          </w:tcPr>
          <w:p>
            <w:pPr>
              <w:pStyle w:val="TableContents"/>
              <w:bidi w:val="0"/>
              <w:spacing w:before="0" w:after="283"/>
              <w:jc w:val="center"/>
              <w:rPr/>
            </w:pPr>
            <w:r>
              <w:rPr/>
              <w:t>7/29/2025</w:t>
            </w:r>
          </w:p>
        </w:tc>
        <w:tc>
          <w:tcPr>
            <w:tcW w:w="882" w:type="dxa"/>
            <w:tcBorders/>
            <w:vAlign w:val="center"/>
          </w:tcPr>
          <w:p>
            <w:pPr>
              <w:pStyle w:val="TableContents"/>
              <w:bidi w:val="0"/>
              <w:spacing w:before="0" w:after="283"/>
              <w:jc w:val="center"/>
              <w:rPr/>
            </w:pPr>
            <w:r>
              <w:rPr/>
              <w:t> </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10.28</w:t>
            </w:r>
          </w:p>
        </w:tc>
        <w:tc>
          <w:tcPr>
            <w:tcW w:w="5803" w:type="dxa"/>
            <w:tcBorders/>
            <w:vAlign w:val="center"/>
          </w:tcPr>
          <w:p>
            <w:pPr>
              <w:pStyle w:val="TableContents"/>
              <w:bidi w:val="0"/>
              <w:spacing w:before="0" w:after="283"/>
              <w:jc w:val="left"/>
              <w:rPr/>
            </w:pPr>
            <w:hyperlink w:anchor="ex_993237.htm">
              <w:r>
                <w:rPr>
                  <w:rStyle w:val="InternetLink"/>
                </w:rPr>
                <w:t>2027 Form of Executive Retention Agreement.</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center"/>
              <w:rPr/>
            </w:pPr>
            <w:r>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10.29</w:t>
            </w:r>
          </w:p>
        </w:tc>
        <w:tc>
          <w:tcPr>
            <w:tcW w:w="5803" w:type="dxa"/>
            <w:tcBorders/>
            <w:vAlign w:val="center"/>
          </w:tcPr>
          <w:p>
            <w:pPr>
              <w:pStyle w:val="TableContents"/>
              <w:bidi w:val="0"/>
              <w:spacing w:before="0" w:after="283"/>
              <w:jc w:val="left"/>
              <w:rPr/>
            </w:pPr>
            <w:hyperlink w:anchor="ex_993238.htm">
              <w:r>
                <w:rPr>
                  <w:rStyle w:val="InternetLink"/>
                </w:rPr>
                <w:t>Sixth Amendment to Credit Agreement, dated as of July 24, 2026. </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center"/>
              <w:rPr/>
            </w:pPr>
            <w:r>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19</w:t>
            </w:r>
          </w:p>
        </w:tc>
        <w:tc>
          <w:tcPr>
            <w:tcW w:w="5803" w:type="dxa"/>
            <w:tcBorders/>
            <w:vAlign w:val="center"/>
          </w:tcPr>
          <w:p>
            <w:pPr>
              <w:pStyle w:val="TableContents"/>
              <w:bidi w:val="0"/>
              <w:spacing w:before="0" w:after="283"/>
              <w:jc w:val="left"/>
              <w:rPr/>
            </w:pPr>
            <w:hyperlink w:anchor="ex_946878.htm">
              <w:r>
                <w:rPr>
                  <w:rStyle w:val="InternetLink"/>
                </w:rPr>
                <w:t>Insider Trading and Trading Window Policy</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center"/>
              <w:rPr/>
            </w:pPr>
            <w:r>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c>
          <w:tcPr>
            <w:tcW w:w="5803" w:type="dxa"/>
            <w:tcBorders/>
            <w:vAlign w:val="center"/>
          </w:tcPr>
          <w:p>
            <w:pPr>
              <w:pStyle w:val="TableContents"/>
              <w:bidi w:val="0"/>
              <w:spacing w:before="0" w:after="0"/>
              <w:ind w:left="0" w:right="0" w:hanging="0"/>
              <w:jc w:val="left"/>
              <w:rPr/>
            </w:pPr>
            <w:hyperlink w:anchor="ex_946879.htm">
              <w:r>
                <w:rPr>
                  <w:rStyle w:val="InternetLink"/>
                  <w:rFonts w:ascii="Times New Roman" w:hAnsi="Times New Roman"/>
                  <w:caps w:val="false"/>
                  <w:smallCaps w:val="false"/>
                  <w:sz w:val="20"/>
                  <w:u w:val="single"/>
                </w:rPr>
                <w:t>Subsidiaries of Tilray Brands Inc.</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5803" w:type="dxa"/>
            <w:tcBorders/>
            <w:vAlign w:val="center"/>
          </w:tcPr>
          <w:p>
            <w:pPr>
              <w:pStyle w:val="TableContents"/>
              <w:bidi w:val="0"/>
              <w:spacing w:before="0" w:after="0"/>
              <w:ind w:left="0" w:right="0" w:hanging="0"/>
              <w:jc w:val="left"/>
              <w:rPr/>
            </w:pPr>
            <w:hyperlink w:anchor="ex_946880.htm">
              <w:r>
                <w:rPr>
                  <w:rStyle w:val="InternetLink"/>
                  <w:rFonts w:ascii="Times New Roman" w:hAnsi="Times New Roman"/>
                  <w:caps w:val="false"/>
                  <w:smallCaps w:val="false"/>
                  <w:sz w:val="20"/>
                  <w:u w:val="single"/>
                </w:rPr>
                <w:t>Consent of PricewaterhouseCoopers LLP, Independent Registered Public Accounting Firm</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5803" w:type="dxa"/>
            <w:tcBorders/>
            <w:vAlign w:val="center"/>
          </w:tcPr>
          <w:p>
            <w:pPr>
              <w:pStyle w:val="TableContents"/>
              <w:bidi w:val="0"/>
              <w:spacing w:before="0" w:after="0"/>
              <w:ind w:left="0" w:right="0" w:hanging="0"/>
              <w:jc w:val="left"/>
              <w:rPr/>
            </w:pPr>
            <w:hyperlink w:anchor="ex_946881.htm">
              <w:r>
                <w:rPr>
                  <w:rStyle w:val="InternetLink"/>
                  <w:rFonts w:ascii="Times New Roman" w:hAnsi="Times New Roman"/>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5803" w:type="dxa"/>
            <w:tcBorders/>
            <w:vAlign w:val="center"/>
          </w:tcPr>
          <w:p>
            <w:pPr>
              <w:pStyle w:val="TableContents"/>
              <w:bidi w:val="0"/>
              <w:spacing w:before="0" w:after="0"/>
              <w:ind w:left="0" w:right="0" w:hanging="0"/>
              <w:jc w:val="left"/>
              <w:rPr/>
            </w:pPr>
            <w:hyperlink w:anchor="ex_946882.htm">
              <w:r>
                <w:rPr>
                  <w:rStyle w:val="InternetLink"/>
                  <w:rFonts w:ascii="Times New Roman" w:hAnsi="Times New Roman"/>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5803" w:type="dxa"/>
            <w:tcBorders/>
            <w:vAlign w:val="center"/>
          </w:tcPr>
          <w:p>
            <w:pPr>
              <w:pStyle w:val="TableContents"/>
              <w:bidi w:val="0"/>
              <w:spacing w:before="0" w:after="0"/>
              <w:ind w:left="0" w:right="0" w:hanging="0"/>
              <w:jc w:val="left"/>
              <w:rPr/>
            </w:pPr>
            <w:hyperlink w:anchor="ex_946883.htm">
              <w:r>
                <w:rPr>
                  <w:rStyle w:val="InternetLink"/>
                  <w:rFonts w:ascii="Times New Roman" w:hAnsi="Times New Roman"/>
                  <w:caps w:val="false"/>
                  <w:smallCaps w:val="false"/>
                  <w:sz w:val="20"/>
                  <w:u w:val="single"/>
                </w:rPr>
                <w:t>Certification of Principal Executive Officer Pursuant to 18 U.S.C. Section 1350, as Adopted Pursuant to Section 906 of the Sarbanes-Oxley Act of 2002</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04" w:type="dxa"/>
            <w:tcBorders/>
            <w:vAlign w:val="center"/>
          </w:tcPr>
          <w:p>
            <w:pPr>
              <w:pStyle w:val="TableContents"/>
              <w:bidi w:val="0"/>
              <w:spacing w:before="0" w:after="283"/>
              <w:jc w:val="left"/>
              <w:rPr/>
            </w:pPr>
            <w:r>
              <w:rPr/>
              <w:t> </w:t>
            </w:r>
          </w:p>
        </w:tc>
        <w:tc>
          <w:tcPr>
            <w:tcW w:w="5803"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r>
      <w:tr>
        <w:trPr/>
        <w:tc>
          <w:tcPr>
            <w:tcW w:w="704" w:type="dxa"/>
            <w:tcBorders/>
            <w:vAlign w:val="center"/>
          </w:tcPr>
          <w:p>
            <w:pPr>
              <w:pStyle w:val="TableContents"/>
              <w:bidi w:val="0"/>
              <w:spacing w:before="0" w:after="283"/>
              <w:jc w:val="left"/>
              <w:rPr/>
            </w:pPr>
            <w:r>
              <w:rPr/>
              <w:t>97.1</w:t>
            </w:r>
          </w:p>
        </w:tc>
        <w:tc>
          <w:tcPr>
            <w:tcW w:w="5803" w:type="dxa"/>
            <w:tcBorders/>
            <w:vAlign w:val="center"/>
          </w:tcPr>
          <w:p>
            <w:pPr>
              <w:pStyle w:val="TableContents"/>
              <w:bidi w:val="0"/>
              <w:spacing w:before="0" w:after="283"/>
              <w:jc w:val="left"/>
              <w:rPr/>
            </w:pPr>
            <w:hyperlink w:anchor="ex_946884.htm">
              <w:r>
                <w:rPr>
                  <w:rStyle w:val="InternetLink"/>
                </w:rPr>
                <w:t>Policy for Recovery of Erroneously Awarded Incentive Compensation</w:t>
              </w:r>
            </w:hyperlink>
          </w:p>
        </w:tc>
        <w:tc>
          <w:tcPr>
            <w:tcW w:w="770"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center"/>
              <w:rPr/>
            </w:pPr>
            <w:r>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91"/>
        <w:gridCol w:w="5889"/>
        <w:gridCol w:w="770"/>
        <w:gridCol w:w="757"/>
        <w:gridCol w:w="650"/>
        <w:gridCol w:w="585"/>
        <w:gridCol w:w="863"/>
      </w:tblGrid>
      <w:tr>
        <w:trPr/>
        <w:tc>
          <w:tcPr>
            <w:tcW w:w="691" w:type="dxa"/>
            <w:tcBorders/>
            <w:vAlign w:val="center"/>
          </w:tcPr>
          <w:p>
            <w:pPr>
              <w:pStyle w:val="TableContents"/>
              <w:bidi w:val="0"/>
              <w:spacing w:before="0" w:after="283"/>
              <w:jc w:val="left"/>
              <w:rPr/>
            </w:pPr>
            <w:r>
              <w:rPr/>
              <w:t> </w:t>
            </w:r>
          </w:p>
        </w:tc>
        <w:tc>
          <w:tcPr>
            <w:tcW w:w="5889" w:type="dxa"/>
            <w:tcBorders/>
            <w:vAlign w:val="center"/>
          </w:tcPr>
          <w:p>
            <w:pPr>
              <w:pStyle w:val="TableContents"/>
              <w:bidi w:val="0"/>
              <w:spacing w:before="0" w:after="283"/>
              <w:jc w:val="left"/>
              <w:rPr/>
            </w:pPr>
            <w:r>
              <w:rPr/>
              <w:t> </w:t>
            </w:r>
          </w:p>
        </w:tc>
        <w:tc>
          <w:tcPr>
            <w:tcW w:w="3625"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69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5889"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Document</w:t>
            </w:r>
          </w:p>
        </w:tc>
        <w:tc>
          <w:tcPr>
            <w:tcW w:w="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757"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5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863"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 Herewith</w:t>
            </w:r>
          </w:p>
        </w:tc>
      </w:tr>
      <w:tr>
        <w:trPr/>
        <w:tc>
          <w:tcPr>
            <w:tcW w:w="6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5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financial statements from the Company's Annual Report on Form 10-K for the year ended May 31, 2026, formatted in Inline XBRL: (i) Consolidated Statements of Financial Position, (ii) Consolidated Statements of Loss and Comprehensive Loss, (iii) Consolidated Statements of Changes in Equity, (iv) Consolidated Statements of Cash Flows, and (v) Notes to Consolidated Financial Statements, tagged as blocks of text and including detailed tags.</w:t>
            </w:r>
          </w:p>
        </w:tc>
        <w:tc>
          <w:tcPr>
            <w:tcW w:w="7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r>
      <w:tr>
        <w:trPr/>
        <w:tc>
          <w:tcPr>
            <w:tcW w:w="691" w:type="dxa"/>
            <w:tcBorders/>
            <w:vAlign w:val="center"/>
          </w:tcPr>
          <w:p>
            <w:pPr>
              <w:pStyle w:val="TableContents"/>
              <w:bidi w:val="0"/>
              <w:spacing w:before="0" w:after="283"/>
              <w:jc w:val="left"/>
              <w:rPr/>
            </w:pPr>
            <w:r>
              <w:rPr/>
              <w:t> </w:t>
            </w:r>
          </w:p>
        </w:tc>
        <w:tc>
          <w:tcPr>
            <w:tcW w:w="5889"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r>
      <w:tr>
        <w:trPr/>
        <w:tc>
          <w:tcPr>
            <w:tcW w:w="6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58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c>
          <w:tcPr>
            <w:tcW w:w="77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25"/>
        <w:gridCol w:w="438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3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management contract or compensatory plan.</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Schedules and certain other information have been omitted pursuant to Item 601(b)(2) of Regulations S-K. The registrant will furnish copies of any such schedules to the Securities and Exchange Commission upon request.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 has omitted portions of the referenced exhibit pursuant to a request for confidential treatment under Rule 406 promulgated under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5" w:name="item16"/>
      <w:bookmarkEnd w:id="35"/>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6" w:name="sigs"/>
      <w:bookmarkEnd w:id="36"/>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1610"/>
        <w:gridCol w:w="60"/>
        <w:gridCol w:w="320"/>
        <w:gridCol w:w="32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Tilray Brands, Inc.</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Irwin D.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Irwin D.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28" w:type="dxa"/>
          <w:right w:w="0" w:type="dxa"/>
        </w:tblCellMar>
      </w:tblPr>
      <w:tblGrid>
        <w:gridCol w:w="1700"/>
        <w:gridCol w:w="60"/>
        <w:gridCol w:w="3740"/>
        <w:gridCol w:w="60"/>
        <w:gridCol w:w="1310"/>
      </w:tblGrid>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Irwin D. Simon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Chairman</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Irwin D. Simon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Carl Merton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Carl Merton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Renah Persofsky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Renah Persofsky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Steven Cohen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Steven Cohen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Clanachan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David Clanachan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M. Herhalt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M. Herhalt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David Hopkinson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David Hopkinson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Tom Looney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28, 2026</w:t>
            </w:r>
          </w:p>
        </w:tc>
      </w:tr>
      <w:tr>
        <w:trPr/>
        <w:tc>
          <w:tcPr>
            <w:tcW w:w="17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Tom Looney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123 </w:t>
      </w:r>
    </w:p>
    <w:p>
      <w:pPr>
        <w:pStyle w:val="TextBody"/>
        <w:bidi w:val="0"/>
        <w:spacing w:before="0" w:after="0"/>
        <w:ind w:left="0" w:right="0" w:hanging="0"/>
        <w:jc w:val="right"/>
        <w:rPr>
          <w:rFonts w:ascii="Times New Roman" w:hAnsi="Times New Roman"/>
          <w:b/>
          <w:caps w:val="false"/>
          <w:smallCaps w:val="false"/>
          <w:sz w:val="20"/>
        </w:rPr>
      </w:pPr>
      <w:bookmarkStart w:id="37" w:name="ex_946875.htm"/>
      <w:bookmarkStart w:id="38" w:name="ksex_946875"/>
      <w:bookmarkEnd w:id="37"/>
      <w:bookmarkEnd w:id="38"/>
      <w:r>
        <w:rPr>
          <w:rFonts w:ascii="Times New Roman" w:hAnsi="Times New Roman"/>
          <w:b/>
          <w:caps w:val="false"/>
          <w:smallCaps w:val="false"/>
          <w:sz w:val="20"/>
        </w:rPr>
        <w:t>EXHIBIT 4.3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SECURITIES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SECTION 12(b) OF THE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Tilray, Brands Inc. (</w:t>
      </w:r>
      <w:r>
        <w:rPr>
          <w:rFonts w:ascii="Times New Roman" w:hAnsi="Times New Roman"/>
          <w:caps w:val="false"/>
          <w:smallCaps w:val="false"/>
          <w:sz w:val="20"/>
        </w:rPr>
        <w:t>“</w:t>
      </w:r>
      <w:r>
        <w:rPr>
          <w:rFonts w:ascii="Times New Roman" w:hAnsi="Times New Roman"/>
          <w:i/>
          <w:caps w:val="false"/>
          <w:smallCaps w:val="false"/>
          <w:sz w:val="20"/>
        </w:rPr>
        <w:t>Tilray,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w:t>
      </w:r>
      <w:r>
        <w:rPr>
          <w:rFonts w:ascii="Times New Roman" w:hAnsi="Times New Roman"/>
          <w:i/>
          <w:caps w:val="false"/>
          <w:smallCaps w:val="false"/>
          <w:sz w:val="20"/>
        </w:rPr>
        <w:t>) has one class of securities registered under Section 12(b) of the Securities Exchange Act of 1934, as amended: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summary of the terms of the capital stock of Tilray is not meant to be complete and is qualified entirely by reference to the relevant provisions of the General Corporation Law of the State of Delaware (the “Delaware General Corporation Law”) and the complete text of Tilray’s Amended and Restated Certificate of Incorporation (the “amended and restated certificate of incorporation”) and Amended and Restated By-Laws (the “by-laws”). Both our certificate of incorporation and by-laws are exhibits to our Annual Report on Form 10-K, of which this Exhibit 4.3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authorized capital stock is divided into: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220" w:right="0" w:hanging="0"/>
        <w:jc w:val="left"/>
        <w:rPr>
          <w:caps w:val="false"/>
          <w:smallCaps w:val="false"/>
        </w:rPr>
      </w:pPr>
      <w:r>
        <w:rPr>
          <w:caps w:val="false"/>
          <w:smallCaps w:val="false"/>
        </w:rPr>
        <w:t xml:space="preserve">• </w:t>
      </w:r>
      <w:r>
        <w:rPr>
          <w:rFonts w:ascii="Times New Roman" w:hAnsi="Times New Roman"/>
          <w:caps w:val="false"/>
          <w:smallCaps w:val="false"/>
          <w:sz w:val="20"/>
        </w:rPr>
        <w:t>1,416,000,000 shares of common stock with a par value of $0.0001 per share; and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220" w:right="0" w:hanging="0"/>
        <w:jc w:val="left"/>
        <w:rPr>
          <w:caps w:val="false"/>
          <w:smallCaps w:val="false"/>
        </w:rPr>
      </w:pPr>
      <w:r>
        <w:rPr>
          <w:caps w:val="false"/>
          <w:smallCaps w:val="false"/>
        </w:rPr>
        <w:t xml:space="preserve">• </w:t>
      </w:r>
      <w:r>
        <w:rPr>
          <w:rFonts w:ascii="Times New Roman" w:hAnsi="Times New Roman"/>
          <w:caps w:val="false"/>
          <w:smallCaps w:val="false"/>
          <w:sz w:val="20"/>
        </w:rPr>
        <w:t>10,000,000 undesignated shares of preferred stock with a par value of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rights and restrictions to which the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holder of common stock is entitled to one vote for each share of common stock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preferences that may apply to any shares of preferred stock outstanding at the time, the holders of outstanding shares of Class 2 common stock are entitled to receive dividends out of funds legally available at the times and in the amounts that our board of directors may determine. We do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rights, preferences and privileges of holders of common stock are subject to, and may be adversely affected by, the rights of holders of shares of any series of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Rights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have no rights to repurchase shares of our common stock, except as described in “—Options and Restricted Stock Units”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Preemptive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common stock is not entitled to preemptive rights and is not subject to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common stock. Our board of directors, without stockholder approval, may issue preferred stock with voting, conversion or other rights that are superior to the voting and other rights of the holders of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of directors will determine the rights, preferences, privileges and restrictions of the preferred stock of each series.  This description will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title and stated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number of shares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liquidation preference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purchase price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dividend rate per share, dividend period and payment dates and method of calculation for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whether dividends will be cumulative or non-cumulative and, if cumulative, the date from which dividends will accumulate;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our right, if any, to defer payment of dividends and the maximum length of any such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procedures for any auction and remarketing,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provisions for a sinking fund,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provisions for redemption or repurchase, if applicable, and any restrictions on our ability to exercise those redemption and repurchase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listing of the preferred stock on any securities exchange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whether the preferred stock will be exchangeable for debt securities, and, if applicable, the exchange period, the exchange price, or how it will be calculated, and under what circumstances it may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voting rights, if any,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preemption rights,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restrictions on transfer, sale or other assignment,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 discussion of any material or special U.S. federal income tax considerations applicable to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relative ranking and preferences of the preferred stock as to dividend rights and rights if we liquidate, dissolve or wind up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limitations on issuances of any class or series of preferred stock ranking senior to or on a parity with the series of preferred stock being issued as to dividend rights and rights if we liquidate, dissolve or wind up our affairs;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any other specific terms, rights, preferences, privileges, qualifications or restrictions of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we issue shares of preferred stock, the shares will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we specify otherwise, the preferred stock will rank, with respect to dividends and upon our liquidation, dissolution or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senior to all classes or series of our common stock and to all of our equity securities ranking junior to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on a parity with all of our equity securities the terms of which specifically provide that the equity securities rank on a parity with the preferred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junior to all of our equity securities the terms of which specifically provide that the equity securities rank senior to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term “equity securities” does not include convertible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Amended and Restated Certificate of Incorporation and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Among other things, our amended and restated certificate of incorporation and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permits our board of directors to issue up to 10,000,000 shares of preferred stock, with any rights, preferences and privileges as they may designate, including the right to approve an acquisition or other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the authorized number of directors may be changed only by resolution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all vacancies, including newly created directorships, may, except as otherwise required by law, be filled by the affirmative vote of a majority of directors then in office, even if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60" w:right="0" w:hanging="0"/>
        <w:jc w:val="left"/>
        <w:rPr>
          <w:caps w:val="false"/>
          <w:smallCaps w:val="false"/>
        </w:rPr>
      </w:pPr>
      <w:r>
        <w:rPr>
          <w:caps w:val="false"/>
          <w:smallCaps w:val="false"/>
        </w:rPr>
        <w:t xml:space="preserve">• </w:t>
      </w:r>
      <w:r>
        <w:rPr>
          <w:rFonts w:ascii="Times New Roman" w:hAnsi="Times New Roman"/>
          <w:caps w:val="false"/>
          <w:smallCaps w:val="false"/>
          <w:sz w:val="20"/>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9" w:name="ex_993237.htm"/>
      <w:bookmarkStart w:id="40" w:name="ksex_993237"/>
      <w:bookmarkEnd w:id="39"/>
      <w:bookmarkEnd w:id="40"/>
      <w:r>
        <w:rPr>
          <w:rFonts w:ascii="Times New Roman" w:hAnsi="Times New Roman"/>
          <w:b/>
          <w:caps w:val="false"/>
          <w:smallCaps w:val="false"/>
          <w:sz w:val="20"/>
        </w:rPr>
        <w:t>TILRAY BRANDS, INC.</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445 Park Avenue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August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PERSONAL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i/>
          <w:caps w:val="false"/>
          <w:smallCaps w:val="false"/>
          <w:sz w:val="20"/>
        </w:rPr>
        <w:t>Executive name</w:t>
      </w: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Tilray Brands,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445 Park Ave.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b/>
          <w:caps w:val="false"/>
          <w:smallCaps w:val="false"/>
          <w:sz w:val="20"/>
          <w:u w:val="single"/>
        </w:rPr>
        <w:t>Incentive Payment; Retention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[Executive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Reference is made to that certain FY 2027 retention payment to be made to you by Tilray Brands, Inc. (“</w:t>
      </w:r>
      <w:r>
        <w:rPr>
          <w:rFonts w:ascii="Times New Roman" w:hAnsi="Times New Roman"/>
          <w:b/>
          <w:caps w:val="false"/>
          <w:smallCaps w:val="false"/>
          <w:sz w:val="20"/>
        </w:rPr>
        <w:t>Tilray</w:t>
      </w:r>
      <w:r>
        <w:rPr>
          <w:rFonts w:ascii="Times New Roman" w:hAnsi="Times New Roman"/>
          <w:caps w:val="false"/>
          <w:smallCaps w:val="false"/>
          <w:sz w:val="20"/>
        </w:rPr>
        <w:t>”) on or about August 28, 2026, in an amount equal to $[___] (the “</w:t>
      </w:r>
      <w:r>
        <w:rPr>
          <w:rFonts w:ascii="Times New Roman" w:hAnsi="Times New Roman"/>
          <w:b/>
          <w:caps w:val="false"/>
          <w:smallCaps w:val="false"/>
          <w:sz w:val="20"/>
        </w:rPr>
        <w:t>FY 2027 Retention Bonus</w:t>
      </w:r>
      <w:r>
        <w:rPr>
          <w:rFonts w:ascii="Times New Roman" w:hAnsi="Times New Roman"/>
          <w:caps w:val="false"/>
          <w:smallCaps w:val="false"/>
          <w:sz w:val="20"/>
        </w:rPr>
        <w:t>”), less applicable tax and other withholdings.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u w:val="single"/>
        </w:rPr>
        <w:t>Repayment Obligation</w:t>
      </w:r>
      <w:r>
        <w:rPr>
          <w:rFonts w:ascii="Times New Roman" w:hAnsi="Times New Roman"/>
          <w:caps w:val="false"/>
          <w:smallCaps w:val="false"/>
          <w:sz w:val="20"/>
        </w:rPr>
        <w:t>. By your acceptance of the FY 2027 Retention Bonus, you hereby agree that if (i) you voluntarily resign your employment with Tilray without “Good Reason” (as the same is defined in your employment agreement) prior to August 31, 2027, or (ii) you are terminated by Tilray for “Cause” (as the same is defined in your employment agreement) prior to August 31, 2027, then you shall be required to repay to Tilray the net-after tax amount of the FY 2027 Retention Bonus, pro-rated for the time employed during the repayment period (the “</w:t>
      </w:r>
      <w:r>
        <w:rPr>
          <w:rFonts w:ascii="Times New Roman" w:hAnsi="Times New Roman"/>
          <w:b/>
          <w:caps w:val="false"/>
          <w:smallCaps w:val="false"/>
          <w:sz w:val="20"/>
        </w:rPr>
        <w:t>Repayment Amount</w:t>
      </w:r>
      <w:r>
        <w:rPr>
          <w:rFonts w:ascii="Times New Roman" w:hAnsi="Times New Roman"/>
          <w:caps w:val="false"/>
          <w:smallCaps w:val="false"/>
          <w:sz w:val="20"/>
        </w:rPr>
        <w:t>”). The Repayment Amount will be due and payable to the Company within 10 days of your last date of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u w:val="single"/>
        </w:rPr>
        <w:t>No Assignment</w:t>
      </w:r>
      <w:r>
        <w:rPr>
          <w:rFonts w:ascii="Times New Roman" w:hAnsi="Times New Roman"/>
          <w:caps w:val="false"/>
          <w:smallCaps w:val="false"/>
          <w:sz w:val="20"/>
        </w:rPr>
        <w:t>. This letter, and all of your or Tilray’s respective rights hereunder, shall not be assignable or delegable by either of us. Any purported assignment or delegation by either of us in violation of the foregoing shall be null and void </w:t>
      </w:r>
      <w:r>
        <w:rPr>
          <w:rFonts w:ascii="Times New Roman" w:hAnsi="Times New Roman"/>
          <w:i/>
          <w:caps w:val="false"/>
          <w:smallCaps w:val="false"/>
          <w:sz w:val="20"/>
        </w:rPr>
        <w:t>ab initio</w:t>
      </w:r>
      <w:r>
        <w:rPr>
          <w:rFonts w:ascii="Times New Roman" w:hAnsi="Times New Roman"/>
          <w:caps w:val="false"/>
          <w:smallCaps w:val="false"/>
          <w:sz w:val="20"/>
        </w:rPr>
        <w:t> and of no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u w:val="single"/>
        </w:rPr>
        <w:t>Successors; Binding Agreement</w:t>
      </w:r>
      <w:r>
        <w:rPr>
          <w:rFonts w:ascii="Times New Roman" w:hAnsi="Times New Roman"/>
          <w:b/>
          <w:caps w:val="false"/>
          <w:smallCaps w:val="false"/>
          <w:sz w:val="20"/>
        </w:rPr>
        <w:t>.</w:t>
      </w:r>
      <w:r>
        <w:rPr>
          <w:rFonts w:ascii="Times New Roman" w:hAnsi="Times New Roman"/>
          <w:caps w:val="false"/>
          <w:smallCaps w:val="false"/>
          <w:sz w:val="20"/>
        </w:rPr>
        <w:t> This letter shall inure to the benefit of and be binding upon personal or legal representatives, executors, administrators, successors, heirs, distributees, devisees and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u w:val="single"/>
        </w:rPr>
        <w:t>Withholding</w:t>
      </w:r>
      <w:r>
        <w:rPr>
          <w:rFonts w:ascii="Times New Roman" w:hAnsi="Times New Roman"/>
          <w:caps w:val="false"/>
          <w:smallCaps w:val="false"/>
          <w:sz w:val="20"/>
        </w:rPr>
        <w:t>. Tilray will be authorized to withhold from the FY 2027 Retention Bonus the amount of any applicable federal, state and local taxes as may be required to be withheld pursuant to any applicable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u w:val="single"/>
        </w:rPr>
        <w:t>No Right to Employment or Other Benefits</w:t>
      </w:r>
      <w:r>
        <w:rPr>
          <w:rFonts w:ascii="Times New Roman" w:hAnsi="Times New Roman"/>
          <w:caps w:val="false"/>
          <w:smallCaps w:val="false"/>
          <w:sz w:val="20"/>
        </w:rPr>
        <w:t>. This letter will not be construed as giving you the right to be retained in the employ of Tilray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u w:val="single"/>
        </w:rPr>
        <w:t>Entire Agreement</w:t>
      </w:r>
      <w:r>
        <w:rPr>
          <w:rFonts w:ascii="Times New Roman" w:hAnsi="Times New Roman"/>
          <w:caps w:val="false"/>
          <w:smallCaps w:val="false"/>
          <w:sz w:val="20"/>
        </w:rPr>
        <w:t>. This letter and the documents referenced herein constitute the entire agreement between Tilray and you concerning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u w:val="single"/>
        </w:rPr>
        <w:t>Section 409A of the Internal Revenue Code</w:t>
      </w:r>
      <w:r>
        <w:rPr>
          <w:rFonts w:ascii="Times New Roman" w:hAnsi="Times New Roman"/>
          <w:caps w:val="false"/>
          <w:smallCaps w:val="false"/>
          <w:sz w:val="20"/>
        </w:rPr>
        <w:t>. Tilray intends that this payment made pursuant to this letter be exempt from Section 409A of the Internal Revenue Code of 1986, as amended (“</w:t>
      </w:r>
      <w:r>
        <w:rPr>
          <w:rFonts w:ascii="Times New Roman" w:hAnsi="Times New Roman"/>
          <w:b/>
          <w:caps w:val="false"/>
          <w:smallCaps w:val="false"/>
          <w:sz w:val="20"/>
        </w:rPr>
        <w:t>Section 409A</w:t>
      </w:r>
      <w:r>
        <w:rPr>
          <w:rFonts w:ascii="Times New Roman" w:hAnsi="Times New Roman"/>
          <w:caps w:val="false"/>
          <w:smallCaps w:val="false"/>
          <w:sz w:val="20"/>
        </w:rPr>
        <w:t>”), under the short-term deferral exception under Treas. Reg. Section 1.409A - 1(b)(4). However, if any amount paid under this letter is determined to be “non-qualified deferred compensation” within the meaning of Section 409A, then this letter will be interpreted or reformed in the manner necessary to achieve compliance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u w:val="single"/>
        </w:rPr>
        <w:t>Governing Law; Counterparts</w:t>
      </w:r>
      <w:r>
        <w:rPr>
          <w:rFonts w:ascii="Times New Roman" w:hAnsi="Times New Roman"/>
          <w:caps w:val="false"/>
          <w:smallCaps w:val="false"/>
          <w:sz w:val="20"/>
        </w:rPr>
        <w:t>. The validity, construction, and effect of this letter will be determined in accordance with the laws of the State of New York, without reference to principles of conflict of laws. This letter may be signed in counterparts, each of which shall be an original, with the same effect as if the signatures thereto and hereto were upon the same instrument.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look forward to your acceptance of the terms set forth herein, which you can indicate by promptly signing and dating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both"/>
        <w:rPr>
          <w:rFonts w:ascii="Times New Roman" w:hAnsi="Times New Roman"/>
          <w:caps w:val="false"/>
          <w:smallCaps w:val="false"/>
          <w:sz w:val="20"/>
        </w:rPr>
      </w:pPr>
      <w:r>
        <w:rPr>
          <w:rFonts w:ascii="Times New Roman" w:hAnsi="Times New Roman"/>
          <w:b/>
          <w:caps w:val="false"/>
          <w:smallCaps w:val="false"/>
          <w:sz w:val="20"/>
        </w:rPr>
        <w:t>Tilray Brands,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r>
        <w:rPr>
          <w:caps w:val="false"/>
          <w:smallCaps w:val="false"/>
          <w:u w:val="single"/>
        </w:rPr>
        <w:t>     </w:t>
      </w:r>
      <w:r>
        <w:rPr>
          <w:rFonts w:ascii="Times New Roman" w:hAnsi="Times New Roman"/>
          <w:caps w:val="false"/>
          <w:smallCaps w:val="false"/>
          <w:sz w:val="20"/>
          <w:u w:val="single"/>
        </w:rPr>
        <w:t>/s/                                             </w:t>
      </w:r>
      <w:r>
        <w:rPr>
          <w:rFonts w:ascii="Times New Roman" w:hAnsi="Times New Roman"/>
          <w:caps w:val="false"/>
          <w:smallCaps w:val="false"/>
          <w:sz w:val="20"/>
        </w:rPr>
        <w:t>         </w:t>
      </w:r>
    </w:p>
    <w:p>
      <w:pPr>
        <w:pStyle w:val="TextBody"/>
        <w:bidi w:val="0"/>
        <w:spacing w:before="0" w:after="0"/>
        <w:ind w:left="4320" w:right="0" w:hanging="0"/>
        <w:jc w:val="both"/>
        <w:rPr>
          <w:caps w:val="false"/>
          <w:smallCaps w:val="false"/>
        </w:rPr>
      </w:pPr>
      <w:r>
        <w:rPr>
          <w:caps w:val="false"/>
          <w:smallCaps w:val="false"/>
        </w:rPr>
        <w:t>         </w:t>
      </w:r>
      <w:r>
        <w:rPr>
          <w:rFonts w:ascii="Times New Roman" w:hAnsi="Times New Roman"/>
          <w:caps w:val="false"/>
          <w:smallCaps w:val="false"/>
          <w:sz w:val="20"/>
        </w:rPr>
        <w:t>By: Irwin Simon</w:t>
      </w:r>
    </w:p>
    <w:p>
      <w:pPr>
        <w:pStyle w:val="TextBody"/>
        <w:bidi w:val="0"/>
        <w:spacing w:before="0" w:after="0"/>
        <w:ind w:left="4320" w:right="0" w:hanging="0"/>
        <w:jc w:val="both"/>
        <w:rPr>
          <w:caps w:val="false"/>
          <w:smallCaps w:val="false"/>
        </w:rPr>
      </w:pPr>
      <w:r>
        <w:rPr>
          <w:caps w:val="false"/>
          <w:smallCaps w:val="false"/>
        </w:rPr>
        <w:t>         </w:t>
      </w:r>
      <w:r>
        <w:rPr>
          <w:rFonts w:ascii="Times New Roman" w:hAnsi="Times New Roman"/>
          <w:caps w:val="false"/>
          <w:smallCaps w:val="false"/>
          <w:sz w:val="20"/>
        </w:rPr>
        <w:t>Title: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[Executive name]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1" w:name="ex_993238.htm"/>
      <w:bookmarkStart w:id="42" w:name="ksex_993238"/>
      <w:bookmarkEnd w:id="41"/>
      <w:bookmarkEnd w:id="42"/>
      <w:r>
        <w:rPr>
          <w:caps w:val="false"/>
          <w:smallCaps w:val="false"/>
        </w:rPr>
        <w:t> </w:t>
      </w:r>
      <w:r>
        <w:br w:type="page"/>
      </w:r>
    </w:p>
    <w:p>
      <w:pPr>
        <w:pStyle w:val="TextBody"/>
        <w:bidi w:val="0"/>
        <w:spacing w:before="0" w:after="0"/>
        <w:ind w:left="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SIXTH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THIS SIXTH AMENDMENT TO CREDIT AGREEMENT (this “</w:t>
      </w:r>
      <w:r>
        <w:rPr>
          <w:rFonts w:ascii="Times New Roman" w:hAnsi="Times New Roman"/>
          <w:i/>
          <w:caps w:val="false"/>
          <w:smallCaps w:val="false"/>
          <w:sz w:val="20"/>
          <w:u w:val="single"/>
        </w:rPr>
        <w:t>Amendment</w:t>
      </w:r>
      <w:r>
        <w:rPr>
          <w:rFonts w:ascii="Times New Roman" w:hAnsi="Times New Roman"/>
          <w:caps w:val="false"/>
          <w:smallCaps w:val="false"/>
          <w:sz w:val="20"/>
        </w:rPr>
        <w:t>”), dated as of July 24, 2026 (the “</w:t>
      </w:r>
      <w:r>
        <w:rPr>
          <w:rFonts w:ascii="Times New Roman" w:hAnsi="Times New Roman"/>
          <w:i/>
          <w:caps w:val="false"/>
          <w:smallCaps w:val="false"/>
          <w:sz w:val="20"/>
          <w:u w:val="single"/>
        </w:rPr>
        <w:t>Sixth Amendment Effectiveness Date</w:t>
      </w:r>
      <w:r>
        <w:rPr>
          <w:rFonts w:ascii="Times New Roman" w:hAnsi="Times New Roman"/>
          <w:caps w:val="false"/>
          <w:smallCaps w:val="false"/>
          <w:sz w:val="20"/>
        </w:rPr>
        <w:t>”), to the Credit Agreement referenced below is by and among AMERICAN BEVERAGE CRAFTS GROUP, INC., a Delaware corporation (the “</w:t>
      </w:r>
      <w:r>
        <w:rPr>
          <w:rFonts w:ascii="Times New Roman" w:hAnsi="Times New Roman"/>
          <w:i/>
          <w:caps w:val="false"/>
          <w:smallCaps w:val="false"/>
          <w:sz w:val="20"/>
          <w:u w:val="single"/>
        </w:rPr>
        <w:t>Borrower</w:t>
      </w:r>
      <w:r>
        <w:rPr>
          <w:rFonts w:ascii="Times New Roman" w:hAnsi="Times New Roman"/>
          <w:caps w:val="false"/>
          <w:smallCaps w:val="false"/>
          <w:sz w:val="20"/>
        </w:rPr>
        <w:t>”), the Guarantors identified on the signature pages hereto, the Lenders identified on the signature pages hereto and BANK OF AMERICA, N.A., in its capacity as Administrative Agent (in such capacity, the “</w:t>
      </w:r>
      <w:r>
        <w:rPr>
          <w:rFonts w:ascii="Times New Roman" w:hAnsi="Times New Roman"/>
          <w:i/>
          <w:caps w:val="false"/>
          <w:smallCaps w:val="false"/>
          <w:sz w:val="20"/>
          <w:u w:val="single"/>
        </w:rPr>
        <w:t>Administrative Agent</w:t>
      </w:r>
      <w:r>
        <w:rPr>
          <w:rFonts w:ascii="Times New Roman" w:hAnsi="Times New Roman"/>
          <w:caps w:val="false"/>
          <w:smallCaps w:val="false"/>
          <w:sz w:val="20"/>
        </w:rPr>
        <w: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 credit facility has been extended to the Borrower pursuant to the Credit Agreement (as amended, modified, supplemented, restated and extended from time to time, the “</w:t>
      </w:r>
      <w:r>
        <w:rPr>
          <w:rFonts w:ascii="Times New Roman" w:hAnsi="Times New Roman"/>
          <w:i/>
          <w:caps w:val="false"/>
          <w:smallCaps w:val="false"/>
          <w:sz w:val="20"/>
          <w:u w:val="single"/>
        </w:rPr>
        <w:t>Credit Agreement</w:t>
      </w:r>
      <w:r>
        <w:rPr>
          <w:rFonts w:ascii="Times New Roman" w:hAnsi="Times New Roman"/>
          <w:caps w:val="false"/>
          <w:smallCaps w:val="false"/>
          <w:sz w:val="20"/>
        </w:rPr>
        <w:t>”) dated as of June 30, 2023 by and among the Borrower, the Guarantors identified therein, the Lenders identified therein and Bank of America, N.A., as Administrative Agent,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Borrower made an optional principal payment in the amount of $10,000,000 on May 29, 2026 that was applied to the loans in inverse order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as of the Sixth Amendment Effectiveness Date, the outstanding amount of the Term Loans is $62,000,000 being comprised of $56,000,000 funded Term Loans and $6,000,000 funded Delayed Draw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Borrower has requested that the Administrative Agent and the Lenders amend the Credit Agreement as set forth in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Lenders are willing to agree to the requested modifications, in accordance with and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NOW, THEREFORE, IN CONSIDERATION </w:t>
      </w:r>
      <w:r>
        <w:rPr>
          <w:rFonts w:ascii="Times New Roman" w:hAnsi="Times New Roman"/>
          <w:caps w:val="false"/>
          <w:smallCaps w:val="false"/>
          <w:sz w:val="20"/>
        </w:rPr>
        <w:t>of the premises and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caps w:val="false"/>
          <w:smallCaps w:val="false"/>
          <w:sz w:val="20"/>
          <w:u w:val="single"/>
        </w:rPr>
        <w:t>    Defined Terms</w:t>
      </w:r>
      <w:r>
        <w:rPr>
          <w:rFonts w:ascii="Times New Roman" w:hAnsi="Times New Roman"/>
          <w:caps w:val="false"/>
          <w:smallCaps w:val="false"/>
          <w:sz w:val="20"/>
        </w:rPr>
        <w:t>. Capitalized terms used herein but not otherwise defined herein shall have the meanings provided to such terms in the Credit Agreement as amended hereby.</w:t>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60"/>
        <w:gridCol w:w="170"/>
        <w:gridCol w:w="2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2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Amendments to Credit Agreement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Credit Agreement (excluding the Exhibits and Schedules thereto) is hereby amended and restated in its entirety to read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The Revolving Commitments in</w:t>
      </w:r>
      <w:r>
        <w:rPr>
          <w:rFonts w:ascii="Times New Roman" w:hAnsi="Times New Roman"/>
          <w:caps w:val="false"/>
          <w:smallCaps w:val="false"/>
          <w:sz w:val="20"/>
          <w:u w:val="single"/>
        </w:rPr>
        <w:t xml:space="preserve"> Schedule 2.01</w:t>
      </w:r>
      <w:r>
        <w:rPr>
          <w:rFonts w:ascii="Times New Roman" w:hAnsi="Times New Roman"/>
          <w:caps w:val="false"/>
          <w:smallCaps w:val="false"/>
          <w:sz w:val="20"/>
        </w:rPr>
        <w:t xml:space="preserve"> to the Credit Agreement are hereby amended to read as the Revolving Commitments attached hereto in </w:t>
      </w:r>
      <w:r>
        <w:rPr>
          <w:rFonts w:ascii="Times New Roman" w:hAnsi="Times New Roman"/>
          <w:caps w:val="false"/>
          <w:smallCaps w:val="false"/>
          <w:sz w:val="20"/>
          <w:u w:val="single"/>
        </w:rPr>
        <w:t>Schedule 2.01</w:t>
      </w:r>
      <w:r>
        <w:rPr>
          <w:rFonts w:ascii="Times New Roman" w:hAnsi="Times New Roman"/>
          <w:caps w:val="false"/>
          <w:smallCaps w:val="false"/>
          <w:sz w:val="20"/>
        </w:rPr>
        <w:t>. The Term Loan Commitments and Delayed Draw Term Loan Commitments have terminated pursuant to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3.</w:t>
      </w:r>
      <w:r>
        <w:rPr>
          <w:rFonts w:ascii="Times New Roman" w:hAnsi="Times New Roman"/>
          <w:caps w:val="false"/>
          <w:smallCaps w:val="false"/>
          <w:sz w:val="20"/>
          <w:u w:val="single"/>
        </w:rPr>
        <w:t>    Conditions Precedent</w:t>
      </w:r>
      <w:r>
        <w:rPr>
          <w:rFonts w:ascii="Times New Roman" w:hAnsi="Times New Roman"/>
          <w:caps w:val="false"/>
          <w:smallCaps w:val="false"/>
          <w:sz w:val="20"/>
        </w:rPr>
        <w:t>. This Amendment shall be and become effective as of the date hereof when the following conditions precedent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The Administrative Agent shall have received counterparts of this Amendment, which collectively shall have been duly executed on behalf of each of the Borrower, the Guarantors, the Administrative Agent, the Lenders, the Swingline Lender and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The Administrative Agent shall have received the executed Atwater Purchase Agreement (as defined in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The Administrative Agent shall have received an executed copy of that certain Licence Agreement dated as of February 5, 2026 by and among Carlsberg Breweries A/S and American Beverage Crafts,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The Administrative Agent shall have received, in connection with the Atwater Sale (as defined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 schedule in satisfaction of </w:t>
      </w:r>
      <w:r>
        <w:rPr>
          <w:rFonts w:ascii="Times New Roman" w:hAnsi="Times New Roman"/>
          <w:i/>
          <w:caps w:val="false"/>
          <w:smallCaps w:val="false"/>
          <w:sz w:val="20"/>
        </w:rPr>
        <w:t xml:space="preserve">Section 2.05(b)(ii)(A) </w:t>
      </w:r>
      <w:r>
        <w:rPr>
          <w:rFonts w:ascii="Times New Roman" w:hAnsi="Times New Roman"/>
          <w:caps w:val="false"/>
          <w:smallCaps w:val="false"/>
          <w:sz w:val="20"/>
        </w:rPr>
        <w:t>of the Credit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The Administrative Agent shall have received an executed amendment to the Holdings Note extending its maturity date to April 1, 2028, in form and substance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The Administrative Agent shall have received, for the account of the Lenders (including Bank of America) approving this Amendment, an amendment fee (the “</w:t>
      </w:r>
      <w:r>
        <w:rPr>
          <w:rFonts w:ascii="Times New Roman" w:hAnsi="Times New Roman"/>
          <w:i/>
          <w:caps w:val="false"/>
          <w:smallCaps w:val="false"/>
          <w:sz w:val="20"/>
          <w:u w:val="single"/>
        </w:rPr>
        <w:t>Amendment</w:t>
      </w:r>
      <w:r>
        <w:rPr>
          <w:rFonts w:ascii="Times New Roman" w:hAnsi="Times New Roman"/>
          <w:caps w:val="false"/>
          <w:smallCaps w:val="false"/>
          <w:sz w:val="20"/>
        </w:rPr>
        <w:t xml:space="preserve"> </w:t>
      </w:r>
      <w:r>
        <w:rPr>
          <w:rFonts w:ascii="Times New Roman" w:hAnsi="Times New Roman"/>
          <w:i/>
          <w:caps w:val="false"/>
          <w:smallCaps w:val="false"/>
          <w:sz w:val="20"/>
          <w:u w:val="single"/>
        </w:rPr>
        <w:t>Fee</w:t>
      </w:r>
      <w:r>
        <w:rPr>
          <w:rFonts w:ascii="Times New Roman" w:hAnsi="Times New Roman"/>
          <w:caps w:val="false"/>
          <w:smallCaps w:val="false"/>
          <w:sz w:val="20"/>
        </w:rPr>
        <w:t xml:space="preserve">”) in an amount equal to 0.15% of the Total Credit Exposure after giving effect to the reduction in Revolving Commitments as set forth in </w:t>
      </w:r>
      <w:r>
        <w:rPr>
          <w:rFonts w:ascii="Times New Roman" w:hAnsi="Times New Roman"/>
          <w:caps w:val="false"/>
          <w:smallCaps w:val="false"/>
          <w:sz w:val="20"/>
          <w:u w:val="single"/>
        </w:rPr>
        <w:t xml:space="preserve">Schedule 2.01 </w:t>
      </w:r>
      <w:r>
        <w:rPr>
          <w:rFonts w:ascii="Times New Roman" w:hAnsi="Times New Roman"/>
          <w:caps w:val="false"/>
          <w:smallCaps w:val="false"/>
          <w:sz w:val="20"/>
        </w:rPr>
        <w:t>attached hereto (payable pro rata on such Lender’s credit exposure) as of the Sixth Amendment Effective Date (after giving effect to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The Borrower shall have paid all fees and expenses required to be paid to the Administrative Agent and the Lenders in connection with this Amendment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w:t>
      </w:r>
      <w:r>
        <w:rPr>
          <w:rFonts w:ascii="Times New Roman" w:hAnsi="Times New Roman"/>
          <w:b/>
          <w:i/>
          <w:caps w:val="false"/>
          <w:smallCaps w:val="false"/>
          <w:sz w:val="20"/>
        </w:rPr>
        <w:t xml:space="preserve">Section 9.03 </w:t>
      </w:r>
      <w:r>
        <w:rPr>
          <w:rFonts w:ascii="Times New Roman" w:hAnsi="Times New Roman"/>
          <w:caps w:val="false"/>
          <w:smallCaps w:val="false"/>
          <w:sz w:val="20"/>
        </w:rPr>
        <w:t xml:space="preserve">of the Credit Agreement, for purposes of determining compliance with the conditions specified in this </w:t>
      </w:r>
      <w:r>
        <w:rPr>
          <w:rFonts w:ascii="Times New Roman" w:hAnsi="Times New Roman"/>
          <w:caps w:val="false"/>
          <w:smallCaps w:val="false"/>
          <w:sz w:val="20"/>
          <w:u w:val="single"/>
        </w:rPr>
        <w:t>Section 3</w:t>
      </w:r>
      <w:r>
        <w:rPr>
          <w:rFonts w:ascii="Times New Roman" w:hAnsi="Times New Roman"/>
          <w:caps w:val="false"/>
          <w:smallCaps w:val="false"/>
          <w:sz w:val="20"/>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Sixth Amendment Effectiveness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Expenses</w:t>
      </w:r>
      <w:r>
        <w:rPr>
          <w:rFonts w:ascii="Times New Roman" w:hAnsi="Times New Roman"/>
          <w:caps w:val="false"/>
          <w:smallCaps w:val="false"/>
          <w:sz w:val="20"/>
        </w:rPr>
        <w:t>. The Loan Parties agree to reimburse the Administrative Agent for all reasonable out-of-pocket expenses incurred by the Administrative Agent and its Affiliates (including, but not limited to, (A) the reasonable fees, charges and disbursements of one (1) counsel (and one (1) special counsel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preparation, execution and delivery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w:t>
      </w:r>
      <w:r>
        <w:rPr>
          <w:rFonts w:ascii="Times New Roman" w:hAnsi="Times New Roman"/>
          <w:caps w:val="false"/>
          <w:smallCaps w:val="false"/>
          <w:sz w:val="20"/>
          <w:u w:val="single"/>
        </w:rPr>
        <w:t>    Amendment is a “Loan Document”</w:t>
      </w:r>
      <w:r>
        <w:rPr>
          <w:rFonts w:ascii="Times New Roman" w:hAnsi="Times New Roman"/>
          <w:caps w:val="false"/>
          <w:smallCaps w:val="false"/>
          <w:sz w:val="20"/>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60"/>
        <w:gridCol w:w="170"/>
        <w:gridCol w:w="6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 Each Loan Party represents and warrants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It has taken all necessary corporate or other organizational action to authorize the execution, delivery and performance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This Amendment has been duly executed and delivered by such Loan Party and constitutes its legal, valid and binding obligations, enforceable in accordance with its terms, subject to applicable bankruptcy, insolvency, reorganization, moratorium or other laws affecting creditors’ rights generally and subject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other than authorizations, approvals, actions, notices and filings which have been duly obtained, taken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The execution, delivery and performance by such Loan Party of this Amendment does not and will not (i) contravene the terms of any of such Loan Party’s Organization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(ii) conflict with or result in any breach or contravention of, or the creation of (or the requirement to create) any Lien under, or require any payment to be made under (1) any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(iii) violate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w:t>
      </w:r>
      <w:r>
        <w:rPr>
          <w:rFonts w:ascii="Times New Roman" w:hAnsi="Times New Roman"/>
          <w:caps w:val="false"/>
          <w:smallCaps w:val="false"/>
          <w:sz w:val="20"/>
          <w:u w:val="single"/>
        </w:rPr>
        <w:t>    Representations and Warranties; No Default</w:t>
      </w:r>
      <w:r>
        <w:rPr>
          <w:rFonts w:ascii="Times New Roman" w:hAnsi="Times New Roman"/>
          <w:caps w:val="false"/>
          <w:smallCaps w:val="false"/>
          <w:sz w:val="20"/>
        </w:rPr>
        <w:t xml:space="preserve">. Each Loan Party represents and warrants to the Administrative Agent and each Lender that, after giving effect to this Amendment, (a) the representations and warranties of the Borrower and each Loan Party contained in Article II or Article V of the Credit Agreement or any other Loan Document or which are contained in any document furnished at any time under or in connection therewith,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hereof, and except that for purposes of this </w:t>
      </w:r>
      <w:r>
        <w:rPr>
          <w:rFonts w:ascii="Times New Roman" w:hAnsi="Times New Roman"/>
          <w:caps w:val="false"/>
          <w:smallCaps w:val="false"/>
          <w:sz w:val="20"/>
          <w:u w:val="single"/>
        </w:rPr>
        <w:t>Section 7(a)</w:t>
      </w:r>
      <w:r>
        <w:rPr>
          <w:rFonts w:ascii="Times New Roman" w:hAnsi="Times New Roman"/>
          <w:caps w:val="false"/>
          <w:smallCaps w:val="false"/>
          <w:sz w:val="20"/>
        </w:rPr>
        <w:t xml:space="preserve">, the representations and warranties contained in </w:t>
      </w:r>
      <w:r>
        <w:rPr>
          <w:rFonts w:ascii="Times New Roman" w:hAnsi="Times New Roman"/>
          <w:b/>
          <w:i/>
          <w:caps w:val="false"/>
          <w:smallCaps w:val="false"/>
          <w:sz w:val="20"/>
        </w:rPr>
        <w:t xml:space="preserve">Sections 5.05(a)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of the Credit Agreement shall be deemed to refer to the most recent statements furnished pursuant to </w:t>
      </w:r>
      <w:r>
        <w:rPr>
          <w:rFonts w:ascii="Times New Roman" w:hAnsi="Times New Roman"/>
          <w:b/>
          <w:i/>
          <w:caps w:val="false"/>
          <w:smallCaps w:val="false"/>
          <w:sz w:val="20"/>
        </w:rPr>
        <w:t xml:space="preserve">Sections 6.01(a) </w:t>
      </w:r>
      <w:r>
        <w:rPr>
          <w:rFonts w:ascii="Times New Roman" w:hAnsi="Times New Roman"/>
          <w:caps w:val="false"/>
          <w:smallCaps w:val="false"/>
          <w:sz w:val="20"/>
        </w:rPr>
        <w:t xml:space="preserve">and </w:t>
      </w:r>
      <w:r>
        <w:rPr>
          <w:rFonts w:ascii="Times New Roman" w:hAnsi="Times New Roman"/>
          <w:b/>
          <w:i/>
          <w:caps w:val="false"/>
          <w:smallCaps w:val="false"/>
          <w:sz w:val="20"/>
        </w:rPr>
        <w:t>(b)</w:t>
      </w:r>
      <w:r>
        <w:rPr>
          <w:rFonts w:ascii="Times New Roman" w:hAnsi="Times New Roman"/>
          <w:caps w:val="false"/>
          <w:smallCaps w:val="false"/>
          <w:sz w:val="20"/>
        </w:rPr>
        <w:t>, respectively, of the Credit Agreement, and (b) no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8.</w:t>
      </w:r>
      <w:r>
        <w:rPr>
          <w:rFonts w:ascii="Times New Roman" w:hAnsi="Times New Roman"/>
          <w:caps w:val="false"/>
          <w:smallCaps w:val="false"/>
          <w:sz w:val="20"/>
          <w:u w:val="single"/>
        </w:rPr>
        <w:t>    Reaffirmation of Obligations</w:t>
      </w:r>
      <w:r>
        <w:rPr>
          <w:rFonts w:ascii="Times New Roman" w:hAnsi="Times New Roman"/>
          <w:caps w:val="false"/>
          <w:smallCaps w:val="false"/>
          <w:sz w:val="20"/>
        </w:rPr>
        <w:t>. Each Loan Party (a) acknowledges and consents to all of the terms and conditions of this Amendment, (b) affirms all of its obligations under the Loan Documents, as modified hereby, and (c) agrees that this Amendment and all documents, agreements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executed in connection with this Amendment do not operate to reduce or discharge such Loan Party’s obligations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w:t>
      </w:r>
      <w:r>
        <w:rPr>
          <w:rFonts w:ascii="Times New Roman" w:hAnsi="Times New Roman"/>
          <w:caps w:val="false"/>
          <w:smallCaps w:val="false"/>
          <w:sz w:val="20"/>
          <w:u w:val="single"/>
        </w:rPr>
        <w:t>    Reaffirmation of Security Interests</w:t>
      </w:r>
      <w:r>
        <w:rPr>
          <w:rFonts w:ascii="Times New Roman" w:hAnsi="Times New Roman"/>
          <w:caps w:val="false"/>
          <w:smallCaps w:val="false"/>
          <w:sz w:val="20"/>
        </w:rPr>
        <w:t>. Each Loan Party (a) ratifies and affirms that each of the Liens granted in or pursuant to the Loan Documents and confirms and agrees that such Liens are valid and subsisting and (b) agrees that this Amendment and all documents, agreements and instruments executed in connection with this Amendment do not in any manner impair or otherwise adversely affect any of the Liens granted in or pursuant to the Loan Documents. Without limiting the foregoing, each Loan Party confirms and agrees that each of the Liens granted in or pursuant to the Loan Documents by such Loan Party secure all of the Obligations as amended hereby and hereby re-grants a security interest and liens in all of its right, title and interest in the Collateral, as defined in, and on the terms set forth in, the Security Agreement, to secure all of the Obligations as amended hereby and, further, ratifies and reaffirms as of the date hereof that the security constituted by the Collateral Documents continue to secure the payment of liabilities and obligations of the Loan Parties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w:t>
      </w:r>
      <w:r>
        <w:rPr>
          <w:rFonts w:ascii="Times New Roman" w:hAnsi="Times New Roman"/>
          <w:caps w:val="false"/>
          <w:smallCaps w:val="false"/>
          <w:sz w:val="20"/>
          <w:u w:val="single"/>
        </w:rPr>
        <w:t>    No Other Changes</w:t>
      </w:r>
      <w:r>
        <w:rPr>
          <w:rFonts w:ascii="Times New Roman" w:hAnsi="Times New Roman"/>
          <w:caps w:val="false"/>
          <w:smallCaps w:val="false"/>
          <w:sz w:val="20"/>
        </w:rPr>
        <w:t>. Except as modified hereby, all of the terms and provisions of the Loan Documents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Counterparts; Electronic Record</w:t>
      </w:r>
      <w:r>
        <w:rPr>
          <w:rFonts w:ascii="Times New Roman" w:hAnsi="Times New Roman"/>
          <w:caps w:val="false"/>
          <w:smallCaps w:val="false"/>
          <w:sz w:val="20"/>
        </w:rPr>
        <w:t>. This Amendment may be in the form of an Electronic Record, may be executed using Electronic Signatures and may be executed in as many counterparts as necessary or convenient, including both paper and electronic counterparts, but all such counterparts are one and the same instrument.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Governing Law</w:t>
      </w:r>
      <w:r>
        <w:rPr>
          <w:rFonts w:ascii="Times New Roman" w:hAnsi="Times New Roman"/>
          <w:caps w:val="false"/>
          <w:smallCaps w:val="false"/>
          <w:sz w:val="20"/>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w:t>
      </w:r>
      <w:r>
        <w:rPr>
          <w:rFonts w:ascii="Times New Roman" w:hAnsi="Times New Roman"/>
          <w:i/>
          <w:caps w:val="false"/>
          <w:smallCaps w:val="false"/>
          <w:sz w:val="20"/>
        </w:rPr>
        <w:t xml:space="preserve">, </w:t>
      </w:r>
      <w:r>
        <w:rPr>
          <w:rFonts w:ascii="Times New Roman" w:hAnsi="Times New Roman"/>
          <w:caps w:val="false"/>
          <w:smallCaps w:val="false"/>
          <w:sz w:val="20"/>
        </w:rPr>
        <w:t>the parties hereto have caused this Amendment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4680"/>
        <w:jc w:val="left"/>
        <w:rPr>
          <w:rFonts w:ascii="Times New Roman" w:hAnsi="Times New Roman"/>
          <w:caps w:val="false"/>
          <w:smallCaps w:val="false"/>
          <w:sz w:val="20"/>
        </w:rPr>
      </w:pPr>
      <w:r>
        <w:rPr>
          <w:rFonts w:ascii="Times New Roman" w:hAnsi="Times New Roman"/>
          <w:b/>
          <w:caps w:val="false"/>
          <w:smallCaps w:val="false"/>
          <w:sz w:val="20"/>
        </w:rPr>
        <w:t>BORROWER</w:t>
      </w:r>
      <w:r>
        <w:rPr>
          <w:rFonts w:ascii="Times New Roman" w:hAnsi="Times New Roman"/>
          <w:caps w:val="false"/>
          <w:smallCaps w:val="false"/>
          <w:sz w:val="20"/>
        </w:rPr>
        <w:t>:         </w:t>
      </w:r>
      <w:r>
        <w:rPr>
          <w:rFonts w:ascii="Times New Roman" w:hAnsi="Times New Roman"/>
          <w:b/>
          <w:caps w:val="false"/>
          <w:smallCaps w:val="false"/>
          <w:sz w:val="20"/>
        </w:rPr>
        <w:t>AMERICAN BEVERAGE CRAFTS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DOUBLE DIAMOND DISTILLERY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SWEETWATER COLORADO BREWING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b/>
          <w:caps w:val="false"/>
          <w:smallCaps w:val="false"/>
          <w:sz w:val="20"/>
        </w:rPr>
        <w:t>MONTAUK BREWING COMPANY, INC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r>
        <w:rPr>
          <w:rFonts w:ascii="Times New Roman" w:hAnsi="Times New Roman"/>
          <w:caps w:val="false"/>
          <w:smallCaps w:val="false"/>
          <w:sz w:val="20"/>
        </w:rPr>
        <w:t xml:space="preserve"> 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TILRAY HOLDCO M,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b/>
          <w:caps w:val="false"/>
          <w:smallCaps w:val="false"/>
          <w:sz w:val="20"/>
        </w:rPr>
      </w:pPr>
      <w:r>
        <w:rPr>
          <w:rFonts w:ascii="Times New Roman" w:hAnsi="Times New Roman"/>
          <w:b/>
          <w:caps w:val="false"/>
          <w:smallCaps w:val="false"/>
          <w:sz w:val="20"/>
        </w:rPr>
        <w:t>TILRAY BEVERAGES,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b/>
          <w:caps w:val="false"/>
          <w:smallCaps w:val="false"/>
          <w:sz w:val="20"/>
        </w:rPr>
      </w:pPr>
      <w:r>
        <w:rPr>
          <w:rFonts w:ascii="Times New Roman" w:hAnsi="Times New Roman"/>
          <w:b/>
          <w:caps w:val="false"/>
          <w:smallCaps w:val="false"/>
          <w:sz w:val="20"/>
        </w:rPr>
        <w:t>TILRAY ABC,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b/>
          <w:caps w:val="false"/>
          <w:smallCaps w:val="false"/>
          <w:sz w:val="20"/>
        </w:rPr>
      </w:pPr>
      <w:r>
        <w:rPr>
          <w:rFonts w:ascii="Times New Roman" w:hAnsi="Times New Roman"/>
          <w:b/>
          <w:caps w:val="false"/>
          <w:smallCaps w:val="false"/>
          <w:sz w:val="20"/>
        </w:rPr>
        <w:t>AMERICAN BEVERAGE CRAFTS,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b/>
          <w:caps w:val="false"/>
          <w:smallCaps w:val="false"/>
          <w:sz w:val="20"/>
        </w:rPr>
      </w:pPr>
      <w:r>
        <w:rPr>
          <w:rFonts w:ascii="Times New Roman" w:hAnsi="Times New Roman"/>
          <w:b/>
          <w:caps w:val="false"/>
          <w:smallCaps w:val="false"/>
          <w:sz w:val="20"/>
        </w:rPr>
        <w:t>SWEETWATER BREWING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0" w:right="0" w:hanging="0"/>
        <w:jc w:val="left"/>
        <w:rPr>
          <w:rFonts w:ascii="Times New Roman" w:hAnsi="Times New Roman"/>
          <w:b/>
          <w:caps w:val="false"/>
          <w:smallCaps w:val="false"/>
          <w:sz w:val="20"/>
        </w:rPr>
      </w:pPr>
      <w:r>
        <w:rPr>
          <w:rFonts w:ascii="Times New Roman" w:hAnsi="Times New Roman"/>
          <w:b/>
          <w:caps w:val="false"/>
          <w:smallCaps w:val="false"/>
          <w:sz w:val="20"/>
        </w:rPr>
        <w:t>SW BREWING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80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HIBALL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BRECKENRIDGE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r>
        <w:rPr>
          <w:rFonts w:ascii="Times New Roman" w:hAnsi="Times New Roman"/>
          <w:caps w:val="false"/>
          <w:smallCaps w:val="false"/>
          <w:sz w:val="20"/>
        </w:rPr>
        <w:t xml:space="preserve"> 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BRECKENRIDGE-WYNKOOP 2,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BBI ACQUISITION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BRECKENRIDGE BREWERY,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BLUE POINT BREWING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10 BARREL BREWING,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r>
        <w:rPr>
          <w:rFonts w:ascii="Times New Roman" w:hAnsi="Times New Roman"/>
          <w:caps w:val="false"/>
          <w:smallCaps w:val="false"/>
          <w:sz w:val="20"/>
        </w:rPr>
        <w:t xml:space="preserve"> 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10 BARREL BREWING IDAHO,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TERRAPIN BEER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REVOLVER BREWING,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MCKENZIE RIVER BREWING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PARK BREWING,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LIQUID GR,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80" w:right="0" w:hanging="0"/>
        <w:jc w:val="left"/>
        <w:rPr>
          <w:rFonts w:ascii="Times New Roman" w:hAnsi="Times New Roman"/>
          <w:b/>
          <w:caps w:val="false"/>
          <w:smallCaps w:val="false"/>
          <w:sz w:val="20"/>
        </w:rPr>
      </w:pPr>
      <w:r>
        <w:rPr>
          <w:rFonts w:ascii="Times New Roman" w:hAnsi="Times New Roman"/>
          <w:b/>
          <w:caps w:val="false"/>
          <w:smallCaps w:val="false"/>
          <w:sz w:val="20"/>
        </w:rPr>
        <w:t>DETROIT RIVERTOWN BREWING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Name: Carl Merton</w:t>
      </w:r>
    </w:p>
    <w:p>
      <w:pPr>
        <w:pStyle w:val="TextBody"/>
        <w:bidi w:val="0"/>
        <w:spacing w:before="0" w:after="0"/>
        <w:ind w:left="478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ADMINISTRATIVE AGENT</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BANK OF AMERICA, N.A.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Name: Erik M. Truette</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b/>
          <w:caps w:val="false"/>
          <w:smallCaps w:val="false"/>
          <w:sz w:val="20"/>
        </w:rPr>
        <w:t>LENDERS:</w:t>
      </w:r>
      <w:r>
        <w:rPr>
          <w:rFonts w:ascii="Times New Roman" w:hAnsi="Times New Roman"/>
          <w:caps w:val="false"/>
          <w:smallCaps w:val="false"/>
          <w:sz w:val="20"/>
        </w:rPr>
        <w:t>         </w:t>
      </w:r>
      <w:r>
        <w:rPr>
          <w:rFonts w:ascii="Times New Roman" w:hAnsi="Times New Roman"/>
          <w:b/>
          <w:caps w:val="false"/>
          <w:smallCaps w:val="false"/>
          <w:sz w:val="20"/>
        </w:rPr>
        <w:t>BANK OF AMERICA,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20" w:right="0" w:hanging="0"/>
        <w:jc w:val="left"/>
        <w:rPr>
          <w:rFonts w:ascii="Times New Roman" w:hAnsi="Times New Roman"/>
          <w:b/>
          <w:caps w:val="false"/>
          <w:smallCaps w:val="false"/>
          <w:sz w:val="20"/>
        </w:rPr>
      </w:pPr>
      <w:r>
        <w:rPr>
          <w:rFonts w:ascii="Times New Roman" w:hAnsi="Times New Roman"/>
          <w:b/>
          <w:caps w:val="false"/>
          <w:smallCaps w:val="false"/>
          <w:sz w:val="20"/>
        </w:rPr>
        <w:t>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20" w:right="0" w:hanging="0"/>
        <w:jc w:val="left"/>
        <w:rPr>
          <w:rFonts w:ascii="Times New Roman" w:hAnsi="Times New Roman"/>
          <w:caps w:val="false"/>
          <w:smallCaps w:val="false"/>
          <w:sz w:val="20"/>
        </w:rPr>
      </w:pPr>
      <w:r>
        <w:rPr>
          <w:rFonts w:ascii="Times New Roman" w:hAnsi="Times New Roman"/>
          <w:caps w:val="false"/>
          <w:smallCaps w:val="false"/>
          <w:sz w:val="20"/>
        </w:rPr>
        <w:t>Name: Gary Forlenza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2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80" w:right="0" w:hanging="0"/>
        <w:jc w:val="left"/>
        <w:rPr>
          <w:rFonts w:ascii="Times New Roman" w:hAnsi="Times New Roman"/>
          <w:b/>
          <w:caps w:val="false"/>
          <w:smallCaps w:val="false"/>
          <w:sz w:val="20"/>
        </w:rPr>
      </w:pPr>
      <w:r>
        <w:rPr>
          <w:rFonts w:ascii="Times New Roman" w:hAnsi="Times New Roman"/>
          <w:b/>
          <w:caps w:val="false"/>
          <w:smallCaps w:val="false"/>
          <w:sz w:val="20"/>
        </w:rPr>
        <w:t>PINNACLE BANK, A TENNESSEE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80" w:right="0" w:hanging="0"/>
        <w:jc w:val="left"/>
        <w:rPr>
          <w:rFonts w:ascii="Times New Roman" w:hAnsi="Times New Roman"/>
          <w:caps w:val="false"/>
          <w:smallCaps w:val="false"/>
          <w:sz w:val="20"/>
        </w:rPr>
      </w:pPr>
      <w:r>
        <w:rPr>
          <w:rFonts w:ascii="Times New Roman" w:hAnsi="Times New Roman"/>
          <w:caps w:val="false"/>
          <w:smallCaps w:val="false"/>
          <w:sz w:val="20"/>
        </w:rPr>
        <w:t>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92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extBody"/>
        <w:bidi w:val="0"/>
        <w:spacing w:before="0" w:after="0"/>
        <w:ind w:left="4980" w:right="0" w:hanging="0"/>
        <w:jc w:val="left"/>
        <w:rPr>
          <w:rFonts w:ascii="Times New Roman" w:hAnsi="Times New Roman"/>
          <w:caps w:val="false"/>
          <w:smallCaps w:val="false"/>
          <w:sz w:val="20"/>
        </w:rPr>
      </w:pPr>
      <w:r>
        <w:rPr>
          <w:rFonts w:ascii="Times New Roman" w:hAnsi="Times New Roman"/>
          <w:caps w:val="false"/>
          <w:smallCaps w:val="false"/>
          <w:sz w:val="20"/>
        </w:rPr>
        <w:t>Name: Marcus William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8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40" w:right="0" w:hanging="0"/>
        <w:jc w:val="left"/>
        <w:rPr>
          <w:rFonts w:ascii="Times New Roman" w:hAnsi="Times New Roman"/>
          <w:b/>
          <w:caps w:val="false"/>
          <w:smallCaps w:val="false"/>
          <w:sz w:val="20"/>
        </w:rPr>
      </w:pPr>
      <w:r>
        <w:rPr>
          <w:rFonts w:ascii="Times New Roman" w:hAnsi="Times New Roman"/>
          <w:b/>
          <w:caps w:val="false"/>
          <w:smallCaps w:val="false"/>
          <w:sz w:val="20"/>
        </w:rPr>
        <w:t>CITY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40" w:right="0" w:hanging="0"/>
        <w:jc w:val="left"/>
        <w:rPr>
          <w:rFonts w:ascii="Times New Roman" w:hAnsi="Times New Roman"/>
          <w:caps w:val="false"/>
          <w:smallCaps w:val="false"/>
          <w:sz w:val="20"/>
        </w:rPr>
      </w:pPr>
      <w:r>
        <w:rPr>
          <w:rFonts w:ascii="Times New Roman" w:hAnsi="Times New Roman"/>
          <w:caps w:val="false"/>
          <w:smallCaps w:val="false"/>
          <w:sz w:val="20"/>
        </w:rPr>
        <w:t>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40" w:right="0" w:firstLine="20"/>
        <w:jc w:val="left"/>
        <w:rPr>
          <w:rFonts w:ascii="Times New Roman" w:hAnsi="Times New Roman"/>
          <w:caps w:val="false"/>
          <w:smallCaps w:val="false"/>
          <w:sz w:val="20"/>
        </w:rPr>
      </w:pPr>
      <w:r>
        <w:rPr>
          <w:rFonts w:ascii="Times New Roman" w:hAnsi="Times New Roman"/>
          <w:caps w:val="false"/>
          <w:smallCaps w:val="false"/>
          <w:sz w:val="20"/>
        </w:rPr>
        <w:t>By: Jateen Chauhan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4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b/>
          <w:caps w:val="false"/>
          <w:smallCaps w:val="false"/>
          <w:sz w:val="20"/>
        </w:rPr>
        <w:t>THE TORONTO-DOMINION BANK, NEW YORK BRANCH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w:t>
      </w:r>
      <w:r>
        <w:rPr>
          <w:rFonts w:ascii="Times New Roman" w:hAnsi="Times New Roman"/>
          <w:caps w:val="false"/>
          <w:smallCaps w:val="false"/>
          <w:sz w:val="20"/>
        </w:rPr>
        <w:t xml:space="preserve"> Name: Victoria Roberts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0" w:right="0" w:firstLine="1780"/>
        <w:jc w:val="left"/>
        <w:rPr>
          <w:rFonts w:ascii="Times New Roman" w:hAnsi="Times New Roman"/>
          <w:caps w:val="false"/>
          <w:smallCaps w:val="false"/>
          <w:sz w:val="20"/>
        </w:rPr>
      </w:pPr>
      <w:r>
        <w:rPr>
          <w:rFonts w:ascii="Times New Roman" w:hAnsi="Times New Roman"/>
          <w:caps w:val="false"/>
          <w:smallCaps w:val="false"/>
          <w:sz w:val="20"/>
        </w:rPr>
        <w:t>SIXTH AMENDMENT AMERICAN BEVERAGE CRAFTS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SCHEDULE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Amendment to Revolving Commitments and Applicable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3935"/>
        <w:gridCol w:w="2045"/>
        <w:gridCol w:w="3530"/>
      </w:tblGrid>
      <w:tr>
        <w:trPr/>
        <w:tc>
          <w:tcPr>
            <w:tcW w:w="393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Lender</w:t>
            </w:r>
          </w:p>
        </w:tc>
        <w:tc>
          <w:tcPr>
            <w:tcW w:w="204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Revolving Commitment</w:t>
            </w:r>
          </w:p>
        </w:tc>
        <w:tc>
          <w:tcPr>
            <w:tcW w:w="3530" w:type="dxa"/>
            <w:tcBorders>
              <w:bottom w:val="single" w:sz="2" w:space="0" w:color="000000"/>
            </w:tcBorders>
            <w:vAlign w:val="center"/>
          </w:tcPr>
          <w:p>
            <w:pPr>
              <w:pStyle w:val="TableContents"/>
              <w:bidi w:val="0"/>
              <w:spacing w:before="0" w:after="0"/>
              <w:ind w:left="340" w:right="0" w:hanging="180"/>
              <w:jc w:val="left"/>
              <w:rPr>
                <w:rFonts w:ascii="Times New Roman" w:hAnsi="Times New Roman"/>
                <w:b/>
                <w:caps w:val="false"/>
                <w:smallCaps w:val="false"/>
                <w:sz w:val="20"/>
              </w:rPr>
            </w:pPr>
            <w:r>
              <w:rPr>
                <w:rFonts w:ascii="Times New Roman" w:hAnsi="Times New Roman"/>
                <w:b/>
                <w:caps w:val="false"/>
                <w:smallCaps w:val="false"/>
                <w:sz w:val="20"/>
              </w:rPr>
              <w:t>Applicable Percentage (Revolving Loans)</w:t>
            </w:r>
          </w:p>
        </w:tc>
      </w:tr>
      <w:tr>
        <w:trPr/>
        <w:tc>
          <w:tcPr>
            <w:tcW w:w="393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Bank of America, N.A.</w:t>
            </w:r>
          </w:p>
        </w:tc>
        <w:tc>
          <w:tcPr>
            <w:tcW w:w="204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$7,500,000</w:t>
            </w:r>
          </w:p>
        </w:tc>
        <w:tc>
          <w:tcPr>
            <w:tcW w:w="35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50.00000000%</w:t>
            </w:r>
          </w:p>
        </w:tc>
      </w:tr>
      <w:tr>
        <w:trPr/>
        <w:tc>
          <w:tcPr>
            <w:tcW w:w="393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City National Bank</w:t>
            </w:r>
          </w:p>
        </w:tc>
        <w:tc>
          <w:tcPr>
            <w:tcW w:w="204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$3,750,000</w:t>
            </w:r>
          </w:p>
        </w:tc>
        <w:tc>
          <w:tcPr>
            <w:tcW w:w="35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25.00000000%</w:t>
            </w:r>
          </w:p>
        </w:tc>
      </w:tr>
      <w:tr>
        <w:trPr/>
        <w:tc>
          <w:tcPr>
            <w:tcW w:w="393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Pinnacle Bank</w:t>
            </w:r>
          </w:p>
        </w:tc>
        <w:tc>
          <w:tcPr>
            <w:tcW w:w="204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$1,875,000</w:t>
            </w:r>
          </w:p>
        </w:tc>
        <w:tc>
          <w:tcPr>
            <w:tcW w:w="35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12.50000000%</w:t>
            </w:r>
          </w:p>
        </w:tc>
      </w:tr>
      <w:tr>
        <w:trPr/>
        <w:tc>
          <w:tcPr>
            <w:tcW w:w="393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The Toronto-Dominion Bank, New York Branch</w:t>
            </w:r>
          </w:p>
        </w:tc>
        <w:tc>
          <w:tcPr>
            <w:tcW w:w="204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$1,875,000</w:t>
            </w:r>
          </w:p>
        </w:tc>
        <w:tc>
          <w:tcPr>
            <w:tcW w:w="35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12.50000000%</w:t>
            </w:r>
          </w:p>
        </w:tc>
      </w:tr>
      <w:tr>
        <w:trPr/>
        <w:tc>
          <w:tcPr>
            <w:tcW w:w="3935" w:type="dxa"/>
            <w:tcBorders>
              <w:bottom w:val="single" w:sz="2" w:space="0" w:color="000000"/>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Total:</w:t>
            </w:r>
          </w:p>
        </w:tc>
        <w:tc>
          <w:tcPr>
            <w:tcW w:w="204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$15,000,000</w:t>
            </w:r>
          </w:p>
        </w:tc>
        <w:tc>
          <w:tcPr>
            <w:tcW w:w="35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Conformed Credit Agreement through the Sixth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160" w:right="0" w:hanging="20"/>
        <w:jc w:val="right"/>
        <w:rPr>
          <w:rFonts w:ascii="Times New Roman" w:hAnsi="Times New Roman"/>
          <w:caps w:val="false"/>
          <w:smallCaps w:val="false"/>
          <w:sz w:val="20"/>
        </w:rPr>
      </w:pPr>
      <w:r>
        <w:rPr>
          <w:rFonts w:ascii="Times New Roman" w:hAnsi="Times New Roman"/>
          <w:caps w:val="false"/>
          <w:smallCaps w:val="false"/>
          <w:sz w:val="20"/>
        </w:rPr>
        <w:t>Published CUSIP Number: 35104QAA1 Revolving Facility CUSIP: 35104QAB9 Term Facility CUSIP: 35104QAC7</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Delayed Draw Term Loan Facility CUSIP: 35104QAD5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40" w:right="0" w:hanging="0"/>
        <w:jc w:val="center"/>
        <w:rPr>
          <w:rFonts w:ascii="Times New Roman" w:hAnsi="Times New Roman"/>
          <w:caps w:val="false"/>
          <w:smallCaps w:val="false"/>
          <w:sz w:val="20"/>
        </w:rPr>
      </w:pPr>
      <w:r>
        <w:rPr>
          <w:rFonts w:ascii="Times New Roman" w:hAnsi="Times New Roman"/>
          <w:caps w:val="false"/>
          <w:smallCaps w:val="false"/>
          <w:sz w:val="20"/>
        </w:rPr>
        <w:t>dated as of June 30, 2023 among</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FOUR TWENTY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0" w:right="0" w:hanging="0"/>
        <w:jc w:val="center"/>
        <w:rPr>
          <w:rFonts w:ascii="Times New Roman" w:hAnsi="Times New Roman"/>
          <w:caps w:val="false"/>
          <w:smallCaps w:val="false"/>
          <w:sz w:val="20"/>
        </w:rPr>
      </w:pPr>
      <w:r>
        <w:rPr>
          <w:rFonts w:ascii="Times New Roman" w:hAnsi="Times New Roman"/>
          <w:caps w:val="false"/>
          <w:smallCaps w:val="false"/>
          <w:sz w:val="20"/>
        </w:rPr>
        <w:t>as the Borrower, and</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CERTAIN SUBSIDIARIES AND AFFILIATES OF THE BORROWER PARTY HERETO,</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as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BANK OF AMERICA, N.A.,</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as Administrative Agent,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CITY NATIONAL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40" w:right="0" w:hanging="0"/>
        <w:jc w:val="center"/>
        <w:rPr>
          <w:rFonts w:ascii="Times New Roman" w:hAnsi="Times New Roman"/>
          <w:caps w:val="false"/>
          <w:smallCaps w:val="false"/>
          <w:sz w:val="20"/>
        </w:rPr>
      </w:pPr>
      <w:r>
        <w:rPr>
          <w:rFonts w:ascii="Times New Roman" w:hAnsi="Times New Roman"/>
          <w:caps w:val="false"/>
          <w:smallCaps w:val="false"/>
          <w:sz w:val="20"/>
        </w:rPr>
        <w:t>as Documentation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BOFA SECURITIES, INC.,</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as Sole Lead Arranger and Sole Bookrunner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25"/>
        <w:gridCol w:w="395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3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DEFINITIONS AND ACCOUNTING TERMS</w:t>
            </w:r>
            <w:r>
              <w:rPr>
                <w:rFonts w:ascii="Times New Roman" w:hAnsi="Times New Roman"/>
                <w:caps w:val="false"/>
                <w:smallCaps w:val="false"/>
                <w:sz w:val="20"/>
              </w:rPr>
              <w:t>5</w:t>
            </w:r>
          </w:p>
        </w:tc>
      </w:tr>
    </w:tbl>
    <w:tbl>
      <w:tblPr>
        <w:tblW w:w="1810" w:type="dxa"/>
        <w:jc w:val="left"/>
        <w:tblInd w:w="0" w:type="dxa"/>
        <w:tblLayout w:type="fixed"/>
        <w:tblCellMar>
          <w:top w:w="0" w:type="dxa"/>
          <w:left w:w="0" w:type="dxa"/>
          <w:bottom w:w="0" w:type="dxa"/>
          <w:right w:w="0" w:type="dxa"/>
        </w:tblCellMar>
      </w:tblPr>
      <w:tblGrid>
        <w:gridCol w:w="60"/>
        <w:gridCol w:w="380"/>
        <w:gridCol w:w="13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Defined Terms</w:t>
            </w:r>
            <w:r>
              <w:rPr>
                <w:rFonts w:ascii="Times New Roman" w:hAnsi="Times New Roman"/>
                <w:caps w:val="false"/>
                <w:smallCaps w:val="false"/>
                <w:sz w:val="20"/>
              </w:rPr>
              <w:t>5</w:t>
            </w:r>
          </w:p>
        </w:tc>
      </w:tr>
    </w:tbl>
    <w:tbl>
      <w:tblPr>
        <w:tblW w:w="3175" w:type="dxa"/>
        <w:jc w:val="left"/>
        <w:tblInd w:w="0" w:type="dxa"/>
        <w:tblLayout w:type="fixed"/>
        <w:tblCellMar>
          <w:top w:w="0" w:type="dxa"/>
          <w:left w:w="0" w:type="dxa"/>
          <w:bottom w:w="0" w:type="dxa"/>
          <w:right w:w="0" w:type="dxa"/>
        </w:tblCellMar>
      </w:tblPr>
      <w:tblGrid>
        <w:gridCol w:w="60"/>
        <w:gridCol w:w="380"/>
        <w:gridCol w:w="27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Other Interpretive Provisions</w:t>
            </w:r>
            <w:r>
              <w:rPr>
                <w:rFonts w:ascii="Times New Roman" w:hAnsi="Times New Roman"/>
                <w:caps w:val="false"/>
                <w:smallCaps w:val="false"/>
                <w:sz w:val="20"/>
              </w:rPr>
              <w:t>47</w:t>
            </w:r>
          </w:p>
        </w:tc>
      </w:tr>
    </w:tbl>
    <w:tbl>
      <w:tblPr>
        <w:tblW w:w="2230" w:type="dxa"/>
        <w:jc w:val="left"/>
        <w:tblInd w:w="0" w:type="dxa"/>
        <w:tblLayout w:type="fixed"/>
        <w:tblCellMar>
          <w:top w:w="0" w:type="dxa"/>
          <w:left w:w="0" w:type="dxa"/>
          <w:bottom w:w="0" w:type="dxa"/>
          <w:right w:w="0" w:type="dxa"/>
        </w:tblCellMar>
      </w:tblPr>
      <w:tblGrid>
        <w:gridCol w:w="60"/>
        <w:gridCol w:w="380"/>
        <w:gridCol w:w="17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Accounting Terms</w:t>
            </w:r>
            <w:r>
              <w:rPr>
                <w:rFonts w:ascii="Times New Roman" w:hAnsi="Times New Roman"/>
                <w:caps w:val="false"/>
                <w:smallCaps w:val="false"/>
                <w:sz w:val="20"/>
              </w:rPr>
              <w:t>48</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380"/>
        <w:gridCol w:w="10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1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Rounding</w:t>
            </w:r>
            <w:r>
              <w:rPr>
                <w:rFonts w:ascii="Times New Roman" w:hAnsi="Times New Roman"/>
                <w:caps w:val="false"/>
                <w:smallCaps w:val="false"/>
                <w:sz w:val="20"/>
              </w:rPr>
              <w:t>49</w:t>
            </w:r>
          </w:p>
        </w:tc>
      </w:tr>
    </w:tbl>
    <w:tbl>
      <w:tblPr>
        <w:tblW w:w="1795" w:type="dxa"/>
        <w:jc w:val="left"/>
        <w:tblInd w:w="0" w:type="dxa"/>
        <w:tblLayout w:type="fixed"/>
        <w:tblCellMar>
          <w:top w:w="0" w:type="dxa"/>
          <w:left w:w="0" w:type="dxa"/>
          <w:bottom w:w="0" w:type="dxa"/>
          <w:right w:w="0" w:type="dxa"/>
        </w:tblCellMar>
      </w:tblPr>
      <w:tblGrid>
        <w:gridCol w:w="60"/>
        <w:gridCol w:w="380"/>
        <w:gridCol w:w="13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w:t>
            </w:r>
          </w:p>
        </w:tc>
        <w:tc>
          <w:tcPr>
            <w:tcW w:w="1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Times of Day</w:t>
            </w:r>
            <w:r>
              <w:rPr>
                <w:rFonts w:ascii="Times New Roman" w:hAnsi="Times New Roman"/>
                <w:caps w:val="false"/>
                <w:smallCaps w:val="false"/>
                <w:sz w:val="20"/>
              </w:rPr>
              <w:t>49</w:t>
            </w:r>
          </w:p>
        </w:tc>
      </w:tr>
    </w:tbl>
    <w:tbl>
      <w:tblPr>
        <w:tblW w:w="2785" w:type="dxa"/>
        <w:jc w:val="left"/>
        <w:tblInd w:w="0" w:type="dxa"/>
        <w:tblLayout w:type="fixed"/>
        <w:tblCellMar>
          <w:top w:w="0" w:type="dxa"/>
          <w:left w:w="0" w:type="dxa"/>
          <w:bottom w:w="0" w:type="dxa"/>
          <w:right w:w="0" w:type="dxa"/>
        </w:tblCellMar>
      </w:tblPr>
      <w:tblGrid>
        <w:gridCol w:w="60"/>
        <w:gridCol w:w="380"/>
        <w:gridCol w:w="23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 of Credit Amounts</w:t>
            </w:r>
            <w:r>
              <w:rPr>
                <w:rFonts w:ascii="Times New Roman" w:hAnsi="Times New Roman"/>
                <w:caps w:val="false"/>
                <w:smallCaps w:val="false"/>
                <w:sz w:val="20"/>
              </w:rPr>
              <w:t>49</w:t>
            </w:r>
          </w:p>
        </w:tc>
      </w:tr>
    </w:tbl>
    <w:tbl>
      <w:tblPr>
        <w:tblW w:w="1675" w:type="dxa"/>
        <w:jc w:val="left"/>
        <w:tblInd w:w="0" w:type="dxa"/>
        <w:tblLayout w:type="fixed"/>
        <w:tblCellMar>
          <w:top w:w="0" w:type="dxa"/>
          <w:left w:w="0" w:type="dxa"/>
          <w:bottom w:w="0" w:type="dxa"/>
          <w:right w:w="0" w:type="dxa"/>
        </w:tblCellMar>
      </w:tblPr>
      <w:tblGrid>
        <w:gridCol w:w="60"/>
        <w:gridCol w:w="380"/>
        <w:gridCol w:w="12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1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UCC Terms</w:t>
            </w:r>
            <w:r>
              <w:rPr>
                <w:rFonts w:ascii="Times New Roman" w:hAnsi="Times New Roman"/>
                <w:caps w:val="false"/>
                <w:smallCaps w:val="false"/>
                <w:sz w:val="20"/>
              </w:rPr>
              <w:t>49</w:t>
            </w:r>
          </w:p>
        </w:tc>
      </w:tr>
    </w:tbl>
    <w:tbl>
      <w:tblPr>
        <w:tblW w:w="1135" w:type="dxa"/>
        <w:jc w:val="left"/>
        <w:tblInd w:w="0" w:type="dxa"/>
        <w:tblLayout w:type="fixed"/>
        <w:tblCellMar>
          <w:top w:w="0" w:type="dxa"/>
          <w:left w:w="0" w:type="dxa"/>
          <w:bottom w:w="0" w:type="dxa"/>
          <w:right w:w="0" w:type="dxa"/>
        </w:tblCellMar>
      </w:tblPr>
      <w:tblGrid>
        <w:gridCol w:w="60"/>
        <w:gridCol w:w="380"/>
        <w:gridCol w:w="6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Rates</w:t>
            </w:r>
            <w:r>
              <w:rPr>
                <w:rFonts w:ascii="Times New Roman" w:hAnsi="Times New Roman"/>
                <w:caps w:val="false"/>
                <w:smallCaps w:val="false"/>
                <w:sz w:val="20"/>
              </w:rPr>
              <w:t>49</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60"/>
        <w:gridCol w:w="380"/>
        <w:gridCol w:w="27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1.09</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Limited Condition Acquisition</w:t>
            </w:r>
            <w:r>
              <w:rPr>
                <w:rFonts w:ascii="Times New Roman" w:hAnsi="Times New Roman"/>
                <w:caps w:val="false"/>
                <w:smallCaps w:val="false"/>
                <w:sz w:val="20"/>
              </w:rPr>
              <w:t>49</w:t>
            </w:r>
          </w:p>
        </w:tc>
      </w:tr>
    </w:tbl>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1.10         </w:t>
      </w:r>
      <w:r>
        <w:rPr>
          <w:rFonts w:ascii="Times New Roman" w:hAnsi="Times New Roman"/>
          <w:b/>
          <w:caps w:val="false"/>
          <w:smallCaps w:val="false"/>
          <w:sz w:val="20"/>
        </w:rPr>
        <w:t>Treatment of Holdings</w:t>
      </w:r>
      <w:r>
        <w:rPr>
          <w:rFonts w:ascii="Times New Roman" w:hAnsi="Times New Roman"/>
          <w:caps w:val="false"/>
          <w:smallCaps w:val="false"/>
          <w:sz w:val="20"/>
        </w:rPr>
        <w:t>         50</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185"/>
        <w:gridCol w:w="431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COMMITMENTS AND CREDIT EXTENSIONS</w:t>
            </w:r>
            <w:r>
              <w:rPr>
                <w:rFonts w:ascii="Times New Roman" w:hAnsi="Times New Roman"/>
                <w:caps w:val="false"/>
                <w:smallCaps w:val="false"/>
                <w:sz w:val="20"/>
              </w:rPr>
              <w:t>51</w:t>
            </w:r>
          </w:p>
        </w:tc>
      </w:tr>
    </w:tbl>
    <w:tbl>
      <w:tblPr>
        <w:tblW w:w="1195" w:type="dxa"/>
        <w:jc w:val="left"/>
        <w:tblInd w:w="0" w:type="dxa"/>
        <w:tblLayout w:type="fixed"/>
        <w:tblCellMar>
          <w:top w:w="0" w:type="dxa"/>
          <w:left w:w="0" w:type="dxa"/>
          <w:bottom w:w="0" w:type="dxa"/>
          <w:right w:w="0" w:type="dxa"/>
        </w:tblCellMar>
      </w:tblPr>
      <w:tblGrid>
        <w:gridCol w:w="60"/>
        <w:gridCol w:w="380"/>
        <w:gridCol w:w="7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Loans</w:t>
            </w:r>
            <w:r>
              <w:rPr>
                <w:rFonts w:ascii="Times New Roman" w:hAnsi="Times New Roman"/>
                <w:caps w:val="false"/>
                <w:smallCaps w:val="false"/>
                <w:sz w:val="20"/>
              </w:rPr>
              <w:t>51</w:t>
            </w:r>
          </w:p>
        </w:tc>
      </w:tr>
    </w:tbl>
    <w:tbl>
      <w:tblPr>
        <w:tblW w:w="5185" w:type="dxa"/>
        <w:jc w:val="left"/>
        <w:tblInd w:w="0" w:type="dxa"/>
        <w:tblLayout w:type="fixed"/>
        <w:tblCellMar>
          <w:top w:w="0" w:type="dxa"/>
          <w:left w:w="0" w:type="dxa"/>
          <w:bottom w:w="0" w:type="dxa"/>
          <w:right w:w="0" w:type="dxa"/>
        </w:tblCellMar>
      </w:tblPr>
      <w:tblGrid>
        <w:gridCol w:w="60"/>
        <w:gridCol w:w="380"/>
        <w:gridCol w:w="47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w:t>
            </w:r>
          </w:p>
        </w:tc>
        <w:tc>
          <w:tcPr>
            <w:tcW w:w="4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Borrowings, Conversions and Continuations of Loans</w:t>
            </w:r>
            <w:r>
              <w:rPr>
                <w:rFonts w:ascii="Times New Roman" w:hAnsi="Times New Roman"/>
                <w:caps w:val="false"/>
                <w:smallCaps w:val="false"/>
                <w:sz w:val="20"/>
              </w:rPr>
              <w:t>52</w:t>
            </w:r>
          </w:p>
        </w:tc>
      </w:tr>
    </w:tbl>
    <w:tbl>
      <w:tblPr>
        <w:tblW w:w="2065" w:type="dxa"/>
        <w:jc w:val="left"/>
        <w:tblInd w:w="0" w:type="dxa"/>
        <w:tblLayout w:type="fixed"/>
        <w:tblCellMar>
          <w:top w:w="0" w:type="dxa"/>
          <w:left w:w="0" w:type="dxa"/>
          <w:bottom w:w="0" w:type="dxa"/>
          <w:right w:w="0" w:type="dxa"/>
        </w:tblCellMar>
      </w:tblPr>
      <w:tblGrid>
        <w:gridCol w:w="60"/>
        <w:gridCol w:w="380"/>
        <w:gridCol w:w="16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Letters of Credit</w:t>
            </w:r>
            <w:r>
              <w:rPr>
                <w:rFonts w:ascii="Times New Roman" w:hAnsi="Times New Roman"/>
                <w:caps w:val="false"/>
                <w:smallCaps w:val="false"/>
                <w:sz w:val="20"/>
              </w:rPr>
              <w:t>53</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380"/>
        <w:gridCol w:w="16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2.04</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Swingline Loans</w:t>
            </w:r>
            <w:r>
              <w:rPr>
                <w:rFonts w:ascii="Times New Roman" w:hAnsi="Times New Roman"/>
                <w:caps w:val="false"/>
                <w:smallCaps w:val="false"/>
                <w:sz w:val="20"/>
              </w:rPr>
              <w:t>62</w:t>
            </w:r>
          </w:p>
        </w:tc>
      </w:tr>
    </w:tbl>
    <w:tbl>
      <w:tblPr>
        <w:tblW w:w="1780" w:type="dxa"/>
        <w:jc w:val="left"/>
        <w:tblInd w:w="0" w:type="dxa"/>
        <w:tblLayout w:type="fixed"/>
        <w:tblCellMar>
          <w:top w:w="0" w:type="dxa"/>
          <w:left w:w="0" w:type="dxa"/>
          <w:bottom w:w="0" w:type="dxa"/>
          <w:right w:w="0" w:type="dxa"/>
        </w:tblCellMar>
      </w:tblPr>
      <w:tblGrid>
        <w:gridCol w:w="60"/>
        <w:gridCol w:w="380"/>
        <w:gridCol w:w="13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2.05</w:t>
            </w:r>
          </w:p>
        </w:tc>
        <w:tc>
          <w:tcPr>
            <w:tcW w:w="1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Prepayments</w:t>
            </w:r>
            <w:r>
              <w:rPr>
                <w:rFonts w:ascii="Times New Roman" w:hAnsi="Times New Roman"/>
                <w:caps w:val="false"/>
                <w:smallCaps w:val="false"/>
                <w:sz w:val="20"/>
              </w:rPr>
              <w:t>64</w:t>
            </w:r>
          </w:p>
        </w:tc>
      </w:tr>
    </w:tbl>
    <w:tbl>
      <w:tblPr>
        <w:tblW w:w="4330" w:type="dxa"/>
        <w:jc w:val="left"/>
        <w:tblInd w:w="0" w:type="dxa"/>
        <w:tblLayout w:type="fixed"/>
        <w:tblCellMar>
          <w:top w:w="0" w:type="dxa"/>
          <w:left w:w="0" w:type="dxa"/>
          <w:bottom w:w="0" w:type="dxa"/>
          <w:right w:w="0" w:type="dxa"/>
        </w:tblCellMar>
      </w:tblPr>
      <w:tblGrid>
        <w:gridCol w:w="60"/>
        <w:gridCol w:w="380"/>
        <w:gridCol w:w="38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2.06</w:t>
            </w:r>
          </w:p>
        </w:tc>
        <w:tc>
          <w:tcPr>
            <w:tcW w:w="3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Termination or Reduction of Commitments</w:t>
            </w:r>
            <w:r>
              <w:rPr>
                <w:rFonts w:ascii="Times New Roman" w:hAnsi="Times New Roman"/>
                <w:caps w:val="false"/>
                <w:smallCaps w:val="false"/>
                <w:sz w:val="20"/>
              </w:rPr>
              <w:t>67</w:t>
            </w:r>
          </w:p>
        </w:tc>
      </w:tr>
    </w:tbl>
    <w:tbl>
      <w:tblPr>
        <w:tblW w:w="2410" w:type="dxa"/>
        <w:jc w:val="left"/>
        <w:tblInd w:w="0" w:type="dxa"/>
        <w:tblLayout w:type="fixed"/>
        <w:tblCellMar>
          <w:top w:w="0" w:type="dxa"/>
          <w:left w:w="0" w:type="dxa"/>
          <w:bottom w:w="0" w:type="dxa"/>
          <w:right w:w="0" w:type="dxa"/>
        </w:tblCellMar>
      </w:tblPr>
      <w:tblGrid>
        <w:gridCol w:w="60"/>
        <w:gridCol w:w="380"/>
        <w:gridCol w:w="19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2.07</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Repayment of Loans</w:t>
            </w:r>
            <w:r>
              <w:rPr>
                <w:rFonts w:ascii="Times New Roman" w:hAnsi="Times New Roman"/>
                <w:caps w:val="false"/>
                <w:smallCaps w:val="false"/>
                <w:sz w:val="20"/>
              </w:rPr>
              <w:t>68</w:t>
            </w:r>
          </w:p>
        </w:tc>
      </w:tr>
    </w:tbl>
    <w:tbl>
      <w:tblPr>
        <w:tblW w:w="2770" w:type="dxa"/>
        <w:jc w:val="left"/>
        <w:tblInd w:w="0" w:type="dxa"/>
        <w:tblLayout w:type="fixed"/>
        <w:tblCellMar>
          <w:top w:w="0" w:type="dxa"/>
          <w:left w:w="0" w:type="dxa"/>
          <w:bottom w:w="0" w:type="dxa"/>
          <w:right w:w="0" w:type="dxa"/>
        </w:tblCellMar>
      </w:tblPr>
      <w:tblGrid>
        <w:gridCol w:w="60"/>
        <w:gridCol w:w="380"/>
        <w:gridCol w:w="23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2.08</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and Default Rate</w:t>
            </w:r>
            <w:r>
              <w:rPr>
                <w:rFonts w:ascii="Times New Roman" w:hAnsi="Times New Roman"/>
                <w:caps w:val="false"/>
                <w:smallCaps w:val="false"/>
                <w:sz w:val="20"/>
              </w:rPr>
              <w:t>69</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60"/>
        <w:gridCol w:w="380"/>
        <w:gridCol w:w="6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2.09</w:t>
            </w:r>
          </w:p>
        </w:tc>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Fees</w:t>
            </w:r>
            <w:r>
              <w:rPr>
                <w:rFonts w:ascii="Times New Roman" w:hAnsi="Times New Roman"/>
                <w:caps w:val="false"/>
                <w:smallCaps w:val="false"/>
                <w:sz w:val="20"/>
              </w:rPr>
              <w:t>70</w:t>
            </w:r>
          </w:p>
        </w:tc>
      </w:tr>
    </w:tbl>
    <w:tbl>
      <w:tblPr>
        <w:tblW w:w="7240" w:type="dxa"/>
        <w:jc w:val="left"/>
        <w:tblInd w:w="0" w:type="dxa"/>
        <w:tblLayout w:type="fixed"/>
        <w:tblCellMar>
          <w:top w:w="0" w:type="dxa"/>
          <w:left w:w="0" w:type="dxa"/>
          <w:bottom w:w="0" w:type="dxa"/>
          <w:right w:w="0" w:type="dxa"/>
        </w:tblCellMar>
      </w:tblPr>
      <w:tblGrid>
        <w:gridCol w:w="60"/>
        <w:gridCol w:w="380"/>
        <w:gridCol w:w="68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2.10</w:t>
            </w:r>
          </w:p>
        </w:tc>
        <w:tc>
          <w:tcPr>
            <w:tcW w:w="6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Computation of Interest and Fees; Retroactive Adjustments of Applicable Rate</w:t>
            </w:r>
            <w:r>
              <w:rPr>
                <w:rFonts w:ascii="Times New Roman" w:hAnsi="Times New Roman"/>
                <w:caps w:val="false"/>
                <w:smallCaps w:val="false"/>
                <w:sz w:val="20"/>
              </w:rPr>
              <w:t>71</w:t>
            </w:r>
          </w:p>
        </w:tc>
      </w:tr>
    </w:tbl>
    <w:tbl>
      <w:tblPr>
        <w:tblW w:w="2095" w:type="dxa"/>
        <w:jc w:val="left"/>
        <w:tblInd w:w="0" w:type="dxa"/>
        <w:tblLayout w:type="fixed"/>
        <w:tblCellMar>
          <w:top w:w="0" w:type="dxa"/>
          <w:left w:w="0" w:type="dxa"/>
          <w:bottom w:w="0" w:type="dxa"/>
          <w:right w:w="0" w:type="dxa"/>
        </w:tblCellMar>
      </w:tblPr>
      <w:tblGrid>
        <w:gridCol w:w="60"/>
        <w:gridCol w:w="380"/>
        <w:gridCol w:w="16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Evidence of Debt</w:t>
            </w:r>
            <w:r>
              <w:rPr>
                <w:rFonts w:ascii="Times New Roman" w:hAnsi="Times New Roman"/>
                <w:caps w:val="false"/>
                <w:smallCaps w:val="false"/>
                <w:sz w:val="20"/>
              </w:rPr>
              <w:t>71</w:t>
            </w:r>
          </w:p>
        </w:tc>
      </w:tr>
    </w:tbl>
    <w:tbl>
      <w:tblPr>
        <w:tblW w:w="5335" w:type="dxa"/>
        <w:jc w:val="left"/>
        <w:tblInd w:w="0" w:type="dxa"/>
        <w:tblLayout w:type="fixed"/>
        <w:tblCellMar>
          <w:top w:w="0" w:type="dxa"/>
          <w:left w:w="0" w:type="dxa"/>
          <w:bottom w:w="0" w:type="dxa"/>
          <w:right w:w="0" w:type="dxa"/>
        </w:tblCellMar>
      </w:tblPr>
      <w:tblGrid>
        <w:gridCol w:w="60"/>
        <w:gridCol w:w="380"/>
        <w:gridCol w:w="48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2.12</w:t>
            </w:r>
          </w:p>
        </w:tc>
        <w:tc>
          <w:tcPr>
            <w:tcW w:w="4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Generally; Administrative Agent</w:t>
            </w:r>
            <w:r>
              <w:rPr>
                <w:rFonts w:ascii="Times New Roman" w:hAnsi="Times New Roman"/>
                <w:caps w:val="false"/>
                <w:smallCaps w:val="false"/>
                <w:sz w:val="20"/>
              </w:rPr>
              <w:t>’</w:t>
            </w:r>
            <w:r>
              <w:rPr>
                <w:rFonts w:ascii="Times New Roman" w:hAnsi="Times New Roman"/>
                <w:b/>
                <w:caps w:val="false"/>
                <w:smallCaps w:val="false"/>
                <w:sz w:val="20"/>
              </w:rPr>
              <w:t>s Clawback</w:t>
            </w:r>
            <w:r>
              <w:rPr>
                <w:rFonts w:ascii="Times New Roman" w:hAnsi="Times New Roman"/>
                <w:caps w:val="false"/>
                <w:smallCaps w:val="false"/>
                <w:sz w:val="20"/>
              </w:rPr>
              <w:t>72</w:t>
            </w:r>
          </w:p>
        </w:tc>
      </w:tr>
    </w:tbl>
    <w:tbl>
      <w:tblPr>
        <w:tblW w:w="3415" w:type="dxa"/>
        <w:jc w:val="left"/>
        <w:tblInd w:w="0" w:type="dxa"/>
        <w:tblLayout w:type="fixed"/>
        <w:tblCellMar>
          <w:top w:w="0" w:type="dxa"/>
          <w:left w:w="0" w:type="dxa"/>
          <w:bottom w:w="0" w:type="dxa"/>
          <w:right w:w="0" w:type="dxa"/>
        </w:tblCellMar>
      </w:tblPr>
      <w:tblGrid>
        <w:gridCol w:w="60"/>
        <w:gridCol w:w="380"/>
        <w:gridCol w:w="29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2.13</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Sharing of Payments by Lenders</w:t>
            </w:r>
            <w:r>
              <w:rPr>
                <w:rFonts w:ascii="Times New Roman" w:hAnsi="Times New Roman"/>
                <w:caps w:val="false"/>
                <w:smallCaps w:val="false"/>
                <w:sz w:val="20"/>
              </w:rPr>
              <w:t>74</w:t>
            </w:r>
          </w:p>
        </w:tc>
      </w:tr>
    </w:tbl>
    <w:tbl>
      <w:tblPr>
        <w:tblW w:w="2005" w:type="dxa"/>
        <w:jc w:val="left"/>
        <w:tblInd w:w="0" w:type="dxa"/>
        <w:tblLayout w:type="fixed"/>
        <w:tblCellMar>
          <w:top w:w="0" w:type="dxa"/>
          <w:left w:w="0" w:type="dxa"/>
          <w:bottom w:w="0" w:type="dxa"/>
          <w:right w:w="0" w:type="dxa"/>
        </w:tblCellMar>
      </w:tblPr>
      <w:tblGrid>
        <w:gridCol w:w="60"/>
        <w:gridCol w:w="380"/>
        <w:gridCol w:w="15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2.14</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Collateral</w:t>
            </w:r>
            <w:r>
              <w:rPr>
                <w:rFonts w:ascii="Times New Roman" w:hAnsi="Times New Roman"/>
                <w:caps w:val="false"/>
                <w:smallCaps w:val="false"/>
                <w:sz w:val="20"/>
              </w:rPr>
              <w:t>75</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380"/>
        <w:gridCol w:w="18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2.15</w:t>
            </w:r>
          </w:p>
        </w:tc>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Lenders</w:t>
            </w:r>
            <w:r>
              <w:rPr>
                <w:rFonts w:ascii="Times New Roman" w:hAnsi="Times New Roman"/>
                <w:caps w:val="false"/>
                <w:smallCaps w:val="false"/>
                <w:sz w:val="20"/>
              </w:rPr>
              <w:t>76</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60"/>
        <w:gridCol w:w="245"/>
        <w:gridCol w:w="46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4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 YIELD PROTECTION AND ILLEGALITY</w:t>
            </w:r>
            <w:r>
              <w:rPr>
                <w:rFonts w:ascii="Times New Roman" w:hAnsi="Times New Roman"/>
                <w:caps w:val="false"/>
                <w:smallCaps w:val="false"/>
                <w:sz w:val="20"/>
              </w:rPr>
              <w:t>78</w:t>
            </w:r>
          </w:p>
        </w:tc>
      </w:tr>
    </w:tbl>
    <w:tbl>
      <w:tblPr>
        <w:tblW w:w="1180" w:type="dxa"/>
        <w:jc w:val="left"/>
        <w:tblInd w:w="0" w:type="dxa"/>
        <w:tblLayout w:type="fixed"/>
        <w:tblCellMar>
          <w:top w:w="0" w:type="dxa"/>
          <w:left w:w="0" w:type="dxa"/>
          <w:bottom w:w="0" w:type="dxa"/>
          <w:right w:w="0" w:type="dxa"/>
        </w:tblCellMar>
      </w:tblPr>
      <w:tblGrid>
        <w:gridCol w:w="60"/>
        <w:gridCol w:w="380"/>
        <w:gridCol w:w="7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3.01</w:t>
            </w:r>
          </w:p>
        </w:tc>
        <w:tc>
          <w:tcPr>
            <w:tcW w:w="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78</w:t>
            </w:r>
          </w:p>
        </w:tc>
      </w:tr>
    </w:tbl>
    <w:tbl>
      <w:tblPr>
        <w:tblW w:w="1450" w:type="dxa"/>
        <w:jc w:val="left"/>
        <w:tblInd w:w="0" w:type="dxa"/>
        <w:tblLayout w:type="fixed"/>
        <w:tblCellMar>
          <w:top w:w="0" w:type="dxa"/>
          <w:left w:w="0" w:type="dxa"/>
          <w:bottom w:w="0" w:type="dxa"/>
          <w:right w:w="0" w:type="dxa"/>
        </w:tblCellMar>
      </w:tblPr>
      <w:tblGrid>
        <w:gridCol w:w="60"/>
        <w:gridCol w:w="380"/>
        <w:gridCol w:w="10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3.02</w:t>
            </w:r>
          </w:p>
        </w:tc>
        <w:tc>
          <w:tcPr>
            <w:tcW w:w="1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Illegality</w:t>
            </w:r>
            <w:r>
              <w:rPr>
                <w:rFonts w:ascii="Times New Roman" w:hAnsi="Times New Roman"/>
                <w:caps w:val="false"/>
                <w:smallCaps w:val="false"/>
                <w:sz w:val="20"/>
              </w:rPr>
              <w:t>82</w:t>
            </w:r>
          </w:p>
        </w:tc>
      </w:tr>
    </w:tbl>
    <w:tbl>
      <w:tblPr>
        <w:tblW w:w="3055" w:type="dxa"/>
        <w:jc w:val="left"/>
        <w:tblInd w:w="0" w:type="dxa"/>
        <w:tblLayout w:type="fixed"/>
        <w:tblCellMar>
          <w:top w:w="0" w:type="dxa"/>
          <w:left w:w="0" w:type="dxa"/>
          <w:bottom w:w="0" w:type="dxa"/>
          <w:right w:w="0" w:type="dxa"/>
        </w:tblCellMar>
      </w:tblPr>
      <w:tblGrid>
        <w:gridCol w:w="60"/>
        <w:gridCol w:w="380"/>
        <w:gridCol w:w="26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3.03</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Inability to Determine Rates</w:t>
            </w:r>
            <w:r>
              <w:rPr>
                <w:rFonts w:ascii="Times New Roman" w:hAnsi="Times New Roman"/>
                <w:caps w:val="false"/>
                <w:smallCaps w:val="false"/>
                <w:sz w:val="20"/>
              </w:rPr>
              <w:t>82</w:t>
            </w:r>
          </w:p>
        </w:tc>
      </w:tr>
    </w:tbl>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380"/>
        <w:gridCol w:w="15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3.04</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Increased Costs</w:t>
            </w:r>
            <w:r>
              <w:rPr>
                <w:rFonts w:ascii="Times New Roman" w:hAnsi="Times New Roman"/>
                <w:caps w:val="false"/>
                <w:smallCaps w:val="false"/>
                <w:sz w:val="20"/>
              </w:rPr>
              <w:t>84</w:t>
            </w:r>
          </w:p>
        </w:tc>
      </w:tr>
    </w:tbl>
    <w:tbl>
      <w:tblPr>
        <w:tblW w:w="2785" w:type="dxa"/>
        <w:jc w:val="left"/>
        <w:tblInd w:w="0" w:type="dxa"/>
        <w:tblLayout w:type="fixed"/>
        <w:tblCellMar>
          <w:top w:w="0" w:type="dxa"/>
          <w:left w:w="0" w:type="dxa"/>
          <w:bottom w:w="0" w:type="dxa"/>
          <w:right w:w="0" w:type="dxa"/>
        </w:tblCellMar>
      </w:tblPr>
      <w:tblGrid>
        <w:gridCol w:w="60"/>
        <w:gridCol w:w="380"/>
        <w:gridCol w:w="23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3.05</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Compensation for Losses</w:t>
            </w:r>
            <w:r>
              <w:rPr>
                <w:rFonts w:ascii="Times New Roman" w:hAnsi="Times New Roman"/>
                <w:caps w:val="false"/>
                <w:smallCaps w:val="false"/>
                <w:sz w:val="20"/>
              </w:rPr>
              <w:t>86</w:t>
            </w:r>
          </w:p>
        </w:tc>
      </w:tr>
    </w:tbl>
    <w:tbl>
      <w:tblPr>
        <w:tblW w:w="4750" w:type="dxa"/>
        <w:jc w:val="left"/>
        <w:tblInd w:w="0" w:type="dxa"/>
        <w:tblLayout w:type="fixed"/>
        <w:tblCellMar>
          <w:top w:w="0" w:type="dxa"/>
          <w:left w:w="0" w:type="dxa"/>
          <w:bottom w:w="0" w:type="dxa"/>
          <w:right w:w="0" w:type="dxa"/>
        </w:tblCellMar>
      </w:tblPr>
      <w:tblGrid>
        <w:gridCol w:w="60"/>
        <w:gridCol w:w="380"/>
        <w:gridCol w:w="43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3.06</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Mitigation Obligations; Replacement of Lenders</w:t>
            </w:r>
            <w:r>
              <w:rPr>
                <w:rFonts w:ascii="Times New Roman" w:hAnsi="Times New Roman"/>
                <w:caps w:val="false"/>
                <w:smallCaps w:val="false"/>
                <w:sz w:val="20"/>
              </w:rPr>
              <w:t>86</w:t>
            </w:r>
          </w:p>
        </w:tc>
      </w:tr>
    </w:tbl>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3.07</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Survival</w:t>
            </w:r>
            <w:r>
              <w:rPr>
                <w:rFonts w:ascii="Times New Roman" w:hAnsi="Times New Roman"/>
                <w:caps w:val="false"/>
                <w:smallCaps w:val="false"/>
                <w:sz w:val="20"/>
              </w:rPr>
              <w:t>86</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60"/>
        <w:gridCol w:w="260"/>
        <w:gridCol w:w="512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5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PRECEDENT TO CREDIT EXTENSIONS</w:t>
            </w:r>
            <w:r>
              <w:rPr>
                <w:rFonts w:ascii="Times New Roman" w:hAnsi="Times New Roman"/>
                <w:caps w:val="false"/>
                <w:smallCaps w:val="false"/>
                <w:sz w:val="20"/>
              </w:rPr>
              <w:t>87</w:t>
            </w:r>
          </w:p>
        </w:tc>
      </w:tr>
    </w:tbl>
    <w:tbl>
      <w:tblPr>
        <w:tblW w:w="3835" w:type="dxa"/>
        <w:jc w:val="left"/>
        <w:tblInd w:w="0" w:type="dxa"/>
        <w:tblLayout w:type="fixed"/>
        <w:tblCellMar>
          <w:top w:w="0" w:type="dxa"/>
          <w:left w:w="0" w:type="dxa"/>
          <w:bottom w:w="0" w:type="dxa"/>
          <w:right w:w="0" w:type="dxa"/>
        </w:tblCellMar>
      </w:tblPr>
      <w:tblGrid>
        <w:gridCol w:w="60"/>
        <w:gridCol w:w="380"/>
        <w:gridCol w:w="33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of Initial Credit Extension</w:t>
            </w:r>
            <w:r>
              <w:rPr>
                <w:rFonts w:ascii="Times New Roman" w:hAnsi="Times New Roman"/>
                <w:caps w:val="false"/>
                <w:smallCaps w:val="false"/>
                <w:sz w:val="20"/>
              </w:rPr>
              <w:t>87</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380"/>
        <w:gridCol w:w="31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4.02</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to all Credit Extensions</w:t>
            </w:r>
            <w:r>
              <w:rPr>
                <w:rFonts w:ascii="Times New Roman" w:hAnsi="Times New Roman"/>
                <w:caps w:val="false"/>
                <w:smallCaps w:val="false"/>
                <w:sz w:val="20"/>
              </w:rPr>
              <w:t>89</w:t>
            </w:r>
          </w:p>
        </w:tc>
      </w:tr>
    </w:tbl>
    <w:tbl>
      <w:tblPr>
        <w:tblW w:w="5380" w:type="dxa"/>
        <w:jc w:val="left"/>
        <w:tblInd w:w="0" w:type="dxa"/>
        <w:tblLayout w:type="fixed"/>
        <w:tblCellMar>
          <w:top w:w="0" w:type="dxa"/>
          <w:left w:w="0" w:type="dxa"/>
          <w:bottom w:w="0" w:type="dxa"/>
          <w:right w:w="0" w:type="dxa"/>
        </w:tblCellMar>
      </w:tblPr>
      <w:tblGrid>
        <w:gridCol w:w="60"/>
        <w:gridCol w:w="380"/>
        <w:gridCol w:w="49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4.03</w:t>
            </w:r>
          </w:p>
        </w:tc>
        <w:tc>
          <w:tcPr>
            <w:tcW w:w="4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to all Delayed Draw Term Loan Borrowings</w:t>
            </w:r>
            <w:r>
              <w:rPr>
                <w:rFonts w:ascii="Times New Roman" w:hAnsi="Times New Roman"/>
                <w:caps w:val="false"/>
                <w:smallCaps w:val="false"/>
                <w:sz w:val="20"/>
              </w:rPr>
              <w:t>89</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200"/>
        <w:gridCol w:w="39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3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90</w:t>
            </w:r>
          </w:p>
        </w:tc>
      </w:tr>
    </w:tbl>
    <w:tbl>
      <w:tblPr>
        <w:tblW w:w="3640" w:type="dxa"/>
        <w:jc w:val="left"/>
        <w:tblInd w:w="0" w:type="dxa"/>
        <w:tblLayout w:type="fixed"/>
        <w:tblCellMar>
          <w:top w:w="0" w:type="dxa"/>
          <w:left w:w="0" w:type="dxa"/>
          <w:bottom w:w="0" w:type="dxa"/>
          <w:right w:w="0" w:type="dxa"/>
        </w:tblCellMar>
      </w:tblPr>
      <w:tblGrid>
        <w:gridCol w:w="60"/>
        <w:gridCol w:w="380"/>
        <w:gridCol w:w="32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5.01</w:t>
            </w:r>
          </w:p>
        </w:tc>
        <w:tc>
          <w:tcPr>
            <w:tcW w:w="3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Existence, Qualification and Power</w:t>
            </w:r>
            <w:r>
              <w:rPr>
                <w:rFonts w:ascii="Times New Roman" w:hAnsi="Times New Roman"/>
                <w:caps w:val="false"/>
                <w:smallCaps w:val="false"/>
                <w:sz w:val="20"/>
              </w:rPr>
              <w:t>90</w:t>
            </w:r>
          </w:p>
        </w:tc>
      </w:tr>
    </w:tbl>
    <w:tbl>
      <w:tblPr>
        <w:tblW w:w="3475" w:type="dxa"/>
        <w:jc w:val="left"/>
        <w:tblInd w:w="0" w:type="dxa"/>
        <w:tblLayout w:type="fixed"/>
        <w:tblCellMar>
          <w:top w:w="0" w:type="dxa"/>
          <w:left w:w="0" w:type="dxa"/>
          <w:bottom w:w="0" w:type="dxa"/>
          <w:right w:w="0" w:type="dxa"/>
        </w:tblCellMar>
      </w:tblPr>
      <w:tblGrid>
        <w:gridCol w:w="60"/>
        <w:gridCol w:w="380"/>
        <w:gridCol w:w="30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5.02</w:t>
            </w:r>
          </w:p>
        </w:tc>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Authorization; No Contravention</w:t>
            </w:r>
            <w:r>
              <w:rPr>
                <w:rFonts w:ascii="Times New Roman" w:hAnsi="Times New Roman"/>
                <w:caps w:val="false"/>
                <w:smallCaps w:val="false"/>
                <w:sz w:val="20"/>
              </w:rPr>
              <w:t>90</w:t>
            </w:r>
          </w:p>
        </w:tc>
      </w:tr>
    </w:tbl>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380"/>
        <w:gridCol w:w="40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5.03</w:t>
            </w:r>
          </w:p>
        </w:tc>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Governmental Authorization; Other Consents</w:t>
            </w:r>
            <w:r>
              <w:rPr>
                <w:rFonts w:ascii="Times New Roman" w:hAnsi="Times New Roman"/>
                <w:caps w:val="false"/>
                <w:smallCaps w:val="false"/>
                <w:sz w:val="20"/>
              </w:rPr>
              <w:t>90</w:t>
            </w:r>
          </w:p>
        </w:tc>
      </w:tr>
    </w:tbl>
    <w:tbl>
      <w:tblPr>
        <w:tblW w:w="1885" w:type="dxa"/>
        <w:jc w:val="left"/>
        <w:tblInd w:w="0" w:type="dxa"/>
        <w:tblLayout w:type="fixed"/>
        <w:tblCellMar>
          <w:top w:w="0" w:type="dxa"/>
          <w:left w:w="0" w:type="dxa"/>
          <w:bottom w:w="0" w:type="dxa"/>
          <w:right w:w="0" w:type="dxa"/>
        </w:tblCellMar>
      </w:tblPr>
      <w:tblGrid>
        <w:gridCol w:w="60"/>
        <w:gridCol w:w="380"/>
        <w:gridCol w:w="14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5.04</w:t>
            </w:r>
          </w:p>
        </w:tc>
        <w:tc>
          <w:tcPr>
            <w:tcW w:w="1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Binding Effect</w:t>
            </w:r>
            <w:r>
              <w:rPr>
                <w:rFonts w:ascii="Times New Roman" w:hAnsi="Times New Roman"/>
                <w:caps w:val="false"/>
                <w:smallCaps w:val="false"/>
                <w:sz w:val="20"/>
              </w:rPr>
              <w:t>91</w:t>
            </w:r>
          </w:p>
        </w:tc>
      </w:tr>
    </w:tbl>
    <w:tbl>
      <w:tblPr>
        <w:tblW w:w="4855" w:type="dxa"/>
        <w:jc w:val="left"/>
        <w:tblInd w:w="0" w:type="dxa"/>
        <w:tblLayout w:type="fixed"/>
        <w:tblCellMar>
          <w:top w:w="0" w:type="dxa"/>
          <w:left w:w="0" w:type="dxa"/>
          <w:bottom w:w="0" w:type="dxa"/>
          <w:right w:w="0" w:type="dxa"/>
        </w:tblCellMar>
      </w:tblPr>
      <w:tblGrid>
        <w:gridCol w:w="60"/>
        <w:gridCol w:w="380"/>
        <w:gridCol w:w="44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5.05</w:t>
            </w:r>
          </w:p>
        </w:tc>
        <w:tc>
          <w:tcPr>
            <w:tcW w:w="4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Statements; No Material Adverse Effect</w:t>
            </w:r>
            <w:r>
              <w:rPr>
                <w:rFonts w:ascii="Times New Roman" w:hAnsi="Times New Roman"/>
                <w:caps w:val="false"/>
                <w:smallCaps w:val="false"/>
                <w:sz w:val="20"/>
              </w:rPr>
              <w:t>91</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60"/>
        <w:gridCol w:w="380"/>
        <w:gridCol w:w="34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5.06</w:t>
            </w:r>
          </w:p>
        </w:tc>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Litigation and Environmental Matters</w:t>
            </w:r>
            <w:r>
              <w:rPr>
                <w:rFonts w:ascii="Times New Roman" w:hAnsi="Times New Roman"/>
                <w:caps w:val="false"/>
                <w:smallCaps w:val="false"/>
                <w:sz w:val="20"/>
              </w:rPr>
              <w:t>91</w:t>
            </w:r>
          </w:p>
        </w:tc>
      </w:tr>
    </w:tbl>
    <w:tbl>
      <w:tblPr>
        <w:tblW w:w="1570" w:type="dxa"/>
        <w:jc w:val="left"/>
        <w:tblInd w:w="0" w:type="dxa"/>
        <w:tblLayout w:type="fixed"/>
        <w:tblCellMar>
          <w:top w:w="0" w:type="dxa"/>
          <w:left w:w="0" w:type="dxa"/>
          <w:bottom w:w="0" w:type="dxa"/>
          <w:right w:w="0" w:type="dxa"/>
        </w:tblCellMar>
      </w:tblPr>
      <w:tblGrid>
        <w:gridCol w:w="60"/>
        <w:gridCol w:w="380"/>
        <w:gridCol w:w="11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5.07</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Default</w:t>
            </w:r>
            <w:r>
              <w:rPr>
                <w:rFonts w:ascii="Times New Roman" w:hAnsi="Times New Roman"/>
                <w:caps w:val="false"/>
                <w:smallCaps w:val="false"/>
                <w:sz w:val="20"/>
              </w:rPr>
              <w:t>92</w:t>
            </w:r>
          </w:p>
        </w:tc>
      </w:tr>
    </w:tbl>
    <w:tbl>
      <w:tblPr>
        <w:tblW w:w="3505" w:type="dxa"/>
        <w:jc w:val="left"/>
        <w:tblInd w:w="0" w:type="dxa"/>
        <w:tblLayout w:type="fixed"/>
        <w:tblCellMar>
          <w:top w:w="0" w:type="dxa"/>
          <w:left w:w="0" w:type="dxa"/>
          <w:bottom w:w="0" w:type="dxa"/>
          <w:right w:w="0" w:type="dxa"/>
        </w:tblCellMar>
      </w:tblPr>
      <w:tblGrid>
        <w:gridCol w:w="60"/>
        <w:gridCol w:w="380"/>
        <w:gridCol w:w="30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5.08</w:t>
            </w:r>
          </w:p>
        </w:tc>
        <w:tc>
          <w:tcPr>
            <w:tcW w:w="3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Ownership of Property/Insurance</w:t>
            </w:r>
            <w:r>
              <w:rPr>
                <w:rFonts w:ascii="Times New Roman" w:hAnsi="Times New Roman"/>
                <w:caps w:val="false"/>
                <w:smallCaps w:val="false"/>
                <w:sz w:val="20"/>
              </w:rPr>
              <w:t>92</w:t>
            </w:r>
          </w:p>
        </w:tc>
      </w:tr>
    </w:tbl>
    <w:tbl>
      <w:tblPr>
        <w:tblW w:w="1915" w:type="dxa"/>
        <w:jc w:val="left"/>
        <w:tblInd w:w="0" w:type="dxa"/>
        <w:tblLayout w:type="fixed"/>
        <w:tblCellMar>
          <w:top w:w="0" w:type="dxa"/>
          <w:left w:w="0" w:type="dxa"/>
          <w:bottom w:w="0" w:type="dxa"/>
          <w:right w:w="0" w:type="dxa"/>
        </w:tblCellMar>
      </w:tblPr>
      <w:tblGrid>
        <w:gridCol w:w="60"/>
        <w:gridCol w:w="380"/>
        <w:gridCol w:w="14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5.09</w:t>
            </w:r>
          </w:p>
        </w:tc>
        <w:tc>
          <w:tcPr>
            <w:tcW w:w="1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Labor Matters</w:t>
            </w:r>
            <w:r>
              <w:rPr>
                <w:rFonts w:ascii="Times New Roman" w:hAnsi="Times New Roman"/>
                <w:caps w:val="false"/>
                <w:smallCaps w:val="false"/>
                <w:sz w:val="20"/>
              </w:rPr>
              <w:t>92</w:t>
            </w:r>
          </w:p>
        </w:tc>
      </w:tr>
    </w:tbl>
    <w:tbl>
      <w:tblPr>
        <w:tblW w:w="2395" w:type="dxa"/>
        <w:jc w:val="left"/>
        <w:tblInd w:w="0" w:type="dxa"/>
        <w:tblLayout w:type="fixed"/>
        <w:tblCellMar>
          <w:top w:w="0" w:type="dxa"/>
          <w:left w:w="0" w:type="dxa"/>
          <w:bottom w:w="0" w:type="dxa"/>
          <w:right w:w="0" w:type="dxa"/>
        </w:tblCellMar>
      </w:tblPr>
      <w:tblGrid>
        <w:gridCol w:w="60"/>
        <w:gridCol w:w="380"/>
        <w:gridCol w:w="19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5.10</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Responsible Officers</w:t>
            </w:r>
            <w:r>
              <w:rPr>
                <w:rFonts w:ascii="Times New Roman" w:hAnsi="Times New Roman"/>
                <w:caps w:val="false"/>
                <w:smallCaps w:val="false"/>
                <w:sz w:val="20"/>
              </w:rPr>
              <w:t>92</w:t>
            </w:r>
          </w:p>
        </w:tc>
      </w:tr>
    </w:tbl>
    <w:tbl>
      <w:tblPr>
        <w:tblW w:w="1180" w:type="dxa"/>
        <w:jc w:val="left"/>
        <w:tblInd w:w="0" w:type="dxa"/>
        <w:tblLayout w:type="fixed"/>
        <w:tblCellMar>
          <w:top w:w="0" w:type="dxa"/>
          <w:left w:w="0" w:type="dxa"/>
          <w:bottom w:w="0" w:type="dxa"/>
          <w:right w:w="0" w:type="dxa"/>
        </w:tblCellMar>
      </w:tblPr>
      <w:tblGrid>
        <w:gridCol w:w="60"/>
        <w:gridCol w:w="380"/>
        <w:gridCol w:w="7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5.11</w:t>
            </w:r>
          </w:p>
        </w:tc>
        <w:tc>
          <w:tcPr>
            <w:tcW w:w="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93</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380"/>
        <w:gridCol w:w="18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5.12</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ERISA Compliance</w:t>
            </w:r>
            <w:r>
              <w:rPr>
                <w:rFonts w:ascii="Times New Roman" w:hAnsi="Times New Roman"/>
                <w:caps w:val="false"/>
                <w:smallCaps w:val="false"/>
                <w:sz w:val="20"/>
              </w:rPr>
              <w:t>93</w:t>
            </w:r>
          </w:p>
        </w:tc>
      </w:tr>
    </w:tbl>
    <w:tbl>
      <w:tblPr>
        <w:tblW w:w="4600" w:type="dxa"/>
        <w:jc w:val="left"/>
        <w:tblInd w:w="0" w:type="dxa"/>
        <w:tblLayout w:type="fixed"/>
        <w:tblCellMar>
          <w:top w:w="0" w:type="dxa"/>
          <w:left w:w="0" w:type="dxa"/>
          <w:bottom w:w="0" w:type="dxa"/>
          <w:right w:w="0" w:type="dxa"/>
        </w:tblCellMar>
      </w:tblPr>
      <w:tblGrid>
        <w:gridCol w:w="60"/>
        <w:gridCol w:w="380"/>
        <w:gridCol w:w="41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5.13</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Margin Regulations; Investment Company Act</w:t>
            </w:r>
            <w:r>
              <w:rPr>
                <w:rFonts w:ascii="Times New Roman" w:hAnsi="Times New Roman"/>
                <w:caps w:val="false"/>
                <w:smallCaps w:val="false"/>
                <w:sz w:val="20"/>
              </w:rPr>
              <w:t>94</w:t>
            </w:r>
          </w:p>
        </w:tc>
      </w:tr>
    </w:tbl>
    <w:tbl>
      <w:tblPr>
        <w:tblW w:w="1555" w:type="dxa"/>
        <w:jc w:val="left"/>
        <w:tblInd w:w="0" w:type="dxa"/>
        <w:tblLayout w:type="fixed"/>
        <w:tblCellMar>
          <w:top w:w="0" w:type="dxa"/>
          <w:left w:w="0" w:type="dxa"/>
          <w:bottom w:w="0" w:type="dxa"/>
          <w:right w:w="0" w:type="dxa"/>
        </w:tblCellMar>
      </w:tblPr>
      <w:tblGrid>
        <w:gridCol w:w="60"/>
        <w:gridCol w:w="380"/>
        <w:gridCol w:w="11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5.14</w:t>
            </w:r>
          </w:p>
        </w:tc>
        <w:tc>
          <w:tcPr>
            <w:tcW w:w="1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Disclosure</w:t>
            </w:r>
            <w:r>
              <w:rPr>
                <w:rFonts w:ascii="Times New Roman" w:hAnsi="Times New Roman"/>
                <w:caps w:val="false"/>
                <w:smallCaps w:val="false"/>
                <w:sz w:val="20"/>
              </w:rPr>
              <w:t>94</w:t>
            </w:r>
          </w:p>
        </w:tc>
      </w:tr>
    </w:tbl>
    <w:tbl>
      <w:tblPr>
        <w:tblW w:w="4000" w:type="dxa"/>
        <w:jc w:val="left"/>
        <w:tblInd w:w="0" w:type="dxa"/>
        <w:tblLayout w:type="fixed"/>
        <w:tblCellMar>
          <w:top w:w="0" w:type="dxa"/>
          <w:left w:w="0" w:type="dxa"/>
          <w:bottom w:w="0" w:type="dxa"/>
          <w:right w:w="0" w:type="dxa"/>
        </w:tblCellMar>
      </w:tblPr>
      <w:tblGrid>
        <w:gridCol w:w="60"/>
        <w:gridCol w:w="380"/>
        <w:gridCol w:w="35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5.15</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Compliance with Laws and Agreements</w:t>
            </w:r>
            <w:r>
              <w:rPr>
                <w:rFonts w:ascii="Times New Roman" w:hAnsi="Times New Roman"/>
                <w:caps w:val="false"/>
                <w:smallCaps w:val="false"/>
                <w:sz w:val="20"/>
              </w:rPr>
              <w:t>94</w:t>
            </w:r>
          </w:p>
        </w:tc>
      </w:tr>
    </w:tbl>
    <w:tbl>
      <w:tblPr>
        <w:tblW w:w="1435" w:type="dxa"/>
        <w:jc w:val="left"/>
        <w:tblInd w:w="0" w:type="dxa"/>
        <w:tblLayout w:type="fixed"/>
        <w:tblCellMar>
          <w:top w:w="0" w:type="dxa"/>
          <w:left w:w="0" w:type="dxa"/>
          <w:bottom w:w="0" w:type="dxa"/>
          <w:right w:w="0" w:type="dxa"/>
        </w:tblCellMar>
      </w:tblPr>
      <w:tblGrid>
        <w:gridCol w:w="60"/>
        <w:gridCol w:w="380"/>
        <w:gridCol w:w="9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5.16</w:t>
            </w:r>
          </w:p>
        </w:tc>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Solvency</w:t>
            </w:r>
            <w:r>
              <w:rPr>
                <w:rFonts w:ascii="Times New Roman" w:hAnsi="Times New Roman"/>
                <w:caps w:val="false"/>
                <w:smallCaps w:val="false"/>
                <w:sz w:val="20"/>
              </w:rPr>
              <w:t>95</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380"/>
        <w:gridCol w:w="20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5.17</w:t>
            </w:r>
          </w:p>
        </w:tc>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Intellectual Property</w:t>
            </w:r>
            <w:r>
              <w:rPr>
                <w:rFonts w:ascii="Times New Roman" w:hAnsi="Times New Roman"/>
                <w:caps w:val="false"/>
                <w:smallCaps w:val="false"/>
                <w:sz w:val="20"/>
              </w:rPr>
              <w:t>95</w:t>
            </w:r>
          </w:p>
        </w:tc>
      </w:tr>
    </w:tbl>
    <w:tbl>
      <w:tblPr>
        <w:tblW w:w="4600" w:type="dxa"/>
        <w:jc w:val="left"/>
        <w:tblInd w:w="0" w:type="dxa"/>
        <w:tblLayout w:type="fixed"/>
        <w:tblCellMar>
          <w:top w:w="0" w:type="dxa"/>
          <w:left w:w="0" w:type="dxa"/>
          <w:bottom w:w="0" w:type="dxa"/>
          <w:right w:w="0" w:type="dxa"/>
        </w:tblCellMar>
      </w:tblPr>
      <w:tblGrid>
        <w:gridCol w:w="60"/>
        <w:gridCol w:w="380"/>
        <w:gridCol w:w="41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5.18</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Sanctions Concerns and Anti-Corruption Laws</w:t>
            </w:r>
            <w:r>
              <w:rPr>
                <w:rFonts w:ascii="Times New Roman" w:hAnsi="Times New Roman"/>
                <w:caps w:val="false"/>
                <w:smallCaps w:val="false"/>
                <w:sz w:val="20"/>
              </w:rPr>
              <w:t>95</w:t>
            </w:r>
          </w:p>
        </w:tc>
      </w:tr>
    </w:tbl>
    <w:tbl>
      <w:tblPr>
        <w:tblW w:w="2905" w:type="dxa"/>
        <w:jc w:val="left"/>
        <w:tblInd w:w="0" w:type="dxa"/>
        <w:tblLayout w:type="fixed"/>
        <w:tblCellMar>
          <w:top w:w="0" w:type="dxa"/>
          <w:left w:w="0" w:type="dxa"/>
          <w:bottom w:w="0" w:type="dxa"/>
          <w:right w:w="0" w:type="dxa"/>
        </w:tblCellMar>
      </w:tblPr>
      <w:tblGrid>
        <w:gridCol w:w="60"/>
        <w:gridCol w:w="380"/>
        <w:gridCol w:w="24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5.19</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Subsidiaries; Loan Parties</w:t>
            </w:r>
            <w:r>
              <w:rPr>
                <w:rFonts w:ascii="Times New Roman" w:hAnsi="Times New Roman"/>
                <w:caps w:val="false"/>
                <w:smallCaps w:val="false"/>
                <w:sz w:val="20"/>
              </w:rPr>
              <w:t>95</w:t>
            </w:r>
          </w:p>
        </w:tc>
      </w:tr>
    </w:tbl>
    <w:tbl>
      <w:tblPr>
        <w:tblW w:w="2935" w:type="dxa"/>
        <w:jc w:val="left"/>
        <w:tblInd w:w="0" w:type="dxa"/>
        <w:tblLayout w:type="fixed"/>
        <w:tblCellMar>
          <w:top w:w="0" w:type="dxa"/>
          <w:left w:w="0" w:type="dxa"/>
          <w:bottom w:w="0" w:type="dxa"/>
          <w:right w:w="0" w:type="dxa"/>
        </w:tblCellMar>
      </w:tblPr>
      <w:tblGrid>
        <w:gridCol w:w="60"/>
        <w:gridCol w:w="380"/>
        <w:gridCol w:w="24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5.20</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Representations</w:t>
            </w:r>
            <w:r>
              <w:rPr>
                <w:rFonts w:ascii="Times New Roman" w:hAnsi="Times New Roman"/>
                <w:caps w:val="false"/>
                <w:smallCaps w:val="false"/>
                <w:sz w:val="20"/>
              </w:rPr>
              <w:t>96</w:t>
            </w:r>
          </w:p>
        </w:tc>
      </w:tr>
    </w:tbl>
    <w:tbl>
      <w:tblPr>
        <w:tblW w:w="3205" w:type="dxa"/>
        <w:jc w:val="left"/>
        <w:tblInd w:w="0" w:type="dxa"/>
        <w:tblLayout w:type="fixed"/>
        <w:tblCellMar>
          <w:top w:w="0" w:type="dxa"/>
          <w:left w:w="0" w:type="dxa"/>
          <w:bottom w:w="0" w:type="dxa"/>
          <w:right w:w="0" w:type="dxa"/>
        </w:tblCellMar>
      </w:tblPr>
      <w:tblGrid>
        <w:gridCol w:w="60"/>
        <w:gridCol w:w="380"/>
        <w:gridCol w:w="2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5.21</w:t>
            </w:r>
          </w:p>
        </w:tc>
        <w:tc>
          <w:tcPr>
            <w:tcW w:w="2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Affected Financial Institutions</w:t>
            </w:r>
            <w:r>
              <w:rPr>
                <w:rFonts w:ascii="Times New Roman" w:hAnsi="Times New Roman"/>
                <w:caps w:val="false"/>
                <w:smallCaps w:val="false"/>
                <w:sz w:val="20"/>
              </w:rPr>
              <w:t>96</w:t>
            </w:r>
          </w:p>
        </w:tc>
      </w:tr>
    </w:tbl>
    <w:tbl>
      <w:tblPr>
        <w:tblW w:w="2080" w:type="dxa"/>
        <w:jc w:val="left"/>
        <w:tblInd w:w="0" w:type="dxa"/>
        <w:tblLayout w:type="fixed"/>
        <w:tblCellMar>
          <w:top w:w="0" w:type="dxa"/>
          <w:left w:w="0" w:type="dxa"/>
          <w:bottom w:w="0" w:type="dxa"/>
          <w:right w:w="0" w:type="dxa"/>
        </w:tblCellMar>
      </w:tblPr>
      <w:tblGrid>
        <w:gridCol w:w="60"/>
        <w:gridCol w:w="380"/>
        <w:gridCol w:w="16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5.22</w:t>
            </w:r>
          </w:p>
        </w:tc>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Covered Entities</w:t>
            </w:r>
            <w:r>
              <w:rPr>
                <w:rFonts w:ascii="Times New Roman" w:hAnsi="Times New Roman"/>
                <w:caps w:val="false"/>
                <w:smallCaps w:val="false"/>
                <w:sz w:val="20"/>
              </w:rPr>
              <w:t>96</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380"/>
        <w:gridCol w:w="31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5.23</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Beneficial Ownership Certification</w:t>
            </w:r>
            <w:r>
              <w:rPr>
                <w:rFonts w:ascii="Times New Roman" w:hAnsi="Times New Roman"/>
                <w:caps w:val="false"/>
                <w:smallCaps w:val="false"/>
                <w:sz w:val="20"/>
              </w:rPr>
              <w:t>96</w:t>
            </w:r>
          </w:p>
        </w:tc>
      </w:tr>
    </w:tbl>
    <w:tbl>
      <w:tblPr>
        <w:tblW w:w="2485" w:type="dxa"/>
        <w:jc w:val="left"/>
        <w:tblInd w:w="0" w:type="dxa"/>
        <w:tblLayout w:type="fixed"/>
        <w:tblCellMar>
          <w:top w:w="0" w:type="dxa"/>
          <w:left w:w="0" w:type="dxa"/>
          <w:bottom w:w="0" w:type="dxa"/>
          <w:right w:w="0" w:type="dxa"/>
        </w:tblCellMar>
      </w:tblPr>
      <w:tblGrid>
        <w:gridCol w:w="60"/>
        <w:gridCol w:w="380"/>
        <w:gridCol w:w="20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5.24</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Outbound Investment</w:t>
            </w:r>
            <w:r>
              <w:rPr>
                <w:rFonts w:ascii="Times New Roman" w:hAnsi="Times New Roman"/>
                <w:caps w:val="false"/>
                <w:smallCaps w:val="false"/>
                <w:sz w:val="20"/>
              </w:rPr>
              <w:t>96</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260"/>
        <w:gridCol w:w="285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2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AFFIRMATIVE COVENANTS</w:t>
            </w:r>
            <w:r>
              <w:rPr>
                <w:rFonts w:ascii="Times New Roman" w:hAnsi="Times New Roman"/>
                <w:caps w:val="false"/>
                <w:smallCaps w:val="false"/>
                <w:sz w:val="20"/>
              </w:rPr>
              <w:t>97</w:t>
            </w:r>
          </w:p>
        </w:tc>
      </w:tr>
    </w:tbl>
    <w:tbl>
      <w:tblPr>
        <w:tblW w:w="4420" w:type="dxa"/>
        <w:jc w:val="left"/>
        <w:tblInd w:w="0" w:type="dxa"/>
        <w:tblLayout w:type="fixed"/>
        <w:tblCellMar>
          <w:top w:w="0" w:type="dxa"/>
          <w:left w:w="0" w:type="dxa"/>
          <w:bottom w:w="0" w:type="dxa"/>
          <w:right w:w="0" w:type="dxa"/>
        </w:tblCellMar>
      </w:tblPr>
      <w:tblGrid>
        <w:gridCol w:w="60"/>
        <w:gridCol w:w="380"/>
        <w:gridCol w:w="39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6.01</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Statements and Other Information</w:t>
            </w:r>
            <w:r>
              <w:rPr>
                <w:rFonts w:ascii="Times New Roman" w:hAnsi="Times New Roman"/>
                <w:caps w:val="false"/>
                <w:smallCaps w:val="false"/>
                <w:sz w:val="20"/>
              </w:rPr>
              <w:t>97</w:t>
            </w:r>
          </w:p>
        </w:tc>
      </w:tr>
    </w:tbl>
    <w:tbl>
      <w:tblPr>
        <w:tblW w:w="1570" w:type="dxa"/>
        <w:jc w:val="left"/>
        <w:tblInd w:w="0" w:type="dxa"/>
        <w:tblLayout w:type="fixed"/>
        <w:tblCellMar>
          <w:top w:w="0" w:type="dxa"/>
          <w:left w:w="0" w:type="dxa"/>
          <w:bottom w:w="0" w:type="dxa"/>
          <w:right w:w="0" w:type="dxa"/>
        </w:tblCellMar>
      </w:tblPr>
      <w:tblGrid>
        <w:gridCol w:w="60"/>
        <w:gridCol w:w="380"/>
        <w:gridCol w:w="11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6.02</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99</w:t>
            </w:r>
          </w:p>
        </w:tc>
      </w:tr>
    </w:tbl>
    <w:tbl>
      <w:tblPr>
        <w:tblW w:w="1285" w:type="dxa"/>
        <w:jc w:val="left"/>
        <w:tblInd w:w="0" w:type="dxa"/>
        <w:tblLayout w:type="fixed"/>
        <w:tblCellMar>
          <w:top w:w="0" w:type="dxa"/>
          <w:left w:w="0" w:type="dxa"/>
          <w:bottom w:w="0" w:type="dxa"/>
          <w:right w:w="0" w:type="dxa"/>
        </w:tblCellMar>
      </w:tblPr>
      <w:tblGrid>
        <w:gridCol w:w="60"/>
        <w:gridCol w:w="380"/>
        <w:gridCol w:w="8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6.03</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Notices</w:t>
            </w:r>
            <w:r>
              <w:rPr>
                <w:rFonts w:ascii="Times New Roman" w:hAnsi="Times New Roman"/>
                <w:caps w:val="false"/>
                <w:smallCaps w:val="false"/>
                <w:sz w:val="20"/>
              </w:rPr>
              <w:t>99</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380"/>
        <w:gridCol w:w="23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6.04</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 of Obligations</w:t>
            </w:r>
            <w:r>
              <w:rPr>
                <w:rFonts w:ascii="Times New Roman" w:hAnsi="Times New Roman"/>
                <w:caps w:val="false"/>
                <w:smallCaps w:val="false"/>
                <w:sz w:val="20"/>
              </w:rPr>
              <w:t>101</w:t>
            </w:r>
          </w:p>
        </w:tc>
      </w:tr>
    </w:tbl>
    <w:tbl>
      <w:tblPr>
        <w:tblW w:w="3355" w:type="dxa"/>
        <w:jc w:val="left"/>
        <w:tblInd w:w="0" w:type="dxa"/>
        <w:tblLayout w:type="fixed"/>
        <w:tblCellMar>
          <w:top w:w="0" w:type="dxa"/>
          <w:left w:w="0" w:type="dxa"/>
          <w:bottom w:w="0" w:type="dxa"/>
          <w:right w:w="0" w:type="dxa"/>
        </w:tblCellMar>
      </w:tblPr>
      <w:tblGrid>
        <w:gridCol w:w="60"/>
        <w:gridCol w:w="380"/>
        <w:gridCol w:w="29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6.05</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Existence, Conduct of Business</w:t>
            </w:r>
            <w:r>
              <w:rPr>
                <w:rFonts w:ascii="Times New Roman" w:hAnsi="Times New Roman"/>
                <w:caps w:val="false"/>
                <w:smallCaps w:val="false"/>
                <w:sz w:val="20"/>
              </w:rPr>
              <w:t>101</w:t>
            </w:r>
          </w:p>
        </w:tc>
      </w:tr>
    </w:tbl>
    <w:tbl>
      <w:tblPr>
        <w:tblW w:w="3955" w:type="dxa"/>
        <w:jc w:val="left"/>
        <w:tblInd w:w="0" w:type="dxa"/>
        <w:tblLayout w:type="fixed"/>
        <w:tblCellMar>
          <w:top w:w="0" w:type="dxa"/>
          <w:left w:w="0" w:type="dxa"/>
          <w:bottom w:w="0" w:type="dxa"/>
          <w:right w:w="0" w:type="dxa"/>
        </w:tblCellMar>
      </w:tblPr>
      <w:tblGrid>
        <w:gridCol w:w="60"/>
        <w:gridCol w:w="380"/>
        <w:gridCol w:w="35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6.06</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Maintenance of Properties; Insurance</w:t>
            </w:r>
            <w:r>
              <w:rPr>
                <w:rFonts w:ascii="Times New Roman" w:hAnsi="Times New Roman"/>
                <w:caps w:val="false"/>
                <w:smallCaps w:val="false"/>
                <w:sz w:val="20"/>
              </w:rPr>
              <w:t>101</w:t>
            </w:r>
          </w:p>
        </w:tc>
      </w:tr>
    </w:tbl>
    <w:tbl>
      <w:tblPr>
        <w:tblW w:w="1675" w:type="dxa"/>
        <w:jc w:val="left"/>
        <w:tblInd w:w="0" w:type="dxa"/>
        <w:tblLayout w:type="fixed"/>
        <w:tblCellMar>
          <w:top w:w="0" w:type="dxa"/>
          <w:left w:w="0" w:type="dxa"/>
          <w:bottom w:w="0" w:type="dxa"/>
          <w:right w:w="0" w:type="dxa"/>
        </w:tblCellMar>
      </w:tblPr>
      <w:tblGrid>
        <w:gridCol w:w="60"/>
        <w:gridCol w:w="380"/>
        <w:gridCol w:w="12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6.07</w:t>
            </w:r>
          </w:p>
        </w:tc>
        <w:tc>
          <w:tcPr>
            <w:tcW w:w="1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102</w:t>
            </w:r>
          </w:p>
        </w:tc>
      </w:tr>
    </w:tbl>
    <w:tbl>
      <w:tblPr>
        <w:tblW w:w="3085" w:type="dxa"/>
        <w:jc w:val="left"/>
        <w:tblInd w:w="0" w:type="dxa"/>
        <w:tblLayout w:type="fixed"/>
        <w:tblCellMar>
          <w:top w:w="0" w:type="dxa"/>
          <w:left w:w="0" w:type="dxa"/>
          <w:bottom w:w="0" w:type="dxa"/>
          <w:right w:w="0" w:type="dxa"/>
        </w:tblCellMar>
      </w:tblPr>
      <w:tblGrid>
        <w:gridCol w:w="60"/>
        <w:gridCol w:w="380"/>
        <w:gridCol w:w="26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6.08</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Compliance with Laws; Etc</w:t>
            </w:r>
            <w:r>
              <w:rPr>
                <w:rFonts w:ascii="Times New Roman" w:hAnsi="Times New Roman"/>
                <w:caps w:val="false"/>
                <w:smallCaps w:val="false"/>
                <w:sz w:val="20"/>
              </w:rPr>
              <w:t>102</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380"/>
        <w:gridCol w:w="19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6.09</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Books and Records</w:t>
            </w:r>
            <w:r>
              <w:rPr>
                <w:rFonts w:ascii="Times New Roman" w:hAnsi="Times New Roman"/>
                <w:caps w:val="false"/>
                <w:smallCaps w:val="false"/>
                <w:sz w:val="20"/>
              </w:rPr>
              <w:t>102</w:t>
            </w:r>
          </w:p>
        </w:tc>
      </w:tr>
    </w:tbl>
    <w:tbl>
      <w:tblPr>
        <w:tblW w:w="2935" w:type="dxa"/>
        <w:jc w:val="left"/>
        <w:tblInd w:w="0" w:type="dxa"/>
        <w:tblLayout w:type="fixed"/>
        <w:tblCellMar>
          <w:top w:w="0" w:type="dxa"/>
          <w:left w:w="0" w:type="dxa"/>
          <w:bottom w:w="0" w:type="dxa"/>
          <w:right w:w="0" w:type="dxa"/>
        </w:tblCellMar>
      </w:tblPr>
      <w:tblGrid>
        <w:gridCol w:w="60"/>
        <w:gridCol w:w="380"/>
        <w:gridCol w:w="24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6.10</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Visitation, Inspection, Etc</w:t>
            </w:r>
            <w:r>
              <w:rPr>
                <w:rFonts w:ascii="Times New Roman" w:hAnsi="Times New Roman"/>
                <w:caps w:val="false"/>
                <w:smallCaps w:val="false"/>
                <w:sz w:val="20"/>
              </w:rPr>
              <w:t>102</w:t>
            </w:r>
          </w:p>
        </w:tc>
      </w:tr>
    </w:tbl>
    <w:tbl>
      <w:tblPr>
        <w:tblW w:w="3895" w:type="dxa"/>
        <w:jc w:val="left"/>
        <w:tblInd w:w="0" w:type="dxa"/>
        <w:tblLayout w:type="fixed"/>
        <w:tblCellMar>
          <w:top w:w="0" w:type="dxa"/>
          <w:left w:w="0" w:type="dxa"/>
          <w:bottom w:w="0" w:type="dxa"/>
          <w:right w:w="0" w:type="dxa"/>
        </w:tblCellMar>
      </w:tblPr>
      <w:tblGrid>
        <w:gridCol w:w="60"/>
        <w:gridCol w:w="380"/>
        <w:gridCol w:w="34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6.11</w:t>
            </w:r>
          </w:p>
        </w:tc>
        <w:tc>
          <w:tcPr>
            <w:tcW w:w="3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Proceeds; Margin Regulations</w:t>
            </w:r>
            <w:r>
              <w:rPr>
                <w:rFonts w:ascii="Times New Roman" w:hAnsi="Times New Roman"/>
                <w:caps w:val="false"/>
                <w:smallCaps w:val="false"/>
                <w:sz w:val="20"/>
              </w:rPr>
              <w:t>102</w:t>
            </w:r>
          </w:p>
        </w:tc>
      </w:tr>
    </w:tbl>
    <w:tbl>
      <w:tblPr>
        <w:tblW w:w="2395" w:type="dxa"/>
        <w:jc w:val="left"/>
        <w:tblInd w:w="0" w:type="dxa"/>
        <w:tblLayout w:type="fixed"/>
        <w:tblCellMar>
          <w:top w:w="0" w:type="dxa"/>
          <w:left w:w="0" w:type="dxa"/>
          <w:bottom w:w="0" w:type="dxa"/>
          <w:right w:w="0" w:type="dxa"/>
        </w:tblCellMar>
      </w:tblPr>
      <w:tblGrid>
        <w:gridCol w:w="60"/>
        <w:gridCol w:w="380"/>
        <w:gridCol w:w="19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6.12</w:t>
            </w:r>
          </w:p>
        </w:tc>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Material Contracts</w:t>
            </w:r>
            <w:r>
              <w:rPr>
                <w:rFonts w:ascii="Times New Roman" w:hAnsi="Times New Roman"/>
                <w:caps w:val="false"/>
                <w:smallCaps w:val="false"/>
                <w:sz w:val="20"/>
              </w:rPr>
              <w:t>103</w:t>
            </w:r>
          </w:p>
        </w:tc>
      </w:tr>
    </w:tbl>
    <w:tbl>
      <w:tblPr>
        <w:tblW w:w="2710" w:type="dxa"/>
        <w:jc w:val="left"/>
        <w:tblInd w:w="0" w:type="dxa"/>
        <w:tblLayout w:type="fixed"/>
        <w:tblCellMar>
          <w:top w:w="0" w:type="dxa"/>
          <w:left w:w="0" w:type="dxa"/>
          <w:bottom w:w="0" w:type="dxa"/>
          <w:right w:w="0" w:type="dxa"/>
        </w:tblCellMar>
      </w:tblPr>
      <w:tblGrid>
        <w:gridCol w:w="60"/>
        <w:gridCol w:w="380"/>
        <w:gridCol w:w="22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6.13</w:t>
            </w:r>
          </w:p>
        </w:tc>
        <w:tc>
          <w:tcPr>
            <w:tcW w:w="2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Guarantors</w:t>
            </w:r>
            <w:r>
              <w:rPr>
                <w:rFonts w:ascii="Times New Roman" w:hAnsi="Times New Roman"/>
                <w:caps w:val="false"/>
                <w:smallCaps w:val="false"/>
                <w:sz w:val="20"/>
              </w:rPr>
              <w:t>103</w:t>
            </w:r>
          </w:p>
        </w:tc>
      </w:tr>
    </w:tbl>
    <w:tbl>
      <w:tblPr>
        <w:tblW w:w="2005" w:type="dxa"/>
        <w:jc w:val="left"/>
        <w:tblInd w:w="0" w:type="dxa"/>
        <w:tblLayout w:type="fixed"/>
        <w:tblCellMar>
          <w:top w:w="0" w:type="dxa"/>
          <w:left w:w="0" w:type="dxa"/>
          <w:bottom w:w="0" w:type="dxa"/>
          <w:right w:w="0" w:type="dxa"/>
        </w:tblCellMar>
      </w:tblPr>
      <w:tblGrid>
        <w:gridCol w:w="60"/>
        <w:gridCol w:w="380"/>
        <w:gridCol w:w="15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6.14</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Pledged Assets</w:t>
            </w:r>
            <w:r>
              <w:rPr>
                <w:rFonts w:ascii="Times New Roman" w:hAnsi="Times New Roman"/>
                <w:caps w:val="false"/>
                <w:smallCaps w:val="false"/>
                <w:sz w:val="20"/>
              </w:rPr>
              <w:t>103</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380"/>
        <w:gridCol w:w="31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6.15</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Anti-Corruption Laws; Sanctions</w:t>
            </w:r>
            <w:r>
              <w:rPr>
                <w:rFonts w:ascii="Times New Roman" w:hAnsi="Times New Roman"/>
                <w:caps w:val="false"/>
                <w:smallCaps w:val="false"/>
                <w:sz w:val="20"/>
              </w:rPr>
              <w:t>104</w:t>
            </w:r>
          </w:p>
        </w:tc>
      </w:tr>
    </w:tbl>
    <w:tbl>
      <w:tblPr>
        <w:tblW w:w="4285" w:type="dxa"/>
        <w:jc w:val="left"/>
        <w:tblInd w:w="0" w:type="dxa"/>
        <w:tblLayout w:type="fixed"/>
        <w:tblCellMar>
          <w:top w:w="0" w:type="dxa"/>
          <w:left w:w="0" w:type="dxa"/>
          <w:bottom w:w="0" w:type="dxa"/>
          <w:right w:w="0" w:type="dxa"/>
        </w:tblCellMar>
      </w:tblPr>
      <w:tblGrid>
        <w:gridCol w:w="60"/>
        <w:gridCol w:w="380"/>
        <w:gridCol w:w="38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6.16</w:t>
            </w:r>
          </w:p>
        </w:tc>
        <w:tc>
          <w:tcPr>
            <w:tcW w:w="3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Fifth Amendment Post-Closing Covenants</w:t>
            </w:r>
            <w:r>
              <w:rPr>
                <w:rFonts w:ascii="Times New Roman" w:hAnsi="Times New Roman"/>
                <w:caps w:val="false"/>
                <w:smallCaps w:val="false"/>
                <w:sz w:val="20"/>
              </w:rPr>
              <w:t>104</w:t>
            </w:r>
          </w:p>
        </w:tc>
      </w:tr>
    </w:tbl>
    <w:tbl>
      <w:tblPr>
        <w:tblW w:w="4315" w:type="dxa"/>
        <w:jc w:val="left"/>
        <w:tblInd w:w="0" w:type="dxa"/>
        <w:tblLayout w:type="fixed"/>
        <w:tblCellMar>
          <w:top w:w="0" w:type="dxa"/>
          <w:left w:w="0" w:type="dxa"/>
          <w:bottom w:w="0" w:type="dxa"/>
          <w:right w:w="0" w:type="dxa"/>
        </w:tblCellMar>
      </w:tblPr>
      <w:tblGrid>
        <w:gridCol w:w="60"/>
        <w:gridCol w:w="380"/>
        <w:gridCol w:w="38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6.17</w:t>
            </w:r>
          </w:p>
        </w:tc>
        <w:tc>
          <w:tcPr>
            <w:tcW w:w="3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Sixth Amendment Post-Closing Covenants</w:t>
            </w:r>
            <w:r>
              <w:rPr>
                <w:rFonts w:ascii="Times New Roman" w:hAnsi="Times New Roman"/>
                <w:caps w:val="false"/>
                <w:smallCaps w:val="false"/>
                <w:sz w:val="20"/>
              </w:rPr>
              <w:t>105</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320"/>
        <w:gridCol w:w="261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NEGATIVE COVENANTS</w:t>
            </w:r>
            <w:r>
              <w:rPr>
                <w:rFonts w:ascii="Times New Roman" w:hAnsi="Times New Roman"/>
                <w:caps w:val="false"/>
                <w:smallCaps w:val="false"/>
                <w:sz w:val="20"/>
              </w:rPr>
              <w:t>105</w:t>
            </w:r>
          </w:p>
        </w:tc>
      </w:tr>
    </w:tbl>
    <w:tbl>
      <w:tblPr>
        <w:tblW w:w="1240" w:type="dxa"/>
        <w:jc w:val="left"/>
        <w:tblInd w:w="0" w:type="dxa"/>
        <w:tblLayout w:type="fixed"/>
        <w:tblCellMar>
          <w:top w:w="0" w:type="dxa"/>
          <w:left w:w="0" w:type="dxa"/>
          <w:bottom w:w="0" w:type="dxa"/>
          <w:right w:w="0" w:type="dxa"/>
        </w:tblCellMar>
      </w:tblPr>
      <w:tblGrid>
        <w:gridCol w:w="60"/>
        <w:gridCol w:w="380"/>
        <w:gridCol w:w="8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7.01</w:t>
            </w:r>
          </w:p>
        </w:tc>
        <w:tc>
          <w:tcPr>
            <w:tcW w:w="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Liens</w:t>
            </w:r>
            <w:r>
              <w:rPr>
                <w:rFonts w:ascii="Times New Roman" w:hAnsi="Times New Roman"/>
                <w:caps w:val="false"/>
                <w:smallCaps w:val="false"/>
                <w:sz w:val="20"/>
              </w:rPr>
              <w:t>105</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
        <w:gridCol w:w="380"/>
        <w:gridCol w:w="14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7.02</w:t>
            </w:r>
          </w:p>
        </w:tc>
        <w:tc>
          <w:tcPr>
            <w:tcW w:w="1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Indebtedness</w:t>
            </w:r>
            <w:r>
              <w:rPr>
                <w:rFonts w:ascii="Times New Roman" w:hAnsi="Times New Roman"/>
                <w:caps w:val="false"/>
                <w:smallCaps w:val="false"/>
                <w:sz w:val="20"/>
              </w:rPr>
              <w:t>106</w:t>
            </w:r>
          </w:p>
        </w:tc>
      </w:tr>
    </w:tbl>
    <w:tbl>
      <w:tblPr>
        <w:tblW w:w="2770" w:type="dxa"/>
        <w:jc w:val="left"/>
        <w:tblInd w:w="0" w:type="dxa"/>
        <w:tblLayout w:type="fixed"/>
        <w:tblCellMar>
          <w:top w:w="0" w:type="dxa"/>
          <w:left w:w="0" w:type="dxa"/>
          <w:bottom w:w="0" w:type="dxa"/>
          <w:right w:w="0" w:type="dxa"/>
        </w:tblCellMar>
      </w:tblPr>
      <w:tblGrid>
        <w:gridCol w:w="60"/>
        <w:gridCol w:w="380"/>
        <w:gridCol w:w="23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7.03</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Investments, Loans, Etc</w:t>
            </w:r>
            <w:r>
              <w:rPr>
                <w:rFonts w:ascii="Times New Roman" w:hAnsi="Times New Roman"/>
                <w:caps w:val="false"/>
                <w:smallCaps w:val="false"/>
                <w:sz w:val="20"/>
              </w:rPr>
              <w:t>108</w:t>
            </w:r>
          </w:p>
        </w:tc>
      </w:tr>
    </w:tbl>
    <w:tbl>
      <w:tblPr>
        <w:tblW w:w="4450" w:type="dxa"/>
        <w:jc w:val="left"/>
        <w:tblInd w:w="0" w:type="dxa"/>
        <w:tblLayout w:type="fixed"/>
        <w:tblCellMar>
          <w:top w:w="0" w:type="dxa"/>
          <w:left w:w="0" w:type="dxa"/>
          <w:bottom w:w="0" w:type="dxa"/>
          <w:right w:w="0" w:type="dxa"/>
        </w:tblCellMar>
      </w:tblPr>
      <w:tblGrid>
        <w:gridCol w:w="60"/>
        <w:gridCol w:w="380"/>
        <w:gridCol w:w="40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7.04</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Fundamental Changes; Conduct of Business</w:t>
            </w:r>
            <w:r>
              <w:rPr>
                <w:rFonts w:ascii="Times New Roman" w:hAnsi="Times New Roman"/>
                <w:caps w:val="false"/>
                <w:smallCaps w:val="false"/>
                <w:sz w:val="20"/>
              </w:rPr>
              <w:t>109</w:t>
            </w:r>
          </w:p>
        </w:tc>
      </w:tr>
    </w:tbl>
    <w:tbl>
      <w:tblPr>
        <w:tblW w:w="1795" w:type="dxa"/>
        <w:jc w:val="left"/>
        <w:tblInd w:w="0" w:type="dxa"/>
        <w:tblLayout w:type="fixed"/>
        <w:tblCellMar>
          <w:top w:w="0" w:type="dxa"/>
          <w:left w:w="0" w:type="dxa"/>
          <w:bottom w:w="0" w:type="dxa"/>
          <w:right w:w="0" w:type="dxa"/>
        </w:tblCellMar>
      </w:tblPr>
      <w:tblGrid>
        <w:gridCol w:w="60"/>
        <w:gridCol w:w="380"/>
        <w:gridCol w:w="13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7.05</w:t>
            </w:r>
          </w:p>
        </w:tc>
        <w:tc>
          <w:tcPr>
            <w:tcW w:w="1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Dispositions</w:t>
            </w:r>
            <w:r>
              <w:rPr>
                <w:rFonts w:ascii="Times New Roman" w:hAnsi="Times New Roman"/>
                <w:caps w:val="false"/>
                <w:smallCaps w:val="false"/>
                <w:sz w:val="20"/>
              </w:rPr>
              <w:t>110</w:t>
            </w:r>
          </w:p>
        </w:tc>
      </w:tr>
    </w:tbl>
    <w:tbl>
      <w:tblPr>
        <w:tblW w:w="2500" w:type="dxa"/>
        <w:jc w:val="left"/>
        <w:tblInd w:w="0" w:type="dxa"/>
        <w:tblLayout w:type="fixed"/>
        <w:tblCellMar>
          <w:top w:w="0" w:type="dxa"/>
          <w:left w:w="0" w:type="dxa"/>
          <w:bottom w:w="0" w:type="dxa"/>
          <w:right w:w="0" w:type="dxa"/>
        </w:tblCellMar>
      </w:tblPr>
      <w:tblGrid>
        <w:gridCol w:w="60"/>
        <w:gridCol w:w="380"/>
        <w:gridCol w:w="20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7.06</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Restricted Payments</w:t>
            </w:r>
            <w:r>
              <w:rPr>
                <w:rFonts w:ascii="Times New Roman" w:hAnsi="Times New Roman"/>
                <w:caps w:val="false"/>
                <w:smallCaps w:val="false"/>
                <w:sz w:val="20"/>
              </w:rPr>
              <w:t>111</w:t>
            </w:r>
          </w:p>
        </w:tc>
      </w:tr>
    </w:tbl>
    <w:tbl>
      <w:tblPr>
        <w:tblW w:w="2980" w:type="dxa"/>
        <w:jc w:val="left"/>
        <w:tblInd w:w="0" w:type="dxa"/>
        <w:tblLayout w:type="fixed"/>
        <w:tblCellMar>
          <w:top w:w="0" w:type="dxa"/>
          <w:left w:w="0" w:type="dxa"/>
          <w:bottom w:w="0" w:type="dxa"/>
          <w:right w:w="0" w:type="dxa"/>
        </w:tblCellMar>
      </w:tblPr>
      <w:tblGrid>
        <w:gridCol w:w="60"/>
        <w:gridCol w:w="380"/>
        <w:gridCol w:w="25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7.07</w:t>
            </w:r>
          </w:p>
        </w:tc>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 of Holdings Note</w:t>
            </w:r>
            <w:r>
              <w:rPr>
                <w:rFonts w:ascii="Times New Roman" w:hAnsi="Times New Roman"/>
                <w:caps w:val="false"/>
                <w:smallCaps w:val="false"/>
                <w:sz w:val="20"/>
              </w:rPr>
              <w:t>111</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380"/>
        <w:gridCol w:w="26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7.01</w:t>
            </w:r>
          </w:p>
        </w:tc>
        <w:tc>
          <w:tcPr>
            <w:tcW w:w="2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Transactions with Affiliates</w:t>
            </w:r>
            <w:r>
              <w:rPr>
                <w:rFonts w:ascii="Times New Roman" w:hAnsi="Times New Roman"/>
                <w:caps w:val="false"/>
                <w:smallCaps w:val="false"/>
                <w:sz w:val="20"/>
              </w:rPr>
              <w:t>111</w:t>
            </w:r>
          </w:p>
        </w:tc>
      </w:tr>
    </w:tbl>
    <w:tbl>
      <w:tblPr>
        <w:tblW w:w="2890" w:type="dxa"/>
        <w:jc w:val="left"/>
        <w:tblInd w:w="0" w:type="dxa"/>
        <w:tblLayout w:type="fixed"/>
        <w:tblCellMar>
          <w:top w:w="0" w:type="dxa"/>
          <w:left w:w="0" w:type="dxa"/>
          <w:bottom w:w="0" w:type="dxa"/>
          <w:right w:w="0" w:type="dxa"/>
        </w:tblCellMar>
      </w:tblPr>
      <w:tblGrid>
        <w:gridCol w:w="60"/>
        <w:gridCol w:w="380"/>
        <w:gridCol w:w="24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7.02</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Burdensome Agreements</w:t>
            </w:r>
            <w:r>
              <w:rPr>
                <w:rFonts w:ascii="Times New Roman" w:hAnsi="Times New Roman"/>
                <w:caps w:val="false"/>
                <w:smallCaps w:val="false"/>
                <w:sz w:val="20"/>
              </w:rPr>
              <w:t>112</w:t>
            </w:r>
          </w:p>
        </w:tc>
      </w:tr>
    </w:tbl>
    <w:tbl>
      <w:tblPr>
        <w:tblW w:w="2095" w:type="dxa"/>
        <w:jc w:val="left"/>
        <w:tblInd w:w="0" w:type="dxa"/>
        <w:tblLayout w:type="fixed"/>
        <w:tblCellMar>
          <w:top w:w="0" w:type="dxa"/>
          <w:left w:w="0" w:type="dxa"/>
          <w:bottom w:w="0" w:type="dxa"/>
          <w:right w:w="0" w:type="dxa"/>
        </w:tblCellMar>
      </w:tblPr>
      <w:tblGrid>
        <w:gridCol w:w="60"/>
        <w:gridCol w:w="380"/>
        <w:gridCol w:w="16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7.03</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Proceeds</w:t>
            </w:r>
            <w:r>
              <w:rPr>
                <w:rFonts w:ascii="Times New Roman" w:hAnsi="Times New Roman"/>
                <w:caps w:val="false"/>
                <w:smallCaps w:val="false"/>
                <w:sz w:val="20"/>
              </w:rPr>
              <w:t>112</w:t>
            </w:r>
          </w:p>
        </w:tc>
      </w:tr>
    </w:tbl>
    <w:tbl>
      <w:tblPr>
        <w:tblW w:w="2515" w:type="dxa"/>
        <w:jc w:val="left"/>
        <w:tblInd w:w="0" w:type="dxa"/>
        <w:tblLayout w:type="fixed"/>
        <w:tblCellMar>
          <w:top w:w="0" w:type="dxa"/>
          <w:left w:w="0" w:type="dxa"/>
          <w:bottom w:w="0" w:type="dxa"/>
          <w:right w:w="0" w:type="dxa"/>
        </w:tblCellMar>
      </w:tblPr>
      <w:tblGrid>
        <w:gridCol w:w="60"/>
        <w:gridCol w:w="380"/>
        <w:gridCol w:w="20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7.04</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Covenants</w:t>
            </w:r>
            <w:r>
              <w:rPr>
                <w:rFonts w:ascii="Times New Roman" w:hAnsi="Times New Roman"/>
                <w:caps w:val="false"/>
                <w:smallCaps w:val="false"/>
                <w:sz w:val="20"/>
              </w:rPr>
              <w:t>112</w:t>
            </w:r>
          </w:p>
        </w:tc>
      </w:tr>
    </w:tbl>
    <w:tbl>
      <w:tblPr>
        <w:tblW w:w="2470" w:type="dxa"/>
        <w:jc w:val="left"/>
        <w:tblInd w:w="0" w:type="dxa"/>
        <w:tblLayout w:type="fixed"/>
        <w:tblCellMar>
          <w:top w:w="0" w:type="dxa"/>
          <w:left w:w="0" w:type="dxa"/>
          <w:bottom w:w="0" w:type="dxa"/>
          <w:right w:w="0" w:type="dxa"/>
        </w:tblCellMar>
      </w:tblPr>
      <w:tblGrid>
        <w:gridCol w:w="60"/>
        <w:gridCol w:w="380"/>
        <w:gridCol w:w="20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7.05</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Restricted Activities</w:t>
            </w:r>
            <w:r>
              <w:rPr>
                <w:rFonts w:ascii="Times New Roman" w:hAnsi="Times New Roman"/>
                <w:caps w:val="false"/>
                <w:smallCaps w:val="false"/>
                <w:sz w:val="20"/>
              </w:rPr>
              <w:t>114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7.06</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Amendments of Organization Documents; Fiscal Year; Legal Name, State of Formation; Form of Entity and Accounting Changes</w:t>
            </w:r>
            <w:r>
              <w:rPr>
                <w:rFonts w:ascii="Times New Roman" w:hAnsi="Times New Roman"/>
                <w:caps w:val="false"/>
                <w:smallCaps w:val="false"/>
                <w:sz w:val="20"/>
              </w:rPr>
              <w:t>114</w:t>
            </w:r>
          </w:p>
        </w:tc>
      </w:tr>
    </w:tbl>
    <w:tbl>
      <w:tblPr>
        <w:tblW w:w="3595" w:type="dxa"/>
        <w:jc w:val="left"/>
        <w:tblInd w:w="0" w:type="dxa"/>
        <w:tblLayout w:type="fixed"/>
        <w:tblCellMar>
          <w:top w:w="0" w:type="dxa"/>
          <w:left w:w="0" w:type="dxa"/>
          <w:bottom w:w="0" w:type="dxa"/>
          <w:right w:w="0" w:type="dxa"/>
        </w:tblCellMar>
      </w:tblPr>
      <w:tblGrid>
        <w:gridCol w:w="60"/>
        <w:gridCol w:w="380"/>
        <w:gridCol w:w="31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7.07</w:t>
            </w:r>
          </w:p>
        </w:tc>
        <w:tc>
          <w:tcPr>
            <w:tcW w:w="3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Sale and Leaseback Transactions</w:t>
            </w:r>
            <w:r>
              <w:rPr>
                <w:rFonts w:ascii="Times New Roman" w:hAnsi="Times New Roman"/>
                <w:caps w:val="false"/>
                <w:smallCaps w:val="false"/>
                <w:sz w:val="20"/>
              </w:rPr>
              <w:t>115</w:t>
            </w:r>
          </w:p>
        </w:tc>
      </w:tr>
    </w:tbl>
    <w:tbl>
      <w:tblPr>
        <w:tblW w:w="1585" w:type="dxa"/>
        <w:jc w:val="left"/>
        <w:tblInd w:w="0" w:type="dxa"/>
        <w:tblLayout w:type="fixed"/>
        <w:tblCellMar>
          <w:top w:w="0" w:type="dxa"/>
          <w:left w:w="0" w:type="dxa"/>
          <w:bottom w:w="0" w:type="dxa"/>
          <w:right w:w="0" w:type="dxa"/>
        </w:tblCellMar>
      </w:tblPr>
      <w:tblGrid>
        <w:gridCol w:w="60"/>
        <w:gridCol w:w="380"/>
        <w:gridCol w:w="11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7.08</w:t>
            </w:r>
          </w:p>
        </w:tc>
        <w:tc>
          <w:tcPr>
            <w:tcW w:w="1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Sanctions</w:t>
            </w:r>
            <w:r>
              <w:rPr>
                <w:rFonts w:ascii="Times New Roman" w:hAnsi="Times New Roman"/>
                <w:caps w:val="false"/>
                <w:smallCaps w:val="false"/>
                <w:sz w:val="20"/>
              </w:rPr>
              <w:t>115</w:t>
            </w:r>
          </w:p>
        </w:tc>
      </w:tr>
    </w:tbl>
    <w:tbl>
      <w:tblPr>
        <w:tblW w:w="2650" w:type="dxa"/>
        <w:jc w:val="left"/>
        <w:tblInd w:w="0" w:type="dxa"/>
        <w:tblLayout w:type="fixed"/>
        <w:tblCellMar>
          <w:top w:w="0" w:type="dxa"/>
          <w:left w:w="0" w:type="dxa"/>
          <w:bottom w:w="0" w:type="dxa"/>
          <w:right w:w="0" w:type="dxa"/>
        </w:tblCellMar>
      </w:tblPr>
      <w:tblGrid>
        <w:gridCol w:w="60"/>
        <w:gridCol w:w="380"/>
        <w:gridCol w:w="22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7.09</w:t>
            </w:r>
          </w:p>
        </w:tc>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Anti-Corruption Laws</w:t>
            </w:r>
            <w:r>
              <w:rPr>
                <w:rFonts w:ascii="Times New Roman" w:hAnsi="Times New Roman"/>
                <w:caps w:val="false"/>
                <w:smallCaps w:val="false"/>
                <w:sz w:val="20"/>
              </w:rPr>
              <w:t>115</w:t>
            </w:r>
          </w:p>
        </w:tc>
      </w:tr>
    </w:tbl>
    <w:tbl>
      <w:tblPr>
        <w:tblW w:w="1675" w:type="dxa"/>
        <w:jc w:val="left"/>
        <w:tblInd w:w="0" w:type="dxa"/>
        <w:tblLayout w:type="fixed"/>
        <w:tblCellMar>
          <w:top w:w="0" w:type="dxa"/>
          <w:left w:w="0" w:type="dxa"/>
          <w:bottom w:w="0" w:type="dxa"/>
          <w:right w:w="0" w:type="dxa"/>
        </w:tblCellMar>
      </w:tblPr>
      <w:tblGrid>
        <w:gridCol w:w="60"/>
        <w:gridCol w:w="380"/>
        <w:gridCol w:w="12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7.10</w:t>
            </w:r>
          </w:p>
        </w:tc>
        <w:tc>
          <w:tcPr>
            <w:tcW w:w="1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115</w:t>
            </w:r>
          </w:p>
        </w:tc>
      </w:tr>
    </w:tbl>
    <w:tbl>
      <w:tblPr>
        <w:tblW w:w="2050" w:type="dxa"/>
        <w:jc w:val="left"/>
        <w:tblInd w:w="0" w:type="dxa"/>
        <w:tblLayout w:type="fixed"/>
        <w:tblCellMar>
          <w:top w:w="0" w:type="dxa"/>
          <w:left w:w="0" w:type="dxa"/>
          <w:bottom w:w="0" w:type="dxa"/>
          <w:right w:w="0" w:type="dxa"/>
        </w:tblCellMar>
      </w:tblPr>
      <w:tblGrid>
        <w:gridCol w:w="60"/>
        <w:gridCol w:w="380"/>
        <w:gridCol w:w="16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7.11</w:t>
            </w:r>
          </w:p>
        </w:tc>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Grower Basket</w:t>
            </w:r>
            <w:r>
              <w:rPr>
                <w:rFonts w:ascii="Times New Roman" w:hAnsi="Times New Roman"/>
                <w:caps w:val="false"/>
                <w:smallCaps w:val="false"/>
                <w:sz w:val="20"/>
              </w:rPr>
              <w:t>115</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60"/>
        <w:gridCol w:w="380"/>
        <w:gridCol w:w="21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7.12</w:t>
            </w:r>
          </w:p>
        </w:tc>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Outbound Investment</w:t>
            </w:r>
            <w:r>
              <w:rPr>
                <w:rFonts w:ascii="Times New Roman" w:hAnsi="Times New Roman"/>
                <w:caps w:val="false"/>
                <w:smallCaps w:val="false"/>
                <w:sz w:val="20"/>
              </w:rPr>
              <w:t>115</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380"/>
        <w:gridCol w:w="39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3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 AND REMEDIES</w:t>
            </w:r>
            <w:r>
              <w:rPr>
                <w:rFonts w:ascii="Times New Roman" w:hAnsi="Times New Roman"/>
                <w:caps w:val="false"/>
                <w:smallCaps w:val="false"/>
                <w:sz w:val="20"/>
              </w:rPr>
              <w:t>115</w:t>
            </w:r>
          </w:p>
        </w:tc>
      </w:tr>
    </w:tbl>
    <w:tbl>
      <w:tblPr>
        <w:tblW w:w="2215" w:type="dxa"/>
        <w:jc w:val="left"/>
        <w:tblInd w:w="0" w:type="dxa"/>
        <w:tblLayout w:type="fixed"/>
        <w:tblCellMar>
          <w:top w:w="0" w:type="dxa"/>
          <w:left w:w="0" w:type="dxa"/>
          <w:bottom w:w="0" w:type="dxa"/>
          <w:right w:w="0" w:type="dxa"/>
        </w:tblCellMar>
      </w:tblPr>
      <w:tblGrid>
        <w:gridCol w:w="60"/>
        <w:gridCol w:w="380"/>
        <w:gridCol w:w="17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8.01</w:t>
            </w:r>
          </w:p>
        </w:tc>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w:t>
            </w:r>
            <w:r>
              <w:rPr>
                <w:rFonts w:ascii="Times New Roman" w:hAnsi="Times New Roman"/>
                <w:caps w:val="false"/>
                <w:smallCaps w:val="false"/>
                <w:sz w:val="20"/>
              </w:rPr>
              <w:t>115</w:t>
            </w:r>
          </w:p>
        </w:tc>
      </w:tr>
    </w:tbl>
    <w:tbl>
      <w:tblPr>
        <w:tblW w:w="3460" w:type="dxa"/>
        <w:jc w:val="left"/>
        <w:tblInd w:w="0" w:type="dxa"/>
        <w:tblLayout w:type="fixed"/>
        <w:tblCellMar>
          <w:top w:w="0" w:type="dxa"/>
          <w:left w:w="0" w:type="dxa"/>
          <w:bottom w:w="0" w:type="dxa"/>
          <w:right w:w="0" w:type="dxa"/>
        </w:tblCellMar>
      </w:tblPr>
      <w:tblGrid>
        <w:gridCol w:w="60"/>
        <w:gridCol w:w="380"/>
        <w:gridCol w:w="30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8.02</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Remedies upon Event of Default</w:t>
            </w:r>
            <w:r>
              <w:rPr>
                <w:rFonts w:ascii="Times New Roman" w:hAnsi="Times New Roman"/>
                <w:caps w:val="false"/>
                <w:smallCaps w:val="false"/>
                <w:sz w:val="20"/>
              </w:rPr>
              <w:t>117</w:t>
            </w:r>
          </w:p>
        </w:tc>
      </w:tr>
    </w:tbl>
    <w:tbl>
      <w:tblPr>
        <w:tblW w:w="2530" w:type="dxa"/>
        <w:jc w:val="left"/>
        <w:tblInd w:w="0" w:type="dxa"/>
        <w:tblLayout w:type="fixed"/>
        <w:tblCellMar>
          <w:top w:w="0" w:type="dxa"/>
          <w:left w:w="0" w:type="dxa"/>
          <w:bottom w:w="0" w:type="dxa"/>
          <w:right w:w="0" w:type="dxa"/>
        </w:tblCellMar>
      </w:tblPr>
      <w:tblGrid>
        <w:gridCol w:w="60"/>
        <w:gridCol w:w="380"/>
        <w:gridCol w:w="20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8.03</w:t>
            </w:r>
          </w:p>
        </w:tc>
        <w:tc>
          <w:tcPr>
            <w:tcW w:w="2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Funds</w:t>
            </w:r>
            <w:r>
              <w:rPr>
                <w:rFonts w:ascii="Times New Roman" w:hAnsi="Times New Roman"/>
                <w:caps w:val="false"/>
                <w:smallCaps w:val="false"/>
                <w:sz w:val="20"/>
              </w:rPr>
              <w:t>118</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260"/>
        <w:gridCol w:w="279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ADMINISTRATIVE AGENT</w:t>
            </w:r>
            <w:r>
              <w:rPr>
                <w:rFonts w:ascii="Times New Roman" w:hAnsi="Times New Roman"/>
                <w:caps w:val="false"/>
                <w:smallCaps w:val="false"/>
                <w:sz w:val="20"/>
              </w:rPr>
              <w:t>119</w:t>
            </w:r>
          </w:p>
        </w:tc>
      </w:tr>
    </w:tbl>
    <w:tbl>
      <w:tblPr>
        <w:tblW w:w="3100" w:type="dxa"/>
        <w:jc w:val="left"/>
        <w:tblInd w:w="0" w:type="dxa"/>
        <w:tblLayout w:type="fixed"/>
        <w:tblCellMar>
          <w:top w:w="0" w:type="dxa"/>
          <w:left w:w="0" w:type="dxa"/>
          <w:bottom w:w="0" w:type="dxa"/>
          <w:right w:w="0" w:type="dxa"/>
        </w:tblCellMar>
      </w:tblPr>
      <w:tblGrid>
        <w:gridCol w:w="60"/>
        <w:gridCol w:w="380"/>
        <w:gridCol w:w="26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9.01</w:t>
            </w:r>
          </w:p>
        </w:tc>
        <w:tc>
          <w:tcPr>
            <w:tcW w:w="2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Appointment and Authority</w:t>
            </w:r>
            <w:r>
              <w:rPr>
                <w:rFonts w:ascii="Times New Roman" w:hAnsi="Times New Roman"/>
                <w:caps w:val="false"/>
                <w:smallCaps w:val="false"/>
                <w:sz w:val="20"/>
              </w:rPr>
              <w:t>119</w:t>
            </w:r>
          </w:p>
        </w:tc>
      </w:tr>
    </w:tbl>
    <w:tbl>
      <w:tblPr>
        <w:tblW w:w="2350" w:type="dxa"/>
        <w:jc w:val="left"/>
        <w:tblInd w:w="0" w:type="dxa"/>
        <w:tblLayout w:type="fixed"/>
        <w:tblCellMar>
          <w:top w:w="0" w:type="dxa"/>
          <w:left w:w="0" w:type="dxa"/>
          <w:bottom w:w="0" w:type="dxa"/>
          <w:right w:w="0" w:type="dxa"/>
        </w:tblCellMar>
      </w:tblPr>
      <w:tblGrid>
        <w:gridCol w:w="60"/>
        <w:gridCol w:w="380"/>
        <w:gridCol w:w="19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9.02</w:t>
            </w:r>
          </w:p>
        </w:tc>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Rights as a Lender</w:t>
            </w:r>
            <w:r>
              <w:rPr>
                <w:rFonts w:ascii="Times New Roman" w:hAnsi="Times New Roman"/>
                <w:caps w:val="false"/>
                <w:smallCaps w:val="false"/>
                <w:sz w:val="20"/>
              </w:rPr>
              <w:t>120</w:t>
            </w:r>
          </w:p>
        </w:tc>
      </w:tr>
    </w:tbl>
    <w:tbl>
      <w:tblPr>
        <w:tblW w:w="2785" w:type="dxa"/>
        <w:jc w:val="left"/>
        <w:tblInd w:w="0" w:type="dxa"/>
        <w:tblLayout w:type="fixed"/>
        <w:tblCellMar>
          <w:top w:w="0" w:type="dxa"/>
          <w:left w:w="0" w:type="dxa"/>
          <w:bottom w:w="0" w:type="dxa"/>
          <w:right w:w="0" w:type="dxa"/>
        </w:tblCellMar>
      </w:tblPr>
      <w:tblGrid>
        <w:gridCol w:w="60"/>
        <w:gridCol w:w="380"/>
        <w:gridCol w:w="23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9.03</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Exculpatory Provisions</w:t>
            </w:r>
            <w:r>
              <w:rPr>
                <w:rFonts w:ascii="Times New Roman" w:hAnsi="Times New Roman"/>
                <w:caps w:val="false"/>
                <w:smallCaps w:val="false"/>
                <w:sz w:val="20"/>
              </w:rPr>
              <w:t>120</w:t>
            </w:r>
          </w:p>
        </w:tc>
      </w:tr>
    </w:tbl>
    <w:tbl>
      <w:tblPr>
        <w:tblW w:w="3625" w:type="dxa"/>
        <w:jc w:val="left"/>
        <w:tblInd w:w="0" w:type="dxa"/>
        <w:tblLayout w:type="fixed"/>
        <w:tblCellMar>
          <w:top w:w="0" w:type="dxa"/>
          <w:left w:w="0" w:type="dxa"/>
          <w:bottom w:w="0" w:type="dxa"/>
          <w:right w:w="0" w:type="dxa"/>
        </w:tblCellMar>
      </w:tblPr>
      <w:tblGrid>
        <w:gridCol w:w="60"/>
        <w:gridCol w:w="380"/>
        <w:gridCol w:w="31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9.04</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Reliance by Administrative Agent</w:t>
            </w:r>
            <w:r>
              <w:rPr>
                <w:rFonts w:ascii="Times New Roman" w:hAnsi="Times New Roman"/>
                <w:caps w:val="false"/>
                <w:smallCaps w:val="false"/>
                <w:sz w:val="20"/>
              </w:rPr>
              <w:t>121</w:t>
            </w:r>
          </w:p>
        </w:tc>
      </w:tr>
    </w:tbl>
    <w:tbl>
      <w:tblPr>
        <w:tblW w:w="2470" w:type="dxa"/>
        <w:jc w:val="left"/>
        <w:tblInd w:w="0" w:type="dxa"/>
        <w:tblLayout w:type="fixed"/>
        <w:tblCellMar>
          <w:top w:w="0" w:type="dxa"/>
          <w:left w:w="0" w:type="dxa"/>
          <w:bottom w:w="0" w:type="dxa"/>
          <w:right w:w="0" w:type="dxa"/>
        </w:tblCellMar>
      </w:tblPr>
      <w:tblGrid>
        <w:gridCol w:w="60"/>
        <w:gridCol w:w="380"/>
        <w:gridCol w:w="20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9.05</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Delegation of Duties</w:t>
            </w:r>
            <w:r>
              <w:rPr>
                <w:rFonts w:ascii="Times New Roman" w:hAnsi="Times New Roman"/>
                <w:caps w:val="false"/>
                <w:smallCaps w:val="false"/>
                <w:sz w:val="20"/>
              </w:rPr>
              <w:t>122</w:t>
            </w:r>
          </w:p>
        </w:tc>
      </w:tr>
    </w:tbl>
    <w:tbl>
      <w:tblPr>
        <w:tblW w:w="3850" w:type="dxa"/>
        <w:jc w:val="left"/>
        <w:tblInd w:w="0" w:type="dxa"/>
        <w:tblLayout w:type="fixed"/>
        <w:tblCellMar>
          <w:top w:w="0" w:type="dxa"/>
          <w:left w:w="0" w:type="dxa"/>
          <w:bottom w:w="0" w:type="dxa"/>
          <w:right w:w="0" w:type="dxa"/>
        </w:tblCellMar>
      </w:tblPr>
      <w:tblGrid>
        <w:gridCol w:w="60"/>
        <w:gridCol w:w="380"/>
        <w:gridCol w:w="341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9.06</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Resignation of Administrative Agent</w:t>
            </w:r>
            <w:r>
              <w:rPr>
                <w:rFonts w:ascii="Times New Roman" w:hAnsi="Times New Roman"/>
                <w:caps w:val="false"/>
                <w:smallCaps w:val="false"/>
                <w:sz w:val="20"/>
              </w:rPr>
              <w:t>122</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380"/>
        <w:gridCol w:w="52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9.07</w:t>
            </w:r>
          </w:p>
        </w:tc>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Non-Reliance on Administrative Agent and Other Lenders</w:t>
            </w:r>
            <w:r>
              <w:rPr>
                <w:rFonts w:ascii="Times New Roman" w:hAnsi="Times New Roman"/>
                <w:caps w:val="false"/>
                <w:smallCaps w:val="false"/>
                <w:sz w:val="20"/>
              </w:rPr>
              <w:t>123</w:t>
            </w:r>
          </w:p>
        </w:tc>
      </w:tr>
    </w:tbl>
    <w:tbl>
      <w:tblPr>
        <w:tblW w:w="2500" w:type="dxa"/>
        <w:jc w:val="left"/>
        <w:tblInd w:w="0" w:type="dxa"/>
        <w:tblLayout w:type="fixed"/>
        <w:tblCellMar>
          <w:top w:w="0" w:type="dxa"/>
          <w:left w:w="0" w:type="dxa"/>
          <w:bottom w:w="0" w:type="dxa"/>
          <w:right w:w="0" w:type="dxa"/>
        </w:tblCellMar>
      </w:tblPr>
      <w:tblGrid>
        <w:gridCol w:w="60"/>
        <w:gridCol w:w="380"/>
        <w:gridCol w:w="20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9.08</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Other Duties, Etc</w:t>
            </w:r>
            <w:r>
              <w:rPr>
                <w:rFonts w:ascii="Times New Roman" w:hAnsi="Times New Roman"/>
                <w:caps w:val="false"/>
                <w:smallCaps w:val="false"/>
                <w:sz w:val="20"/>
              </w:rPr>
              <w:t>124</w:t>
            </w:r>
          </w:p>
        </w:tc>
      </w:tr>
    </w:tbl>
    <w:tbl>
      <w:tblPr>
        <w:tblW w:w="6145" w:type="dxa"/>
        <w:jc w:val="left"/>
        <w:tblInd w:w="0" w:type="dxa"/>
        <w:tblLayout w:type="fixed"/>
        <w:tblCellMar>
          <w:top w:w="0" w:type="dxa"/>
          <w:left w:w="0" w:type="dxa"/>
          <w:bottom w:w="0" w:type="dxa"/>
          <w:right w:w="0" w:type="dxa"/>
        </w:tblCellMar>
      </w:tblPr>
      <w:tblGrid>
        <w:gridCol w:w="60"/>
        <w:gridCol w:w="380"/>
        <w:gridCol w:w="57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9.09</w:t>
            </w:r>
          </w:p>
        </w:tc>
        <w:tc>
          <w:tcPr>
            <w:tcW w:w="5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Administrative Agent May File Proofs of Claim; Credit Bidding</w:t>
            </w:r>
            <w:r>
              <w:rPr>
                <w:rFonts w:ascii="Times New Roman" w:hAnsi="Times New Roman"/>
                <w:caps w:val="false"/>
                <w:smallCaps w:val="false"/>
                <w:sz w:val="20"/>
              </w:rPr>
              <w:t>124</w:t>
            </w:r>
          </w:p>
        </w:tc>
      </w:tr>
    </w:tbl>
    <w:tbl>
      <w:tblPr>
        <w:tblW w:w="3580" w:type="dxa"/>
        <w:jc w:val="left"/>
        <w:tblInd w:w="0" w:type="dxa"/>
        <w:tblLayout w:type="fixed"/>
        <w:tblCellMar>
          <w:top w:w="0" w:type="dxa"/>
          <w:left w:w="0" w:type="dxa"/>
          <w:bottom w:w="0" w:type="dxa"/>
          <w:right w:w="0" w:type="dxa"/>
        </w:tblCellMar>
      </w:tblPr>
      <w:tblGrid>
        <w:gridCol w:w="60"/>
        <w:gridCol w:w="380"/>
        <w:gridCol w:w="31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9.10</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and Guaranty Matters</w:t>
            </w:r>
            <w:r>
              <w:rPr>
                <w:rFonts w:ascii="Times New Roman" w:hAnsi="Times New Roman"/>
                <w:caps w:val="false"/>
                <w:smallCaps w:val="false"/>
                <w:sz w:val="20"/>
              </w:rPr>
              <w:t>126</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380"/>
        <w:gridCol w:w="63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9.11</w:t>
            </w:r>
          </w:p>
        </w:tc>
        <w:tc>
          <w:tcPr>
            <w:tcW w:w="6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Secured Cash Management Agreements and Secured Hedge Agreements</w:t>
            </w:r>
            <w:r>
              <w:rPr>
                <w:rFonts w:ascii="Times New Roman" w:hAnsi="Times New Roman"/>
                <w:caps w:val="false"/>
                <w:smallCaps w:val="false"/>
                <w:sz w:val="20"/>
              </w:rPr>
              <w:t>126</w:t>
            </w:r>
          </w:p>
        </w:tc>
      </w:tr>
    </w:tbl>
    <w:tbl>
      <w:tblPr>
        <w:tblW w:w="2755" w:type="dxa"/>
        <w:jc w:val="left"/>
        <w:tblInd w:w="0" w:type="dxa"/>
        <w:tblLayout w:type="fixed"/>
        <w:tblCellMar>
          <w:top w:w="0" w:type="dxa"/>
          <w:left w:w="0" w:type="dxa"/>
          <w:bottom w:w="0" w:type="dxa"/>
          <w:right w:w="0" w:type="dxa"/>
        </w:tblCellMar>
      </w:tblPr>
      <w:tblGrid>
        <w:gridCol w:w="60"/>
        <w:gridCol w:w="380"/>
        <w:gridCol w:w="23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9.12</w:t>
            </w:r>
          </w:p>
        </w:tc>
        <w:tc>
          <w:tcPr>
            <w:tcW w:w="2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ERISA Matters</w:t>
            </w:r>
            <w:r>
              <w:rPr>
                <w:rFonts w:ascii="Times New Roman" w:hAnsi="Times New Roman"/>
                <w:caps w:val="false"/>
                <w:smallCaps w:val="false"/>
                <w:sz w:val="20"/>
              </w:rPr>
              <w:t>127</w:t>
            </w:r>
          </w:p>
        </w:tc>
      </w:tr>
    </w:tbl>
    <w:tbl>
      <w:tblPr>
        <w:tblW w:w="3610" w:type="dxa"/>
        <w:jc w:val="left"/>
        <w:tblInd w:w="0" w:type="dxa"/>
        <w:tblLayout w:type="fixed"/>
        <w:tblCellMar>
          <w:top w:w="0" w:type="dxa"/>
          <w:left w:w="0" w:type="dxa"/>
          <w:bottom w:w="0" w:type="dxa"/>
          <w:right w:w="0" w:type="dxa"/>
        </w:tblCellMar>
      </w:tblPr>
      <w:tblGrid>
        <w:gridCol w:w="60"/>
        <w:gridCol w:w="380"/>
        <w:gridCol w:w="31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9.13</w:t>
            </w:r>
          </w:p>
        </w:tc>
        <w:tc>
          <w:tcPr>
            <w:tcW w:w="3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Recovery of Erroneous Payments</w:t>
            </w:r>
            <w:r>
              <w:rPr>
                <w:rFonts w:ascii="Times New Roman" w:hAnsi="Times New Roman"/>
                <w:caps w:val="false"/>
                <w:smallCaps w:val="false"/>
                <w:sz w:val="20"/>
              </w:rPr>
              <w:t>128</w:t>
            </w:r>
          </w:p>
        </w:tc>
      </w:tr>
    </w:tbl>
    <w:tbl>
      <w:tblPr>
        <w:tblW w:w="5170" w:type="dxa"/>
        <w:jc w:val="left"/>
        <w:tblInd w:w="0" w:type="dxa"/>
        <w:tblLayout w:type="fixed"/>
        <w:tblCellMar>
          <w:top w:w="0" w:type="dxa"/>
          <w:left w:w="0" w:type="dxa"/>
          <w:bottom w:w="0" w:type="dxa"/>
          <w:right w:w="0" w:type="dxa"/>
        </w:tblCellMar>
      </w:tblPr>
      <w:tblGrid>
        <w:gridCol w:w="60"/>
        <w:gridCol w:w="380"/>
        <w:gridCol w:w="47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9.14</w:t>
            </w:r>
          </w:p>
        </w:tc>
        <w:tc>
          <w:tcPr>
            <w:tcW w:w="4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Holdings Guaranty and Holdings Pledge Agreement</w:t>
            </w:r>
            <w:r>
              <w:rPr>
                <w:rFonts w:ascii="Times New Roman" w:hAnsi="Times New Roman"/>
                <w:caps w:val="false"/>
                <w:smallCaps w:val="false"/>
                <w:sz w:val="20"/>
              </w:rPr>
              <w:t>128</w:t>
            </w:r>
          </w:p>
        </w:tc>
      </w:tr>
    </w:tbl>
    <w:tbl>
      <w:tblPr>
        <w:tblW w:w="3805" w:type="dxa"/>
        <w:jc w:val="left"/>
        <w:tblInd w:w="0" w:type="dxa"/>
        <w:tblLayout w:type="fixed"/>
        <w:tblCellMar>
          <w:top w:w="0" w:type="dxa"/>
          <w:left w:w="0" w:type="dxa"/>
          <w:bottom w:w="0" w:type="dxa"/>
          <w:right w:w="0" w:type="dxa"/>
        </w:tblCellMar>
      </w:tblPr>
      <w:tblGrid>
        <w:gridCol w:w="60"/>
        <w:gridCol w:w="380"/>
        <w:gridCol w:w="33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9.15</w:t>
            </w:r>
          </w:p>
        </w:tc>
        <w:tc>
          <w:tcPr>
            <w:tcW w:w="33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Specified Declining Secured Parties.</w:t>
            </w:r>
            <w:r>
              <w:rPr>
                <w:rFonts w:ascii="Times New Roman" w:hAnsi="Times New Roman"/>
                <w:caps w:val="false"/>
                <w:smallCaps w:val="false"/>
                <w:sz w:val="20"/>
              </w:rPr>
              <w:t>129</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200"/>
        <w:gridCol w:w="27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CONTINUING GUARANTY</w:t>
            </w:r>
            <w:r>
              <w:rPr>
                <w:rFonts w:ascii="Times New Roman" w:hAnsi="Times New Roman"/>
                <w:caps w:val="false"/>
                <w:smallCaps w:val="false"/>
                <w:sz w:val="20"/>
              </w:rPr>
              <w:t>129</w:t>
            </w:r>
          </w:p>
        </w:tc>
      </w:tr>
    </w:tbl>
    <w:tbl>
      <w:tblPr>
        <w:tblW w:w="1705" w:type="dxa"/>
        <w:jc w:val="left"/>
        <w:tblInd w:w="0" w:type="dxa"/>
        <w:tblLayout w:type="fixed"/>
        <w:tblCellMar>
          <w:top w:w="0" w:type="dxa"/>
          <w:left w:w="0" w:type="dxa"/>
          <w:bottom w:w="0" w:type="dxa"/>
          <w:right w:w="0" w:type="dxa"/>
        </w:tblCellMar>
      </w:tblPr>
      <w:tblGrid>
        <w:gridCol w:w="60"/>
        <w:gridCol w:w="485"/>
        <w:gridCol w:w="11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10.01</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Guaranty</w:t>
            </w:r>
            <w:r>
              <w:rPr>
                <w:rFonts w:ascii="Times New Roman" w:hAnsi="Times New Roman"/>
                <w:caps w:val="false"/>
                <w:smallCaps w:val="false"/>
                <w:sz w:val="20"/>
              </w:rPr>
              <w:t>129</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485"/>
        <w:gridCol w:w="182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10.02</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Rights of Lenders</w:t>
            </w:r>
            <w:r>
              <w:rPr>
                <w:rFonts w:ascii="Times New Roman" w:hAnsi="Times New Roman"/>
                <w:caps w:val="false"/>
                <w:smallCaps w:val="false"/>
                <w:sz w:val="20"/>
              </w:rPr>
              <w:t>130</w:t>
            </w:r>
          </w:p>
        </w:tc>
      </w:tr>
    </w:tbl>
    <w:tbl>
      <w:tblPr>
        <w:tblW w:w="2290" w:type="dxa"/>
        <w:jc w:val="left"/>
        <w:tblInd w:w="0" w:type="dxa"/>
        <w:tblLayout w:type="fixed"/>
        <w:tblCellMar>
          <w:top w:w="0" w:type="dxa"/>
          <w:left w:w="0" w:type="dxa"/>
          <w:bottom w:w="0" w:type="dxa"/>
          <w:right w:w="0" w:type="dxa"/>
        </w:tblCellMar>
      </w:tblPr>
      <w:tblGrid>
        <w:gridCol w:w="60"/>
        <w:gridCol w:w="485"/>
        <w:gridCol w:w="174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10.03</w:t>
            </w:r>
          </w:p>
        </w:tc>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Waivers</w:t>
            </w:r>
            <w:r>
              <w:rPr>
                <w:rFonts w:ascii="Times New Roman" w:hAnsi="Times New Roman"/>
                <w:caps w:val="false"/>
                <w:smallCaps w:val="false"/>
                <w:sz w:val="20"/>
              </w:rPr>
              <w:t>130</w:t>
            </w:r>
          </w:p>
        </w:tc>
      </w:tr>
    </w:tbl>
    <w:tbl>
      <w:tblPr>
        <w:tblW w:w="2950" w:type="dxa"/>
        <w:jc w:val="left"/>
        <w:tblInd w:w="0" w:type="dxa"/>
        <w:tblLayout w:type="fixed"/>
        <w:tblCellMar>
          <w:top w:w="0" w:type="dxa"/>
          <w:left w:w="0" w:type="dxa"/>
          <w:bottom w:w="0" w:type="dxa"/>
          <w:right w:w="0" w:type="dxa"/>
        </w:tblCellMar>
      </w:tblPr>
      <w:tblGrid>
        <w:gridCol w:w="60"/>
        <w:gridCol w:w="485"/>
        <w:gridCol w:w="240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10.04</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Obligations Independent</w:t>
            </w:r>
            <w:r>
              <w:rPr>
                <w:rFonts w:ascii="Times New Roman" w:hAnsi="Times New Roman"/>
                <w:caps w:val="false"/>
                <w:smallCaps w:val="false"/>
                <w:sz w:val="20"/>
              </w:rPr>
              <w:t>130</w:t>
            </w:r>
          </w:p>
        </w:tc>
      </w:tr>
    </w:tbl>
    <w:tbl>
      <w:tblPr>
        <w:tblW w:w="1930" w:type="dxa"/>
        <w:jc w:val="left"/>
        <w:tblInd w:w="0" w:type="dxa"/>
        <w:tblLayout w:type="fixed"/>
        <w:tblCellMar>
          <w:top w:w="0" w:type="dxa"/>
          <w:left w:w="0" w:type="dxa"/>
          <w:bottom w:w="0" w:type="dxa"/>
          <w:right w:w="0" w:type="dxa"/>
        </w:tblCellMar>
      </w:tblPr>
      <w:tblGrid>
        <w:gridCol w:w="60"/>
        <w:gridCol w:w="485"/>
        <w:gridCol w:w="138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10.05</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Subrogation</w:t>
            </w:r>
            <w:r>
              <w:rPr>
                <w:rFonts w:ascii="Times New Roman" w:hAnsi="Times New Roman"/>
                <w:caps w:val="false"/>
                <w:smallCaps w:val="false"/>
                <w:sz w:val="20"/>
              </w:rPr>
              <w:t>130</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485"/>
        <w:gridCol w:w="272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10.06</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Termination; Reinstatement</w:t>
            </w:r>
            <w:r>
              <w:rPr>
                <w:rFonts w:ascii="Times New Roman" w:hAnsi="Times New Roman"/>
                <w:caps w:val="false"/>
                <w:smallCaps w:val="false"/>
                <w:sz w:val="20"/>
              </w:rPr>
              <w:t>130</w:t>
            </w:r>
          </w:p>
        </w:tc>
      </w:tr>
    </w:tbl>
    <w:tbl>
      <w:tblPr>
        <w:tblW w:w="2590" w:type="dxa"/>
        <w:jc w:val="left"/>
        <w:tblInd w:w="0" w:type="dxa"/>
        <w:tblLayout w:type="fixed"/>
        <w:tblCellMar>
          <w:top w:w="0" w:type="dxa"/>
          <w:left w:w="0" w:type="dxa"/>
          <w:bottom w:w="0" w:type="dxa"/>
          <w:right w:w="0" w:type="dxa"/>
        </w:tblCellMar>
      </w:tblPr>
      <w:tblGrid>
        <w:gridCol w:w="60"/>
        <w:gridCol w:w="485"/>
        <w:gridCol w:w="204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10.07</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Stay of Acceleration</w:t>
            </w:r>
            <w:r>
              <w:rPr>
                <w:rFonts w:ascii="Times New Roman" w:hAnsi="Times New Roman"/>
                <w:caps w:val="false"/>
                <w:smallCaps w:val="false"/>
                <w:sz w:val="20"/>
              </w:rPr>
              <w:t>131</w:t>
            </w:r>
          </w:p>
        </w:tc>
      </w:tr>
    </w:tbl>
    <w:tbl>
      <w:tblPr>
        <w:tblW w:w="2815" w:type="dxa"/>
        <w:jc w:val="left"/>
        <w:tblInd w:w="0" w:type="dxa"/>
        <w:tblLayout w:type="fixed"/>
        <w:tblCellMar>
          <w:top w:w="0" w:type="dxa"/>
          <w:left w:w="0" w:type="dxa"/>
          <w:bottom w:w="0" w:type="dxa"/>
          <w:right w:w="0" w:type="dxa"/>
        </w:tblCellMar>
      </w:tblPr>
      <w:tblGrid>
        <w:gridCol w:w="60"/>
        <w:gridCol w:w="485"/>
        <w:gridCol w:w="22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10.08</w:t>
            </w:r>
          </w:p>
        </w:tc>
        <w:tc>
          <w:tcPr>
            <w:tcW w:w="2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 of Borrower</w:t>
            </w:r>
            <w:r>
              <w:rPr>
                <w:rFonts w:ascii="Times New Roman" w:hAnsi="Times New Roman"/>
                <w:caps w:val="false"/>
                <w:smallCaps w:val="false"/>
                <w:sz w:val="20"/>
              </w:rPr>
              <w:t>131</w:t>
            </w:r>
          </w:p>
        </w:tc>
      </w:tr>
    </w:tbl>
    <w:tbl>
      <w:tblPr>
        <w:tblW w:w="3070" w:type="dxa"/>
        <w:jc w:val="left"/>
        <w:tblInd w:w="0" w:type="dxa"/>
        <w:tblLayout w:type="fixed"/>
        <w:tblCellMar>
          <w:top w:w="0" w:type="dxa"/>
          <w:left w:w="0" w:type="dxa"/>
          <w:bottom w:w="0" w:type="dxa"/>
          <w:right w:w="0" w:type="dxa"/>
        </w:tblCellMar>
      </w:tblPr>
      <w:tblGrid>
        <w:gridCol w:w="60"/>
        <w:gridCol w:w="485"/>
        <w:gridCol w:w="252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10.09</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Appointment of Borrower</w:t>
            </w:r>
            <w:r>
              <w:rPr>
                <w:rFonts w:ascii="Times New Roman" w:hAnsi="Times New Roman"/>
                <w:caps w:val="false"/>
                <w:smallCaps w:val="false"/>
                <w:sz w:val="20"/>
              </w:rPr>
              <w:t>131</w:t>
            </w:r>
          </w:p>
        </w:tc>
      </w:tr>
    </w:tbl>
    <w:tbl>
      <w:tblPr>
        <w:tblW w:w="2695" w:type="dxa"/>
        <w:jc w:val="left"/>
        <w:tblInd w:w="0" w:type="dxa"/>
        <w:tblLayout w:type="fixed"/>
        <w:tblCellMar>
          <w:top w:w="0" w:type="dxa"/>
          <w:left w:w="0" w:type="dxa"/>
          <w:bottom w:w="0" w:type="dxa"/>
          <w:right w:w="0" w:type="dxa"/>
        </w:tblCellMar>
      </w:tblPr>
      <w:tblGrid>
        <w:gridCol w:w="60"/>
        <w:gridCol w:w="485"/>
        <w:gridCol w:w="215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10.10</w:t>
            </w:r>
          </w:p>
        </w:tc>
        <w:tc>
          <w:tcPr>
            <w:tcW w:w="2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Right of Contribution</w:t>
            </w:r>
            <w:r>
              <w:rPr>
                <w:rFonts w:ascii="Times New Roman" w:hAnsi="Times New Roman"/>
                <w:caps w:val="false"/>
                <w:smallCaps w:val="false"/>
                <w:sz w:val="20"/>
              </w:rPr>
              <w:t>131</w:t>
            </w:r>
          </w:p>
        </w:tc>
      </w:tr>
    </w:tbl>
    <w:tbl>
      <w:tblPr>
        <w:tblW w:w="1660" w:type="dxa"/>
        <w:jc w:val="left"/>
        <w:tblInd w:w="0" w:type="dxa"/>
        <w:tblLayout w:type="fixed"/>
        <w:tblCellMar>
          <w:top w:w="0" w:type="dxa"/>
          <w:left w:w="0" w:type="dxa"/>
          <w:bottom w:w="0" w:type="dxa"/>
          <w:right w:w="0" w:type="dxa"/>
        </w:tblCellMar>
      </w:tblPr>
      <w:tblGrid>
        <w:gridCol w:w="60"/>
        <w:gridCol w:w="485"/>
        <w:gridCol w:w="111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1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Keepwell</w:t>
            </w:r>
            <w:r>
              <w:rPr>
                <w:rFonts w:ascii="Times New Roman" w:hAnsi="Times New Roman"/>
                <w:caps w:val="false"/>
                <w:smallCaps w:val="false"/>
                <w:sz w:val="20"/>
              </w:rPr>
              <w:t>131</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260"/>
        <w:gridCol w:w="203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w:t>
            </w:r>
          </w:p>
        </w:tc>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MISCELLANEOUS</w:t>
            </w:r>
            <w:r>
              <w:rPr>
                <w:rFonts w:ascii="Times New Roman" w:hAnsi="Times New Roman"/>
                <w:caps w:val="false"/>
                <w:smallCaps w:val="false"/>
                <w:sz w:val="20"/>
              </w:rPr>
              <w:t>132</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60"/>
        <w:gridCol w:w="485"/>
        <w:gridCol w:w="180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11.01</w:t>
            </w:r>
          </w:p>
        </w:tc>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Amendments, Etc</w:t>
            </w:r>
            <w:r>
              <w:rPr>
                <w:rFonts w:ascii="Times New Roman" w:hAnsi="Times New Roman"/>
                <w:caps w:val="false"/>
                <w:smallCaps w:val="false"/>
                <w:sz w:val="20"/>
              </w:rPr>
              <w:t>132</w:t>
            </w:r>
          </w:p>
        </w:tc>
      </w:tr>
    </w:tbl>
    <w:tbl>
      <w:tblPr>
        <w:tblW w:w="5170" w:type="dxa"/>
        <w:jc w:val="left"/>
        <w:tblInd w:w="0" w:type="dxa"/>
        <w:tblLayout w:type="fixed"/>
        <w:tblCellMar>
          <w:top w:w="0" w:type="dxa"/>
          <w:left w:w="0" w:type="dxa"/>
          <w:bottom w:w="0" w:type="dxa"/>
          <w:right w:w="0" w:type="dxa"/>
        </w:tblCellMar>
      </w:tblPr>
      <w:tblGrid>
        <w:gridCol w:w="60"/>
        <w:gridCol w:w="485"/>
        <w:gridCol w:w="462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11.02</w:t>
            </w:r>
          </w:p>
        </w:tc>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Notices; Effectiveness; Electronic Communications</w:t>
            </w:r>
            <w:r>
              <w:rPr>
                <w:rFonts w:ascii="Times New Roman" w:hAnsi="Times New Roman"/>
                <w:caps w:val="false"/>
                <w:smallCaps w:val="false"/>
                <w:sz w:val="20"/>
              </w:rPr>
              <w:t>134</w:t>
            </w:r>
          </w:p>
        </w:tc>
      </w:tr>
    </w:tbl>
    <w:tbl>
      <w:tblPr>
        <w:tblW w:w="4960" w:type="dxa"/>
        <w:jc w:val="left"/>
        <w:tblInd w:w="0" w:type="dxa"/>
        <w:tblLayout w:type="fixed"/>
        <w:tblCellMar>
          <w:top w:w="0" w:type="dxa"/>
          <w:left w:w="0" w:type="dxa"/>
          <w:bottom w:w="0" w:type="dxa"/>
          <w:right w:w="0" w:type="dxa"/>
        </w:tblCellMar>
      </w:tblPr>
      <w:tblGrid>
        <w:gridCol w:w="60"/>
        <w:gridCol w:w="485"/>
        <w:gridCol w:w="441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11.03</w:t>
            </w:r>
          </w:p>
        </w:tc>
        <w:tc>
          <w:tcPr>
            <w:tcW w:w="4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Waiver; Cumulative Remedies; Enforcement</w:t>
            </w:r>
            <w:r>
              <w:rPr>
                <w:rFonts w:ascii="Times New Roman" w:hAnsi="Times New Roman"/>
                <w:caps w:val="false"/>
                <w:smallCaps w:val="false"/>
                <w:sz w:val="20"/>
              </w:rPr>
              <w:t>136</w:t>
            </w:r>
          </w:p>
        </w:tc>
      </w:tr>
    </w:tbl>
    <w:tbl>
      <w:tblPr>
        <w:tblW w:w="4135" w:type="dxa"/>
        <w:jc w:val="left"/>
        <w:tblInd w:w="0" w:type="dxa"/>
        <w:tblLayout w:type="fixed"/>
        <w:tblCellMar>
          <w:top w:w="0" w:type="dxa"/>
          <w:left w:w="0" w:type="dxa"/>
          <w:bottom w:w="0" w:type="dxa"/>
          <w:right w:w="0" w:type="dxa"/>
        </w:tblCellMar>
      </w:tblPr>
      <w:tblGrid>
        <w:gridCol w:w="60"/>
        <w:gridCol w:w="485"/>
        <w:gridCol w:w="359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11.04</w:t>
            </w:r>
          </w:p>
        </w:tc>
        <w:tc>
          <w:tcPr>
            <w:tcW w:w="3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Expenses; Indemnity; Damage Waiver</w:t>
            </w:r>
            <w:r>
              <w:rPr>
                <w:rFonts w:ascii="Times New Roman" w:hAnsi="Times New Roman"/>
                <w:caps w:val="false"/>
                <w:smallCaps w:val="false"/>
                <w:sz w:val="20"/>
              </w:rPr>
              <w:t>137</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485"/>
        <w:gridCol w:w="19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11.05</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Set Aside</w:t>
            </w:r>
            <w:r>
              <w:rPr>
                <w:rFonts w:ascii="Times New Roman" w:hAnsi="Times New Roman"/>
                <w:caps w:val="false"/>
                <w:smallCaps w:val="false"/>
                <w:sz w:val="20"/>
              </w:rPr>
              <w:t>139</w:t>
            </w:r>
          </w:p>
        </w:tc>
      </w:tr>
    </w:tbl>
    <w:tbl>
      <w:tblPr>
        <w:tblW w:w="2815" w:type="dxa"/>
        <w:jc w:val="left"/>
        <w:tblInd w:w="0" w:type="dxa"/>
        <w:tblLayout w:type="fixed"/>
        <w:tblCellMar>
          <w:top w:w="0" w:type="dxa"/>
          <w:left w:w="0" w:type="dxa"/>
          <w:bottom w:w="0" w:type="dxa"/>
          <w:right w:w="0" w:type="dxa"/>
        </w:tblCellMar>
      </w:tblPr>
      <w:tblGrid>
        <w:gridCol w:w="60"/>
        <w:gridCol w:w="485"/>
        <w:gridCol w:w="22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11.06</w:t>
            </w:r>
          </w:p>
        </w:tc>
        <w:tc>
          <w:tcPr>
            <w:tcW w:w="2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139</w:t>
            </w:r>
          </w:p>
        </w:tc>
      </w:tr>
    </w:tbl>
    <w:tbl>
      <w:tblPr>
        <w:tblW w:w="5140" w:type="dxa"/>
        <w:jc w:val="left"/>
        <w:tblInd w:w="0" w:type="dxa"/>
        <w:tblLayout w:type="fixed"/>
        <w:tblCellMar>
          <w:top w:w="0" w:type="dxa"/>
          <w:left w:w="0" w:type="dxa"/>
          <w:bottom w:w="0" w:type="dxa"/>
          <w:right w:w="0" w:type="dxa"/>
        </w:tblCellMar>
      </w:tblPr>
      <w:tblGrid>
        <w:gridCol w:w="60"/>
        <w:gridCol w:w="485"/>
        <w:gridCol w:w="459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11.07</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Certain Information; Confidentiality</w:t>
            </w:r>
            <w:r>
              <w:rPr>
                <w:rFonts w:ascii="Times New Roman" w:hAnsi="Times New Roman"/>
                <w:caps w:val="false"/>
                <w:smallCaps w:val="false"/>
                <w:sz w:val="20"/>
              </w:rPr>
              <w:t>145</w:t>
            </w:r>
          </w:p>
        </w:tc>
      </w:tr>
    </w:tbl>
    <w:tbl>
      <w:tblPr>
        <w:tblW w:w="2080" w:type="dxa"/>
        <w:jc w:val="left"/>
        <w:tblInd w:w="0" w:type="dxa"/>
        <w:tblLayout w:type="fixed"/>
        <w:tblCellMar>
          <w:top w:w="0" w:type="dxa"/>
          <w:left w:w="0" w:type="dxa"/>
          <w:bottom w:w="0" w:type="dxa"/>
          <w:right w:w="0" w:type="dxa"/>
        </w:tblCellMar>
      </w:tblPr>
      <w:tblGrid>
        <w:gridCol w:w="60"/>
        <w:gridCol w:w="485"/>
        <w:gridCol w:w="153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11.08</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Right of Setoff</w:t>
            </w:r>
            <w:r>
              <w:rPr>
                <w:rFonts w:ascii="Times New Roman" w:hAnsi="Times New Roman"/>
                <w:caps w:val="false"/>
                <w:smallCaps w:val="false"/>
                <w:sz w:val="20"/>
              </w:rPr>
              <w:t>146</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485"/>
        <w:gridCol w:w="237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11.09</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Rate Limitation</w:t>
            </w:r>
            <w:r>
              <w:rPr>
                <w:rFonts w:ascii="Times New Roman" w:hAnsi="Times New Roman"/>
                <w:caps w:val="false"/>
                <w:smallCaps w:val="false"/>
                <w:sz w:val="20"/>
              </w:rPr>
              <w:t>147</w:t>
            </w:r>
          </w:p>
        </w:tc>
      </w:tr>
    </w:tbl>
    <w:tbl>
      <w:tblPr>
        <w:tblW w:w="3040" w:type="dxa"/>
        <w:jc w:val="left"/>
        <w:tblInd w:w="0" w:type="dxa"/>
        <w:tblLayout w:type="fixed"/>
        <w:tblCellMar>
          <w:top w:w="0" w:type="dxa"/>
          <w:left w:w="0" w:type="dxa"/>
          <w:bottom w:w="0" w:type="dxa"/>
          <w:right w:w="0" w:type="dxa"/>
        </w:tblCellMar>
      </w:tblPr>
      <w:tblGrid>
        <w:gridCol w:w="60"/>
        <w:gridCol w:w="485"/>
        <w:gridCol w:w="249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11.10</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Integration; Effectiveness</w:t>
            </w:r>
            <w:r>
              <w:rPr>
                <w:rFonts w:ascii="Times New Roman" w:hAnsi="Times New Roman"/>
                <w:caps w:val="false"/>
                <w:smallCaps w:val="false"/>
                <w:sz w:val="20"/>
              </w:rPr>
              <w:t>147</w:t>
            </w:r>
          </w:p>
        </w:tc>
      </w:tr>
    </w:tbl>
    <w:tbl>
      <w:tblPr>
        <w:tblW w:w="4600" w:type="dxa"/>
        <w:jc w:val="left"/>
        <w:tblInd w:w="0" w:type="dxa"/>
        <w:tblLayout w:type="fixed"/>
        <w:tblCellMar>
          <w:top w:w="0" w:type="dxa"/>
          <w:left w:w="0" w:type="dxa"/>
          <w:bottom w:w="0" w:type="dxa"/>
          <w:right w:w="0" w:type="dxa"/>
        </w:tblCellMar>
      </w:tblPr>
      <w:tblGrid>
        <w:gridCol w:w="60"/>
        <w:gridCol w:w="485"/>
        <w:gridCol w:w="405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11.11</w:t>
            </w:r>
          </w:p>
        </w:tc>
        <w:tc>
          <w:tcPr>
            <w:tcW w:w="4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Survival of Representations and Warranties</w:t>
            </w:r>
            <w:r>
              <w:rPr>
                <w:rFonts w:ascii="Times New Roman" w:hAnsi="Times New Roman"/>
                <w:caps w:val="false"/>
                <w:smallCaps w:val="false"/>
                <w:sz w:val="20"/>
              </w:rPr>
              <w:t>147</w:t>
            </w:r>
          </w:p>
        </w:tc>
      </w:tr>
    </w:tbl>
    <w:tbl>
      <w:tblPr>
        <w:tblW w:w="1915" w:type="dxa"/>
        <w:jc w:val="left"/>
        <w:tblInd w:w="0" w:type="dxa"/>
        <w:tblLayout w:type="fixed"/>
        <w:tblCellMar>
          <w:top w:w="0" w:type="dxa"/>
          <w:left w:w="0" w:type="dxa"/>
          <w:bottom w:w="0" w:type="dxa"/>
          <w:right w:w="0" w:type="dxa"/>
        </w:tblCellMar>
      </w:tblPr>
      <w:tblGrid>
        <w:gridCol w:w="60"/>
        <w:gridCol w:w="485"/>
        <w:gridCol w:w="13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11.12</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Severability</w:t>
            </w:r>
            <w:r>
              <w:rPr>
                <w:rFonts w:ascii="Times New Roman" w:hAnsi="Times New Roman"/>
                <w:caps w:val="false"/>
                <w:smallCaps w:val="false"/>
                <w:sz w:val="20"/>
              </w:rPr>
              <w:t>147</w:t>
            </w:r>
          </w:p>
        </w:tc>
      </w:tr>
    </w:tbl>
    <w:tbl>
      <w:tblPr>
        <w:tblW w:w="2920" w:type="dxa"/>
        <w:jc w:val="left"/>
        <w:tblInd w:w="0" w:type="dxa"/>
        <w:tblLayout w:type="fixed"/>
        <w:tblCellMar>
          <w:top w:w="0" w:type="dxa"/>
          <w:left w:w="0" w:type="dxa"/>
          <w:bottom w:w="0" w:type="dxa"/>
          <w:right w:w="0" w:type="dxa"/>
        </w:tblCellMar>
      </w:tblPr>
      <w:tblGrid>
        <w:gridCol w:w="60"/>
        <w:gridCol w:w="485"/>
        <w:gridCol w:w="237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11.13</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Replacement of Lenders</w:t>
            </w:r>
            <w:r>
              <w:rPr>
                <w:rFonts w:ascii="Times New Roman" w:hAnsi="Times New Roman"/>
                <w:caps w:val="false"/>
                <w:smallCaps w:val="false"/>
                <w:sz w:val="20"/>
              </w:rPr>
              <w:t>148</w:t>
            </w:r>
          </w:p>
        </w:tc>
      </w:tr>
    </w:tbl>
    <w:tbl>
      <w:tblPr>
        <w:tblW w:w="3730" w:type="dxa"/>
        <w:jc w:val="left"/>
        <w:tblInd w:w="0" w:type="dxa"/>
        <w:tblLayout w:type="fixed"/>
        <w:tblCellMar>
          <w:top w:w="0" w:type="dxa"/>
          <w:left w:w="0" w:type="dxa"/>
          <w:bottom w:w="0" w:type="dxa"/>
          <w:right w:w="0" w:type="dxa"/>
        </w:tblCellMar>
      </w:tblPr>
      <w:tblGrid>
        <w:gridCol w:w="60"/>
        <w:gridCol w:w="485"/>
        <w:gridCol w:w="318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11.14</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 Jurisdiction; Etc</w:t>
            </w:r>
            <w:r>
              <w:rPr>
                <w:rFonts w:ascii="Times New Roman" w:hAnsi="Times New Roman"/>
                <w:caps w:val="false"/>
                <w:smallCaps w:val="false"/>
                <w:sz w:val="20"/>
              </w:rPr>
              <w:t>149</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
        <w:gridCol w:w="485"/>
        <w:gridCol w:w="213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11.15</w:t>
            </w:r>
          </w:p>
        </w:tc>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Waiver of Jury Trial</w:t>
            </w:r>
            <w:r>
              <w:rPr>
                <w:rFonts w:ascii="Times New Roman" w:hAnsi="Times New Roman"/>
                <w:caps w:val="false"/>
                <w:smallCaps w:val="false"/>
                <w:sz w:val="20"/>
              </w:rPr>
              <w:t>150</w:t>
            </w:r>
          </w:p>
        </w:tc>
      </w:tr>
    </w:tbl>
    <w:tbl>
      <w:tblPr>
        <w:tblW w:w="2095" w:type="dxa"/>
        <w:jc w:val="left"/>
        <w:tblInd w:w="0" w:type="dxa"/>
        <w:tblLayout w:type="fixed"/>
        <w:tblCellMar>
          <w:top w:w="0" w:type="dxa"/>
          <w:left w:w="0" w:type="dxa"/>
          <w:bottom w:w="0" w:type="dxa"/>
          <w:right w:w="0" w:type="dxa"/>
        </w:tblCellMar>
      </w:tblPr>
      <w:tblGrid>
        <w:gridCol w:w="60"/>
        <w:gridCol w:w="485"/>
        <w:gridCol w:w="155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11.16</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Subordination</w:t>
            </w:r>
            <w:r>
              <w:rPr>
                <w:rFonts w:ascii="Times New Roman" w:hAnsi="Times New Roman"/>
                <w:caps w:val="false"/>
                <w:smallCaps w:val="false"/>
                <w:sz w:val="20"/>
              </w:rPr>
              <w:t>151</w:t>
            </w:r>
          </w:p>
        </w:tc>
      </w:tr>
    </w:tbl>
    <w:tbl>
      <w:tblPr>
        <w:tblW w:w="4315" w:type="dxa"/>
        <w:jc w:val="left"/>
        <w:tblInd w:w="0" w:type="dxa"/>
        <w:tblLayout w:type="fixed"/>
        <w:tblCellMar>
          <w:top w:w="0" w:type="dxa"/>
          <w:left w:w="0" w:type="dxa"/>
          <w:bottom w:w="0" w:type="dxa"/>
          <w:right w:w="0" w:type="dxa"/>
        </w:tblCellMar>
      </w:tblPr>
      <w:tblGrid>
        <w:gridCol w:w="60"/>
        <w:gridCol w:w="485"/>
        <w:gridCol w:w="37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11.17</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Advisory or Fiduciary Responsibility</w:t>
            </w:r>
            <w:r>
              <w:rPr>
                <w:rFonts w:ascii="Times New Roman" w:hAnsi="Times New Roman"/>
                <w:caps w:val="false"/>
                <w:smallCaps w:val="false"/>
                <w:sz w:val="20"/>
              </w:rPr>
              <w:t>151</w:t>
            </w:r>
          </w:p>
        </w:tc>
      </w:tr>
    </w:tbl>
    <w:tbl>
      <w:tblPr>
        <w:tblW w:w="5620" w:type="dxa"/>
        <w:jc w:val="left"/>
        <w:tblInd w:w="0" w:type="dxa"/>
        <w:tblLayout w:type="fixed"/>
        <w:tblCellMar>
          <w:top w:w="0" w:type="dxa"/>
          <w:left w:w="0" w:type="dxa"/>
          <w:bottom w:w="0" w:type="dxa"/>
          <w:right w:w="0" w:type="dxa"/>
        </w:tblCellMar>
      </w:tblPr>
      <w:tblGrid>
        <w:gridCol w:w="60"/>
        <w:gridCol w:w="485"/>
        <w:gridCol w:w="507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11.18</w:t>
            </w:r>
          </w:p>
        </w:tc>
        <w:tc>
          <w:tcPr>
            <w:tcW w:w="5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Electronic Execution; Electronic Records; Counterparts</w:t>
            </w:r>
            <w:r>
              <w:rPr>
                <w:rFonts w:ascii="Times New Roman" w:hAnsi="Times New Roman"/>
                <w:caps w:val="false"/>
                <w:smallCaps w:val="false"/>
                <w:sz w:val="20"/>
              </w:rPr>
              <w:t>152</w:t>
            </w:r>
          </w:p>
        </w:tc>
      </w:tr>
    </w:tbl>
    <w:tbl>
      <w:tblPr>
        <w:tblW w:w="2815" w:type="dxa"/>
        <w:jc w:val="left"/>
        <w:tblInd w:w="0" w:type="dxa"/>
        <w:tblLayout w:type="fixed"/>
        <w:tblCellMar>
          <w:top w:w="0" w:type="dxa"/>
          <w:left w:w="0" w:type="dxa"/>
          <w:bottom w:w="0" w:type="dxa"/>
          <w:right w:w="0" w:type="dxa"/>
        </w:tblCellMar>
      </w:tblPr>
      <w:tblGrid>
        <w:gridCol w:w="60"/>
        <w:gridCol w:w="485"/>
        <w:gridCol w:w="227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11.19</w:t>
            </w:r>
          </w:p>
        </w:tc>
        <w:tc>
          <w:tcPr>
            <w:tcW w:w="2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USA Patriot Act Notice</w:t>
            </w:r>
            <w:r>
              <w:rPr>
                <w:rFonts w:ascii="Times New Roman" w:hAnsi="Times New Roman"/>
                <w:caps w:val="false"/>
                <w:smallCaps w:val="false"/>
                <w:sz w:val="20"/>
              </w:rPr>
              <w:t>153</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485"/>
        <w:gridCol w:w="660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11.20</w:t>
            </w:r>
          </w:p>
        </w:tc>
        <w:tc>
          <w:tcPr>
            <w:tcW w:w="6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Acknowledgement and Consent to Bail-In of Affected Financial Institutions</w:t>
            </w:r>
            <w:r>
              <w:rPr>
                <w:rFonts w:ascii="Times New Roman" w:hAnsi="Times New Roman"/>
                <w:caps w:val="false"/>
                <w:smallCaps w:val="false"/>
                <w:sz w:val="20"/>
              </w:rPr>
              <w:t>153</w:t>
            </w:r>
          </w:p>
        </w:tc>
      </w:tr>
    </w:tbl>
    <w:tbl>
      <w:tblPr>
        <w:tblW w:w="5200" w:type="dxa"/>
        <w:jc w:val="left"/>
        <w:tblInd w:w="0" w:type="dxa"/>
        <w:tblLayout w:type="fixed"/>
        <w:tblCellMar>
          <w:top w:w="0" w:type="dxa"/>
          <w:left w:w="0" w:type="dxa"/>
          <w:bottom w:w="0" w:type="dxa"/>
          <w:right w:w="0" w:type="dxa"/>
        </w:tblCellMar>
      </w:tblPr>
      <w:tblGrid>
        <w:gridCol w:w="60"/>
        <w:gridCol w:w="485"/>
        <w:gridCol w:w="465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11.21</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Acknowledgement Regarding Any Supported QFCs</w:t>
            </w:r>
            <w:r>
              <w:rPr>
                <w:rFonts w:ascii="Times New Roman" w:hAnsi="Times New Roman"/>
                <w:caps w:val="false"/>
                <w:smallCaps w:val="false"/>
                <w:sz w:val="20"/>
              </w:rPr>
              <w:t>153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b/>
          <w:caps w:val="false"/>
          <w:smallCaps w:val="false"/>
          <w:sz w:val="20"/>
        </w:rPr>
      </w:pPr>
      <w:r>
        <w:rPr>
          <w:rFonts w:ascii="Times New Roman" w:hAnsi="Times New Roman"/>
          <w:b/>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SCHEDULE 2.01         Initial Commitments and Applicable Percentages SCHEDULE 2.03         Letter of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SCHEDULE 5.08          Insurance SCHEDULE 5.10          Responsible Officers SCHEDULE 5.12          Pension Plans SCHEDULE 5.17          Intellectual Property SCHEDULE 5.19(a)         Subsidiaries SCHEDULE 5.19(b)         Loan Parties</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SCHEDULE 5.20(b)         Deposit Accounts &amp; Securities Accounts SCHEDULE 5.20(c)          Properties</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SCHEDULE 7.01         Existing Liens SCHEDULE 7.02         Existing Indebtedness SCHEDULE 7.03         Existing Investments SCHEDULE 7.08         Transaction with Affiliates</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SCHEDULE 11.02         Certain Addresses for Notices SCHEDULE 11.06          Disqualified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b/>
          <w:caps w:val="false"/>
          <w:smallCaps w:val="false"/>
          <w:sz w:val="20"/>
        </w:rPr>
      </w:pP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EXHIBIT 1.01          Form of Secured Party Designation Notice EXHIBIT 2.02         Form of Loan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EXHIBIT 2.04         Form of Swingline Loan Notice EXHIBIT 2.05         Form of Notice of Loan Prepayment EXHIBIT 2.11(a)         Form of Note</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EXHIBIT 3.01         Forms of U.S. Tax Compliance Certificates EXHIBIT 4.01(j)          Form of Financial Condition Certificate EXHIBIT 6.01          Form of Compliance Certificate</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EXHIBIT 6.13         Form of Joinder Agreement</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EXHIBIT 9.15          Form of Notice of Exclusion EXHIBIT 11.06(b)          Form of Assignment and Assumption EXHIBIT 11.06(b)(iv)         Form of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 xml:space="preserve">CREDIT AGREEMENT </w:t>
      </w:r>
      <w:r>
        <w:rPr>
          <w:rFonts w:ascii="Times New Roman" w:hAnsi="Times New Roman"/>
          <w:caps w:val="false"/>
          <w:smallCaps w:val="false"/>
          <w:sz w:val="20"/>
        </w:rPr>
        <w:t xml:space="preserve">is entered into as of June 30, 2023, among </w:t>
      </w:r>
      <w:r>
        <w:rPr>
          <w:rFonts w:ascii="Times New Roman" w:hAnsi="Times New Roman"/>
          <w:b/>
          <w:caps w:val="false"/>
          <w:smallCaps w:val="false"/>
          <w:sz w:val="20"/>
        </w:rPr>
        <w:t>FOUR TWENTY CORPORATION</w:t>
      </w:r>
      <w:r>
        <w:rPr>
          <w:rFonts w:ascii="Times New Roman" w:hAnsi="Times New Roman"/>
          <w:caps w:val="false"/>
          <w:smallCaps w:val="false"/>
          <w:sz w:val="20"/>
        </w:rPr>
        <w:t>, a Delaware corporation (the “</w:t>
      </w:r>
      <w:r>
        <w:rPr>
          <w:rFonts w:ascii="Times New Roman" w:hAnsi="Times New Roman"/>
          <w:b/>
          <w:i/>
          <w:caps w:val="false"/>
          <w:smallCaps w:val="false"/>
          <w:sz w:val="20"/>
        </w:rPr>
        <w:t>Borrower</w:t>
      </w:r>
      <w:r>
        <w:rPr>
          <w:rFonts w:ascii="Times New Roman" w:hAnsi="Times New Roman"/>
          <w:caps w:val="false"/>
          <w:smallCaps w:val="false"/>
          <w:sz w:val="20"/>
        </w:rPr>
        <w:t xml:space="preserve">”), the Guarantors (defined herein), the Lenders (defined herein), and </w:t>
      </w:r>
      <w:r>
        <w:rPr>
          <w:rFonts w:ascii="Times New Roman" w:hAnsi="Times New Roman"/>
          <w:b/>
          <w:caps w:val="false"/>
          <w:smallCaps w:val="false"/>
          <w:sz w:val="20"/>
        </w:rPr>
        <w:t>BANK OF AMERICA, N.A.</w:t>
      </w:r>
      <w:r>
        <w:rPr>
          <w:rFonts w:ascii="Times New Roman" w:hAnsi="Times New Roman"/>
          <w:caps w:val="false"/>
          <w:smallCaps w:val="false"/>
          <w:sz w:val="20"/>
        </w:rPr>
        <w:t>, as Administrative Agent,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PRELIMINARY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Loan Parties (as hereinafter defined) have requested that the Lenders, the Swingline Lender and the L/C Issuer make loans and other financial accommodations to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Lenders, the Swingline Lender and the L/C Issuer have agreed to make such loans and other financial accommodations to the Loan Parties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mutual covenants and agreements herein contained,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25"/>
        <w:gridCol w:w="389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3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DEFINITIONS AND ACCOUNTING TERMS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b/>
          <w:caps w:val="false"/>
          <w:smallCaps w:val="false"/>
          <w:sz w:val="20"/>
        </w:rPr>
        <w:t>Defined Terms</w:t>
      </w:r>
      <w:r>
        <w:rPr>
          <w:rFonts w:ascii="Times New Roman" w:hAnsi="Times New Roman"/>
          <w:caps w:val="false"/>
          <w:smallCaps w:val="false"/>
          <w:sz w:val="20"/>
        </w:rPr>
        <w:t>. As used in this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Acquisition</w:t>
      </w:r>
      <w:r>
        <w:rPr>
          <w:rFonts w:ascii="Times New Roman" w:hAnsi="Times New Roman"/>
          <w:caps w:val="false"/>
          <w:smallCaps w:val="false"/>
          <w:sz w:val="20"/>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Additional Secured Obligations</w:t>
      </w:r>
      <w:r>
        <w:rPr>
          <w:rFonts w:ascii="Times New Roman" w:hAnsi="Times New Roman"/>
          <w:caps w:val="false"/>
          <w:smallCaps w:val="false"/>
          <w:sz w:val="20"/>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Additional Secured Obligations of a Guarantor shall exclude any Excluded Swap Obligations with respect to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Administrative Agent</w:t>
      </w:r>
      <w:r>
        <w:rPr>
          <w:rFonts w:ascii="Times New Roman" w:hAnsi="Times New Roman"/>
          <w:caps w:val="false"/>
          <w:smallCaps w:val="false"/>
          <w:sz w:val="20"/>
        </w:rPr>
        <w:t>” means Bank of America in its capacity as administrative agent under any of the Loan Documents, or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Administrative Agent</w:t>
      </w:r>
      <w:r>
        <w:rPr>
          <w:rFonts w:ascii="Times New Roman" w:hAnsi="Times New Roman"/>
          <w:caps w:val="false"/>
          <w:smallCaps w:val="false"/>
          <w:sz w:val="20"/>
        </w:rPr>
        <w:t>’</w:t>
      </w:r>
      <w:r>
        <w:rPr>
          <w:rFonts w:ascii="Times New Roman" w:hAnsi="Times New Roman"/>
          <w:b/>
          <w:i/>
          <w:caps w:val="false"/>
          <w:smallCaps w:val="false"/>
          <w:sz w:val="20"/>
        </w:rPr>
        <w:t>s Office</w:t>
      </w:r>
      <w:r>
        <w:rPr>
          <w:rFonts w:ascii="Times New Roman" w:hAnsi="Times New Roman"/>
          <w:caps w:val="false"/>
          <w:smallCaps w:val="false"/>
          <w:sz w:val="20"/>
        </w:rPr>
        <w:t xml:space="preserve">” means the Administrative Agent’s address and, as appropriate, account as set forth on </w:t>
      </w:r>
      <w:r>
        <w:rPr>
          <w:rFonts w:ascii="Times New Roman" w:hAnsi="Times New Roman"/>
          <w:b/>
          <w:i/>
          <w:caps w:val="false"/>
          <w:smallCaps w:val="false"/>
          <w:sz w:val="20"/>
        </w:rPr>
        <w:t>Schedule 11.02</w:t>
      </w:r>
      <w:r>
        <w:rPr>
          <w:rFonts w:ascii="Times New Roman" w:hAnsi="Times New Roman"/>
          <w:caps w:val="false"/>
          <w:smallCaps w:val="false"/>
          <w:sz w:val="20"/>
        </w:rPr>
        <w:t>, or such other address or account as the Administrative Agent may from time to time notify the Borrower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Administrative Questionnaire</w:t>
      </w:r>
      <w:r>
        <w:rPr>
          <w:rFonts w:ascii="Times New Roman" w:hAnsi="Times New Roman"/>
          <w:caps w:val="false"/>
          <w:smallCaps w:val="false"/>
          <w:sz w:val="20"/>
        </w:rPr>
        <w:t xml:space="preserve">” means an Administrative Questionnaire in substantially the form of </w:t>
      </w:r>
      <w:r>
        <w:rPr>
          <w:rFonts w:ascii="Times New Roman" w:hAnsi="Times New Roman"/>
          <w:b/>
          <w:i/>
          <w:caps w:val="false"/>
          <w:smallCaps w:val="false"/>
          <w:sz w:val="20"/>
        </w:rPr>
        <w:t xml:space="preserve">Exhibit 11.06(b)(iv) </w:t>
      </w:r>
      <w:r>
        <w:rPr>
          <w:rFonts w:ascii="Times New Roman" w:hAnsi="Times New Roman"/>
          <w:caps w:val="false"/>
          <w:smallCaps w:val="false"/>
          <w:sz w:val="20"/>
        </w:rPr>
        <w:t>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Affected Financial Institution</w:t>
      </w:r>
      <w:r>
        <w:rPr>
          <w:rFonts w:ascii="Times New Roman" w:hAnsi="Times New Roman"/>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means, with respect to a specified Person, another Person that directly, or indirectly through one (1)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Agents</w:t>
      </w:r>
      <w:r>
        <w:rPr>
          <w:rFonts w:ascii="Times New Roman" w:hAnsi="Times New Roman"/>
          <w:caps w:val="false"/>
          <w:smallCaps w:val="false"/>
          <w:sz w:val="20"/>
        </w:rPr>
        <w:t>” means the Administrative Agent and the Documentation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Aggregate Delayed Draw Term Loan Commitments</w:t>
      </w:r>
      <w:r>
        <w:rPr>
          <w:rFonts w:ascii="Times New Roman" w:hAnsi="Times New Roman"/>
          <w:caps w:val="false"/>
          <w:smallCaps w:val="false"/>
          <w:sz w:val="20"/>
        </w:rPr>
        <w:t>” means the Delayed Draw Term Loan Commitments of all the Lenders. The Aggregate Delayed Draw Term Loan Commitments of all of the Delayed Draw Term Loan Lenders on the Fifth Amendment Effective Date shall be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Aggregate Revolving Commitments</w:t>
      </w:r>
      <w:r>
        <w:rPr>
          <w:rFonts w:ascii="Times New Roman" w:hAnsi="Times New Roman"/>
          <w:caps w:val="false"/>
          <w:smallCaps w:val="false"/>
          <w:sz w:val="20"/>
        </w:rPr>
        <w:t>” means the Revolving Commitments of all the Lenders. The Aggregate Revolving Commitments of all of the Revolving Lenders shall be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 means this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All-In Yield</w:t>
      </w:r>
      <w:r>
        <w:rPr>
          <w:rFonts w:ascii="Times New Roman" w:hAnsi="Times New Roman"/>
          <w:caps w:val="false"/>
          <w:smallCaps w:val="false"/>
          <w:sz w:val="20"/>
        </w:rPr>
        <w:t xml:space="preserve">” means, as to any Indebtedness, the yield thereof, whether in the form of interest rate, margin, original issue discount, upfront fees, a Term SOFR or Base Rate floor or otherwise, in each case, incurred or payable by the Borrower generally to all lenders of such Indebtedness; </w:t>
      </w:r>
      <w:r>
        <w:rPr>
          <w:rFonts w:ascii="Times New Roman" w:hAnsi="Times New Roman"/>
          <w:i/>
          <w:caps w:val="false"/>
          <w:smallCaps w:val="false"/>
          <w:sz w:val="20"/>
        </w:rPr>
        <w:t xml:space="preserve">provided </w:t>
      </w:r>
      <w:r>
        <w:rPr>
          <w:rFonts w:ascii="Times New Roman" w:hAnsi="Times New Roman"/>
          <w:caps w:val="false"/>
          <w:smallCaps w:val="false"/>
          <w:sz w:val="20"/>
        </w:rPr>
        <w:t>that original issue discount and upfront fees shall be equated to interest rate assuming a four (4)-year life to maturity (or, if less, the stated life to maturity at the time of incurrence of the applicable Indebtedness); and provided, further, that “</w:t>
      </w:r>
      <w:r>
        <w:rPr>
          <w:rFonts w:ascii="Times New Roman" w:hAnsi="Times New Roman"/>
          <w:i/>
          <w:caps w:val="false"/>
          <w:smallCaps w:val="false"/>
          <w:sz w:val="20"/>
        </w:rPr>
        <w:t>All-In Yield</w:t>
      </w:r>
      <w:r>
        <w:rPr>
          <w:rFonts w:ascii="Times New Roman" w:hAnsi="Times New Roman"/>
          <w:caps w:val="false"/>
          <w:smallCaps w:val="false"/>
          <w:sz w:val="20"/>
        </w:rPr>
        <w:t>” shall not include arrangement, structuring, commitment, underwriting or other similar fees (regardless of whether paid in whole or in part to any lenders) not paid generally to all lenders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Applicable Law</w:t>
      </w:r>
      <w:r>
        <w:rPr>
          <w:rFonts w:ascii="Times New Roman" w:hAnsi="Times New Roman"/>
          <w:caps w:val="false"/>
          <w:smallCaps w:val="false"/>
          <w:sz w:val="20"/>
        </w:rPr>
        <w:t>” means, as to any Person, all applicable Laws binding upon such Person or to which such a Person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Applicable Percentage</w:t>
      </w:r>
      <w:r>
        <w:rPr>
          <w:rFonts w:ascii="Times New Roman" w:hAnsi="Times New Roman"/>
          <w:caps w:val="false"/>
          <w:smallCaps w:val="false"/>
          <w:sz w:val="20"/>
        </w:rPr>
        <w:t>” means (a) in respect of the Term Facility, with respect to any Term Lender at any time, the percentage (carried out to the ninth decimal place) of the Term Facility represented by (i) on or prior to the Closing Date, such Term Lender’s Term Commitment at such time and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 thereafter, the outstanding principal amount of such Term Lender’s Term Loans at such time, (b) in respect of the Delayed Draw Term Facility, with respect to any Delayed Draw Term Loan Lender at any time, (i) with respect to any funding of Delayed Draw Term Loans or the payment of the Ticking Fee, the percentage (carried out to the ninth decimal place) of the Aggregate Delayed Draw Term Loan Commitments then outstanding represented by such Delayed Draw Term Lender’s Delayed Draw Term Loan Commitment at such time and (ii) with respect to any payments in respect of Delayed Draw Term Loans, the percentage (carried out to the ninth decimal place) of the Total Delayed Draw Term Loan Outstandings represented by such Delayed Draw Term Loan Lender’s Delayed Draw Term Loans at such time and (c)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hAnsi="Times New Roman"/>
          <w:b/>
          <w:i/>
          <w:caps w:val="false"/>
          <w:smallCaps w:val="false"/>
          <w:sz w:val="20"/>
        </w:rPr>
        <w:t>Section 2.15</w:t>
      </w:r>
      <w:r>
        <w:rPr>
          <w:rFonts w:ascii="Times New Roman" w:hAnsi="Times New Roman"/>
          <w:caps w:val="false"/>
          <w:smallCaps w:val="false"/>
          <w:sz w:val="20"/>
        </w:rPr>
        <w:t xml:space="preserve">. If the Commitment of all of the Revolving Lenders to make Revolving Loans and the obligation of the L/C Issuer to make L/C Credit Extensions have been terminated pursuant to </w:t>
      </w:r>
      <w:r>
        <w:rPr>
          <w:rFonts w:ascii="Times New Roman" w:hAnsi="Times New Roman"/>
          <w:b/>
          <w:i/>
          <w:caps w:val="false"/>
          <w:smallCaps w:val="false"/>
          <w:sz w:val="20"/>
        </w:rPr>
        <w:t>Section 8.02</w:t>
      </w:r>
      <w:r>
        <w:rPr>
          <w:rFonts w:ascii="Times New Roman" w:hAnsi="Times New Roman"/>
          <w:caps w:val="false"/>
          <w:smallCaps w:val="false"/>
          <w:sz w:val="20"/>
        </w:rPr>
        <w:t>, or if the Revolving Commitments have expired, then the Applicable Percentage of each Revolving Lender in respect of the Revolving Facility shall be determined based on the Applicable Percentage of such Revolving Lender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hAnsi="Times New Roman"/>
          <w:b/>
          <w:i/>
          <w:caps w:val="false"/>
          <w:smallCaps w:val="false"/>
          <w:sz w:val="20"/>
        </w:rPr>
        <w:t xml:space="preserve">Schedule 2.01 </w:t>
      </w:r>
      <w:r>
        <w:rPr>
          <w:rFonts w:ascii="Times New Roman" w:hAnsi="Times New Roman"/>
          <w:caps w:val="false"/>
          <w:smallCaps w:val="false"/>
          <w:sz w:val="20"/>
        </w:rPr>
        <w:t>or in the Assignment and Assumption pursuant to which such Lender becomes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Applicable Rate</w:t>
      </w:r>
      <w:r>
        <w:rPr>
          <w:rFonts w:ascii="Times New Roman" w:hAnsi="Times New Roman"/>
          <w:caps w:val="false"/>
          <w:smallCaps w:val="false"/>
          <w:sz w:val="20"/>
        </w:rPr>
        <w:t xml:space="preserve">” means, for any day,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set forth below opposite the applicable Level then in effect (based on the Consolidated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35" w:type="dxa"/>
        <w:jc w:val="left"/>
        <w:tblInd w:w="0" w:type="dxa"/>
        <w:tblLayout w:type="fixed"/>
        <w:tblCellMar>
          <w:top w:w="0" w:type="dxa"/>
          <w:left w:w="0" w:type="dxa"/>
          <w:bottom w:w="28" w:type="dxa"/>
          <w:right w:w="0" w:type="dxa"/>
        </w:tblCellMar>
      </w:tblPr>
      <w:tblGrid>
        <w:gridCol w:w="1175"/>
        <w:gridCol w:w="2495"/>
        <w:gridCol w:w="1835"/>
        <w:gridCol w:w="1430"/>
        <w:gridCol w:w="1475"/>
        <w:gridCol w:w="1025"/>
      </w:tblGrid>
      <w:tr>
        <w:trPr/>
        <w:tc>
          <w:tcPr>
            <w:tcW w:w="1175" w:type="dxa"/>
            <w:tcBorders>
              <w:bottom w:val="single" w:sz="2" w:space="0" w:color="000000"/>
            </w:tcBorders>
            <w:vAlign w:val="center"/>
          </w:tcPr>
          <w:p>
            <w:pPr>
              <w:pStyle w:val="TableContents"/>
              <w:bidi w:val="0"/>
              <w:spacing w:before="0" w:after="0"/>
              <w:ind w:left="240" w:right="0" w:hanging="100"/>
              <w:jc w:val="left"/>
              <w:rPr>
                <w:rFonts w:ascii="Times New Roman" w:hAnsi="Times New Roman"/>
                <w:b/>
                <w:caps w:val="false"/>
                <w:smallCaps w:val="false"/>
                <w:sz w:val="20"/>
              </w:rPr>
            </w:pPr>
            <w:r>
              <w:rPr>
                <w:rFonts w:ascii="Times New Roman" w:hAnsi="Times New Roman"/>
                <w:b/>
                <w:caps w:val="false"/>
                <w:smallCaps w:val="false"/>
                <w:sz w:val="20"/>
              </w:rPr>
              <w:t>Pricing Level</w:t>
            </w:r>
          </w:p>
        </w:tc>
        <w:tc>
          <w:tcPr>
            <w:tcW w:w="249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Leverage Ratio</w:t>
            </w:r>
          </w:p>
        </w:tc>
        <w:tc>
          <w:tcPr>
            <w:tcW w:w="1835" w:type="dxa"/>
            <w:tcBorders>
              <w:bottom w:val="single" w:sz="2" w:space="0" w:color="000000"/>
            </w:tcBorders>
            <w:vAlign w:val="center"/>
          </w:tcPr>
          <w:p>
            <w:pPr>
              <w:pStyle w:val="TableContents"/>
              <w:bidi w:val="0"/>
              <w:spacing w:before="0" w:after="0"/>
              <w:ind w:left="120" w:right="0" w:hanging="0"/>
              <w:jc w:val="center"/>
              <w:rPr>
                <w:rFonts w:ascii="Times New Roman" w:hAnsi="Times New Roman"/>
                <w:b/>
                <w:caps w:val="false"/>
                <w:smallCaps w:val="false"/>
                <w:sz w:val="20"/>
              </w:rPr>
            </w:pPr>
            <w:r>
              <w:rPr>
                <w:rFonts w:ascii="Times New Roman" w:hAnsi="Times New Roman"/>
                <w:b/>
                <w:caps w:val="false"/>
                <w:smallCaps w:val="false"/>
                <w:sz w:val="20"/>
              </w:rPr>
              <w:t>Term SOFR Loans &amp;</w:t>
            </w:r>
          </w:p>
          <w:p>
            <w:pPr>
              <w:pStyle w:val="TableContents"/>
              <w:bidi w:val="0"/>
              <w:spacing w:before="0" w:after="0"/>
              <w:ind w:left="120" w:right="0" w:hanging="0"/>
              <w:jc w:val="center"/>
              <w:rPr>
                <w:rFonts w:ascii="Times New Roman" w:hAnsi="Times New Roman"/>
                <w:b/>
                <w:caps w:val="false"/>
                <w:smallCaps w:val="false"/>
                <w:sz w:val="20"/>
              </w:rPr>
            </w:pPr>
            <w:r>
              <w:rPr>
                <w:rFonts w:ascii="Times New Roman" w:hAnsi="Times New Roman"/>
                <w:b/>
                <w:caps w:val="false"/>
                <w:smallCaps w:val="false"/>
                <w:sz w:val="20"/>
              </w:rPr>
              <w:t>Letter of Credit Fee</w:t>
            </w:r>
          </w:p>
        </w:tc>
        <w:tc>
          <w:tcPr>
            <w:tcW w:w="1430" w:type="dxa"/>
            <w:tcBorders>
              <w:bottom w:val="single" w:sz="2" w:space="0" w:color="000000"/>
            </w:tcBorders>
            <w:vAlign w:val="center"/>
          </w:tcPr>
          <w:p>
            <w:pPr>
              <w:pStyle w:val="TableContents"/>
              <w:bidi w:val="0"/>
              <w:spacing w:before="0" w:after="0"/>
              <w:ind w:left="300" w:right="0" w:hanging="180"/>
              <w:jc w:val="left"/>
              <w:rPr>
                <w:rFonts w:ascii="Times New Roman" w:hAnsi="Times New Roman"/>
                <w:b/>
                <w:caps w:val="false"/>
                <w:smallCaps w:val="false"/>
                <w:sz w:val="20"/>
              </w:rPr>
            </w:pPr>
            <w:r>
              <w:rPr>
                <w:rFonts w:ascii="Times New Roman" w:hAnsi="Times New Roman"/>
                <w:b/>
                <w:caps w:val="false"/>
                <w:smallCaps w:val="false"/>
                <w:sz w:val="20"/>
              </w:rPr>
              <w:t>Base Rate Loans</w:t>
            </w:r>
          </w:p>
        </w:tc>
        <w:tc>
          <w:tcPr>
            <w:tcW w:w="1475" w:type="dxa"/>
            <w:tcBorders>
              <w:bottom w:val="single" w:sz="2" w:space="0" w:color="000000"/>
            </w:tcBorders>
            <w:vAlign w:val="center"/>
          </w:tcPr>
          <w:p>
            <w:pPr>
              <w:pStyle w:val="TableContents"/>
              <w:bidi w:val="0"/>
              <w:spacing w:before="0" w:after="0"/>
              <w:ind w:left="600" w:right="0" w:hanging="460"/>
              <w:jc w:val="left"/>
              <w:rPr>
                <w:rFonts w:ascii="Times New Roman" w:hAnsi="Times New Roman"/>
                <w:b/>
                <w:caps w:val="false"/>
                <w:smallCaps w:val="false"/>
                <w:sz w:val="20"/>
              </w:rPr>
            </w:pPr>
            <w:r>
              <w:rPr>
                <w:rFonts w:ascii="Times New Roman" w:hAnsi="Times New Roman"/>
                <w:b/>
                <w:caps w:val="false"/>
                <w:smallCaps w:val="false"/>
                <w:sz w:val="20"/>
              </w:rPr>
              <w:t>Commitment Fee</w:t>
            </w:r>
          </w:p>
        </w:tc>
        <w:tc>
          <w:tcPr>
            <w:tcW w:w="1025" w:type="dxa"/>
            <w:tcBorders>
              <w:bottom w:val="single" w:sz="2" w:space="0" w:color="000000"/>
            </w:tcBorders>
            <w:vAlign w:val="center"/>
          </w:tcPr>
          <w:p>
            <w:pPr>
              <w:pStyle w:val="TableContents"/>
              <w:bidi w:val="0"/>
              <w:spacing w:before="0" w:after="0"/>
              <w:ind w:left="380" w:right="0" w:hanging="200"/>
              <w:jc w:val="left"/>
              <w:rPr>
                <w:rFonts w:ascii="Times New Roman" w:hAnsi="Times New Roman"/>
                <w:b/>
                <w:caps w:val="false"/>
                <w:smallCaps w:val="false"/>
                <w:sz w:val="20"/>
              </w:rPr>
            </w:pPr>
            <w:r>
              <w:rPr>
                <w:rFonts w:ascii="Times New Roman" w:hAnsi="Times New Roman"/>
                <w:b/>
                <w:caps w:val="false"/>
                <w:smallCaps w:val="false"/>
                <w:sz w:val="20"/>
              </w:rPr>
              <w:t>Ticking Fee</w:t>
            </w:r>
          </w:p>
        </w:tc>
      </w:tr>
      <w:tr>
        <w:trPr/>
        <w:tc>
          <w:tcPr>
            <w:tcW w:w="11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249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&lt; 2.50:1.00</w:t>
            </w:r>
          </w:p>
        </w:tc>
        <w:tc>
          <w:tcPr>
            <w:tcW w:w="1835" w:type="dxa"/>
            <w:tcBorders>
              <w:bottom w:val="single" w:sz="2" w:space="0" w:color="000000"/>
            </w:tcBorders>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1.75%</w:t>
            </w:r>
          </w:p>
        </w:tc>
        <w:tc>
          <w:tcPr>
            <w:tcW w:w="14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0.75%</w:t>
            </w:r>
          </w:p>
        </w:tc>
        <w:tc>
          <w:tcPr>
            <w:tcW w:w="14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0.30%</w:t>
            </w:r>
          </w:p>
        </w:tc>
        <w:tc>
          <w:tcPr>
            <w:tcW w:w="10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0.30%</w:t>
            </w:r>
          </w:p>
        </w:tc>
      </w:tr>
      <w:tr>
        <w:trPr/>
        <w:tc>
          <w:tcPr>
            <w:tcW w:w="11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249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&gt; 2.50:1.00, but </w:t>
            </w:r>
            <w:r>
              <w:rPr>
                <w:rFonts w:ascii="Times New Roman" w:hAnsi="Times New Roman"/>
                <w:caps w:val="false"/>
                <w:smallCaps w:val="false"/>
                <w:sz w:val="20"/>
                <w:u w:val="single"/>
              </w:rPr>
              <w:t>&lt;</w:t>
            </w:r>
            <w:r>
              <w:rPr>
                <w:rFonts w:ascii="Times New Roman" w:hAnsi="Times New Roman"/>
                <w:caps w:val="false"/>
                <w:smallCaps w:val="false"/>
                <w:sz w:val="20"/>
              </w:rPr>
              <w:t> 3.00:1.00</w:t>
            </w:r>
          </w:p>
        </w:tc>
        <w:tc>
          <w:tcPr>
            <w:tcW w:w="1835" w:type="dxa"/>
            <w:tcBorders>
              <w:bottom w:val="single" w:sz="2" w:space="0" w:color="000000"/>
            </w:tcBorders>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2.00%</w:t>
            </w:r>
          </w:p>
        </w:tc>
        <w:tc>
          <w:tcPr>
            <w:tcW w:w="14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c>
          <w:tcPr>
            <w:tcW w:w="14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0.35%</w:t>
            </w:r>
          </w:p>
        </w:tc>
        <w:tc>
          <w:tcPr>
            <w:tcW w:w="10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0.35%</w:t>
            </w:r>
          </w:p>
        </w:tc>
      </w:tr>
      <w:tr>
        <w:trPr/>
        <w:tc>
          <w:tcPr>
            <w:tcW w:w="11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249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&gt; 3.00:1.00, but &lt; 3.50</w:t>
            </w:r>
          </w:p>
        </w:tc>
        <w:tc>
          <w:tcPr>
            <w:tcW w:w="1835" w:type="dxa"/>
            <w:tcBorders>
              <w:bottom w:val="single" w:sz="2" w:space="0" w:color="000000"/>
            </w:tcBorders>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2.25%</w:t>
            </w:r>
          </w:p>
        </w:tc>
        <w:tc>
          <w:tcPr>
            <w:tcW w:w="14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1.25%</w:t>
            </w:r>
          </w:p>
        </w:tc>
        <w:tc>
          <w:tcPr>
            <w:tcW w:w="14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0.40%</w:t>
            </w:r>
          </w:p>
        </w:tc>
        <w:tc>
          <w:tcPr>
            <w:tcW w:w="10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0.40%</w:t>
            </w:r>
          </w:p>
        </w:tc>
      </w:tr>
      <w:tr>
        <w:trPr/>
        <w:tc>
          <w:tcPr>
            <w:tcW w:w="11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c>
          <w:tcPr>
            <w:tcW w:w="249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&gt; 3.50:1.00</w:t>
            </w:r>
          </w:p>
        </w:tc>
        <w:tc>
          <w:tcPr>
            <w:tcW w:w="1835" w:type="dxa"/>
            <w:tcBorders>
              <w:bottom w:val="single" w:sz="2" w:space="0" w:color="000000"/>
            </w:tcBorders>
            <w:vAlign w:val="center"/>
          </w:tcPr>
          <w:p>
            <w:pPr>
              <w:pStyle w:val="TableContents"/>
              <w:bidi w:val="0"/>
              <w:spacing w:before="0" w:after="0"/>
              <w:ind w:left="120" w:right="0" w:hanging="0"/>
              <w:jc w:val="center"/>
              <w:rPr>
                <w:rFonts w:ascii="Times New Roman" w:hAnsi="Times New Roman"/>
                <w:caps w:val="false"/>
                <w:smallCaps w:val="false"/>
                <w:sz w:val="20"/>
              </w:rPr>
            </w:pPr>
            <w:r>
              <w:rPr>
                <w:rFonts w:ascii="Times New Roman" w:hAnsi="Times New Roman"/>
                <w:caps w:val="false"/>
                <w:smallCaps w:val="false"/>
                <w:sz w:val="20"/>
              </w:rPr>
              <w:t>2.50%</w:t>
            </w:r>
          </w:p>
        </w:tc>
        <w:tc>
          <w:tcPr>
            <w:tcW w:w="143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w:t>
            </w:r>
          </w:p>
        </w:tc>
        <w:tc>
          <w:tcPr>
            <w:tcW w:w="14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0.45%</w:t>
            </w:r>
          </w:p>
        </w:tc>
        <w:tc>
          <w:tcPr>
            <w:tcW w:w="10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hAnsi="Times New Roman"/>
          <w:b/>
          <w:i/>
          <w:caps w:val="false"/>
          <w:smallCaps w:val="false"/>
          <w:sz w:val="20"/>
        </w:rPr>
        <w:t>Section 6.01(c)</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if a Compliance Certificate is not delivered when due in accordance with </w:t>
      </w:r>
      <w:r>
        <w:rPr>
          <w:rFonts w:ascii="Times New Roman" w:hAnsi="Times New Roman"/>
          <w:b/>
          <w:i/>
          <w:caps w:val="false"/>
          <w:smallCaps w:val="false"/>
          <w:sz w:val="20"/>
        </w:rPr>
        <w:t>Section 6.01(c)</w:t>
      </w:r>
      <w:r>
        <w:rPr>
          <w:rFonts w:ascii="Times New Roman" w:hAnsi="Times New Roman"/>
          <w:caps w:val="false"/>
          <w:smallCaps w:val="false"/>
          <w:sz w:val="20"/>
        </w:rPr>
        <w:t>, then, upon the request of the Required Lenders, Pricing Level 4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contained in this definition, (i) the determination of the Applicable Rate for any period shall be subject to the provisions of </w:t>
      </w:r>
      <w:r>
        <w:rPr>
          <w:rFonts w:ascii="Times New Roman" w:hAnsi="Times New Roman"/>
          <w:b/>
          <w:i/>
          <w:caps w:val="false"/>
          <w:smallCaps w:val="false"/>
          <w:sz w:val="20"/>
        </w:rPr>
        <w:t>Section 2.10(b)</w:t>
      </w:r>
      <w:r>
        <w:rPr>
          <w:rFonts w:ascii="Times New Roman" w:hAnsi="Times New Roman"/>
          <w:caps w:val="false"/>
          <w:smallCaps w:val="false"/>
          <w:sz w:val="20"/>
        </w:rPr>
        <w:t xml:space="preserve">, (ii) the initial Applicable Rate shall be set at Pricing Level 4 until the first Business Day immediately following the date a Compliance Certificate is delivered pursuant to </w:t>
      </w:r>
      <w:r>
        <w:rPr>
          <w:rFonts w:ascii="Times New Roman" w:hAnsi="Times New Roman"/>
          <w:b/>
          <w:i/>
          <w:caps w:val="false"/>
          <w:smallCaps w:val="false"/>
          <w:sz w:val="20"/>
        </w:rPr>
        <w:t xml:space="preserve">Section 6.02(b) </w:t>
      </w:r>
      <w:r>
        <w:rPr>
          <w:rFonts w:ascii="Times New Roman" w:hAnsi="Times New Roman"/>
          <w:caps w:val="false"/>
          <w:smallCaps w:val="false"/>
          <w:sz w:val="20"/>
        </w:rPr>
        <w:t xml:space="preserve">for the first full Fiscal Quarter to occur following the Closing Date to the Administrative Agent, and (iii) during the Minimum TTM EBITDA Testing Period, the Applicable Rate shall be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set for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28" w:type="dxa"/>
          <w:right w:w="0" w:type="dxa"/>
        </w:tblCellMar>
      </w:tblPr>
      <w:tblGrid>
        <w:gridCol w:w="3545"/>
        <w:gridCol w:w="1430"/>
        <w:gridCol w:w="1475"/>
      </w:tblGrid>
      <w:tr>
        <w:trPr/>
        <w:tc>
          <w:tcPr>
            <w:tcW w:w="3545" w:type="dxa"/>
            <w:tcBorders>
              <w:bottom w:val="single" w:sz="2" w:space="0" w:color="000000"/>
            </w:tcBorders>
            <w:vAlign w:val="center"/>
          </w:tcPr>
          <w:p>
            <w:pPr>
              <w:pStyle w:val="TableContents"/>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Term SOFR Loans &amp; Letter of Credit Fee</w:t>
            </w:r>
          </w:p>
        </w:tc>
        <w:tc>
          <w:tcPr>
            <w:tcW w:w="1430" w:type="dxa"/>
            <w:tcBorders>
              <w:bottom w:val="single" w:sz="2" w:space="0" w:color="000000"/>
            </w:tcBorders>
            <w:vAlign w:val="center"/>
          </w:tcPr>
          <w:p>
            <w:pPr>
              <w:pStyle w:val="TableContents"/>
              <w:bidi w:val="0"/>
              <w:spacing w:before="0" w:after="0"/>
              <w:ind w:left="460" w:right="0" w:hanging="180"/>
              <w:jc w:val="left"/>
              <w:rPr>
                <w:rFonts w:ascii="Times New Roman" w:hAnsi="Times New Roman"/>
                <w:b/>
                <w:caps w:val="false"/>
                <w:smallCaps w:val="false"/>
                <w:sz w:val="20"/>
              </w:rPr>
            </w:pPr>
            <w:r>
              <w:rPr>
                <w:rFonts w:ascii="Times New Roman" w:hAnsi="Times New Roman"/>
                <w:b/>
                <w:caps w:val="false"/>
                <w:smallCaps w:val="false"/>
                <w:sz w:val="20"/>
              </w:rPr>
              <w:t>Base Rate Loans</w:t>
            </w:r>
          </w:p>
        </w:tc>
        <w:tc>
          <w:tcPr>
            <w:tcW w:w="14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Commitment Fee</w:t>
            </w:r>
          </w:p>
        </w:tc>
      </w:tr>
      <w:tr>
        <w:trPr/>
        <w:tc>
          <w:tcPr>
            <w:tcW w:w="3545" w:type="dxa"/>
            <w:tcBorders>
              <w:bottom w:val="single" w:sz="2" w:space="0" w:color="000000"/>
            </w:tcBorders>
            <w:vAlign w:val="center"/>
          </w:tcPr>
          <w:p>
            <w:pPr>
              <w:pStyle w:val="TableContents"/>
              <w:bidi w:val="0"/>
              <w:spacing w:before="0" w:after="0"/>
              <w:ind w:left="80" w:right="0" w:hanging="0"/>
              <w:jc w:val="center"/>
              <w:rPr>
                <w:rFonts w:ascii="Times New Roman" w:hAnsi="Times New Roman"/>
                <w:caps w:val="false"/>
                <w:smallCaps w:val="false"/>
                <w:sz w:val="20"/>
              </w:rPr>
            </w:pPr>
            <w:r>
              <w:rPr>
                <w:rFonts w:ascii="Times New Roman" w:hAnsi="Times New Roman"/>
                <w:caps w:val="false"/>
                <w:smallCaps w:val="false"/>
                <w:sz w:val="20"/>
              </w:rPr>
              <w:t>2.75%</w:t>
            </w:r>
          </w:p>
        </w:tc>
        <w:tc>
          <w:tcPr>
            <w:tcW w:w="1430" w:type="dxa"/>
            <w:tcBorders>
              <w:bottom w:val="single" w:sz="2" w:space="0" w:color="000000"/>
            </w:tcBorders>
            <w:vAlign w:val="center"/>
          </w:tcPr>
          <w:p>
            <w:pPr>
              <w:pStyle w:val="TableContents"/>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1.75%</w:t>
            </w:r>
          </w:p>
        </w:tc>
        <w:tc>
          <w:tcPr>
            <w:tcW w:w="14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0.45%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Any adjustment in the Applicable Rate shall be applicable to all Credit Extensions then existing or subsequently made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Approved Fund</w:t>
      </w:r>
      <w:r>
        <w:rPr>
          <w:rFonts w:ascii="Times New Roman" w:hAnsi="Times New Roman"/>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w:t>
      </w:r>
      <w:r>
        <w:rPr>
          <w:rFonts w:ascii="Times New Roman" w:hAnsi="Times New Roman"/>
          <w:b/>
          <w:i/>
          <w:caps w:val="false"/>
          <w:smallCaps w:val="false"/>
          <w:sz w:val="20"/>
        </w:rPr>
        <w:t>Arranger</w:t>
      </w:r>
      <w:r>
        <w:rPr>
          <w:rFonts w:ascii="Times New Roman" w:hAnsi="Times New Roman"/>
          <w:caps w:val="false"/>
          <w:smallCaps w:val="false"/>
          <w:sz w:val="20"/>
        </w:rPr>
        <w:t>” means BofA Securities, Inc., in its capacity as sole lead arranger and sole bookrunner. “</w:t>
      </w:r>
      <w:r>
        <w:rPr>
          <w:rFonts w:ascii="Times New Roman" w:hAnsi="Times New Roman"/>
          <w:b/>
          <w:i/>
          <w:caps w:val="false"/>
          <w:smallCaps w:val="false"/>
          <w:sz w:val="20"/>
        </w:rPr>
        <w:t>Assignment and Assumption</w:t>
      </w:r>
      <w:r>
        <w:rPr>
          <w:rFonts w:ascii="Times New Roman" w:hAnsi="Times New Roman"/>
          <w:caps w:val="false"/>
          <w:smallCaps w:val="false"/>
          <w:sz w:val="20"/>
        </w:rPr>
        <w:t>” means an assignment and assumption entered into by a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an Eligible Assignee (with the consent of any party whose consent is required by </w:t>
      </w:r>
      <w:r>
        <w:rPr>
          <w:rFonts w:ascii="Times New Roman" w:hAnsi="Times New Roman"/>
          <w:b/>
          <w:i/>
          <w:caps w:val="false"/>
          <w:smallCaps w:val="false"/>
          <w:sz w:val="20"/>
        </w:rPr>
        <w:t>Section 11.06(b)</w:t>
      </w:r>
      <w:r>
        <w:rPr>
          <w:rFonts w:ascii="Times New Roman" w:hAnsi="Times New Roman"/>
          <w:caps w:val="false"/>
          <w:smallCaps w:val="false"/>
          <w:sz w:val="20"/>
        </w:rPr>
        <w:t xml:space="preserve">), and accepted by the Administrative Agent, in substantially the form of </w:t>
      </w:r>
      <w:r>
        <w:rPr>
          <w:rFonts w:ascii="Times New Roman" w:hAnsi="Times New Roman"/>
          <w:b/>
          <w:i/>
          <w:caps w:val="false"/>
          <w:smallCaps w:val="false"/>
          <w:sz w:val="20"/>
        </w:rPr>
        <w:t xml:space="preserve">Exhibit 11.06(b) </w:t>
      </w:r>
      <w:r>
        <w:rPr>
          <w:rFonts w:ascii="Times New Roman" w:hAnsi="Times New Roman"/>
          <w:caps w:val="false"/>
          <w:smallCaps w:val="false"/>
          <w:sz w:val="20"/>
        </w:rPr>
        <w:t>or any other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(including an electronic documentation form generated by use of an electronic platform)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Attributable Indebtedness</w:t>
      </w:r>
      <w:r>
        <w:rPr>
          <w:rFonts w:ascii="Times New Roman" w:hAnsi="Times New Roman"/>
          <w:caps w:val="false"/>
          <w:smallCaps w:val="false"/>
          <w:sz w:val="20"/>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(d) in respect of any Securitization Transaction, the outstanding principal amount of such financing, after taking into account reserve accounts and making appropriate adjustments, determined by the Administrative Agent in its reasonable judgment and (e) in respect of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Atwater</w:t>
      </w:r>
      <w:r>
        <w:rPr>
          <w:rFonts w:ascii="Times New Roman" w:hAnsi="Times New Roman"/>
          <w:caps w:val="false"/>
          <w:smallCaps w:val="false"/>
          <w:sz w:val="20"/>
        </w:rPr>
        <w:t>” means, collectively, Detroit Rivertown Brewing Company, LLC, a Michigan limited liability company, and Park Brewing, L.L.C., a Michigan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Atwater Outside Date</w:t>
      </w:r>
      <w:r>
        <w:rPr>
          <w:rFonts w:ascii="Times New Roman" w:hAnsi="Times New Roman"/>
          <w:caps w:val="false"/>
          <w:smallCaps w:val="false"/>
          <w:sz w:val="20"/>
        </w:rPr>
        <w:t>” has the meaning specified in the definition of “</w:t>
      </w:r>
      <w:r>
        <w:rPr>
          <w:rFonts w:ascii="Times New Roman" w:hAnsi="Times New Roman"/>
          <w:i/>
          <w:caps w:val="false"/>
          <w:smallCaps w:val="false"/>
          <w:sz w:val="20"/>
        </w:rPr>
        <w:t>Consolidated EBITDA</w:t>
      </w:r>
      <w:r>
        <w:rPr>
          <w:rFonts w:ascii="Times New Roman" w:hAnsi="Times New Roman"/>
          <w:caps w:val="false"/>
          <w:smallCaps w:val="false"/>
          <w:sz w:val="20"/>
        </w:rPr>
        <w:t>”. “</w:t>
      </w:r>
      <w:r>
        <w:rPr>
          <w:rFonts w:ascii="Times New Roman" w:hAnsi="Times New Roman"/>
          <w:b/>
          <w:i/>
          <w:caps w:val="false"/>
          <w:smallCaps w:val="false"/>
          <w:sz w:val="20"/>
        </w:rPr>
        <w:t>Atwater Adjustment</w:t>
      </w:r>
      <w:r>
        <w:rPr>
          <w:rFonts w:ascii="Times New Roman" w:hAnsi="Times New Roman"/>
          <w:caps w:val="false"/>
          <w:smallCaps w:val="false"/>
          <w:sz w:val="20"/>
        </w:rPr>
        <w:t>” has the meaning specified in the definition of “</w:t>
      </w:r>
      <w:r>
        <w:rPr>
          <w:rFonts w:ascii="Times New Roman" w:hAnsi="Times New Roman"/>
          <w:i/>
          <w:caps w:val="false"/>
          <w:smallCaps w:val="false"/>
          <w:sz w:val="20"/>
        </w:rPr>
        <w:t>Consolidated EBITDA</w:t>
      </w:r>
      <w:r>
        <w:rPr>
          <w:rFonts w:ascii="Times New Roman" w:hAnsi="Times New Roman"/>
          <w:caps w:val="false"/>
          <w:smallCaps w:val="false"/>
          <w:sz w:val="20"/>
        </w:rPr>
        <w:t>”. “</w:t>
      </w:r>
      <w:r>
        <w:rPr>
          <w:rFonts w:ascii="Times New Roman" w:hAnsi="Times New Roman"/>
          <w:b/>
          <w:i/>
          <w:caps w:val="false"/>
          <w:smallCaps w:val="false"/>
          <w:sz w:val="20"/>
        </w:rPr>
        <w:t>Atwater Purchase Agreement</w:t>
      </w:r>
      <w:r>
        <w:rPr>
          <w:rFonts w:ascii="Times New Roman" w:hAnsi="Times New Roman"/>
          <w:caps w:val="false"/>
          <w:smallCaps w:val="false"/>
          <w:sz w:val="20"/>
        </w:rPr>
        <w:t>” means that certain Asset Purchase Agreement 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May 8, 2026, by and among Pinnacle Beverage, LLC, a Michigan limited liability company, Kercheval GP, LLC, a Michigan limited liability company, and Atwater, as amended by that certain First Amendment to Asset Purchase Agreement dated 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Atwater Sale</w:t>
      </w:r>
      <w:r>
        <w:rPr>
          <w:rFonts w:ascii="Times New Roman" w:hAnsi="Times New Roman"/>
          <w:caps w:val="false"/>
          <w:smallCaps w:val="false"/>
          <w:sz w:val="20"/>
        </w:rPr>
        <w:t>” means any sale, transfer or other disposition by any Loan Party of all or substantially all of the Equity Interests in, or assets of, Atwater pursuant to the Atwater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Auto-Extension Letter of Credit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Availability Period</w:t>
      </w:r>
      <w:r>
        <w:rPr>
          <w:rFonts w:ascii="Times New Roman" w:hAnsi="Times New Roman"/>
          <w:caps w:val="false"/>
          <w:smallCaps w:val="false"/>
          <w:sz w:val="20"/>
        </w:rPr>
        <w:t xml:space="preserve">” means in respect of the Revolving Facility, the period from and including the Closing Date to the earliest of (i) the Maturity Date for the Revolving Facility, (ii) the date of termination of the Revolving Commitments pursuant to </w:t>
      </w:r>
      <w:r>
        <w:rPr>
          <w:rFonts w:ascii="Times New Roman" w:hAnsi="Times New Roman"/>
          <w:b/>
          <w:i/>
          <w:caps w:val="false"/>
          <w:smallCaps w:val="false"/>
          <w:sz w:val="20"/>
        </w:rPr>
        <w:t>Section 2.06</w:t>
      </w:r>
      <w:r>
        <w:rPr>
          <w:rFonts w:ascii="Times New Roman" w:hAnsi="Times New Roman"/>
          <w:caps w:val="false"/>
          <w:smallCaps w:val="false"/>
          <w:sz w:val="20"/>
        </w:rPr>
        <w:t xml:space="preserve">, and (iii) the date of termination of the Commitment of each Revolving Lender to make Revolving Loans and of the obligation of the L/C Issuer to make L/C Credit Extensions pursuant to </w:t>
      </w:r>
      <w:r>
        <w:rPr>
          <w:rFonts w:ascii="Times New Roman" w:hAnsi="Times New Roman"/>
          <w:b/>
          <w:i/>
          <w:caps w:val="false"/>
          <w:smallCaps w:val="false"/>
          <w:sz w:val="20"/>
        </w:rPr>
        <w:t>Section 8.02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Bail-In Legislation</w:t>
      </w:r>
      <w:r>
        <w:rPr>
          <w:rFonts w:ascii="Times New Roman" w:hAnsi="Times New Roman"/>
          <w:caps w:val="false"/>
          <w:smallCaps w:val="false"/>
          <w:sz w:val="20"/>
        </w:rPr>
        <w:t xml:space="preserve">” means, (a) with respect to any EEA Member Country implementing </w:t>
      </w:r>
      <w:r>
        <w:rPr>
          <w:rFonts w:ascii="Times New Roman" w:hAnsi="Times New Roman"/>
          <w:i/>
          <w:caps w:val="false"/>
          <w:smallCaps w:val="false"/>
          <w:sz w:val="20"/>
        </w:rPr>
        <w:t xml:space="preserve">Article 55 </w:t>
      </w:r>
      <w:r>
        <w:rPr>
          <w:rFonts w:ascii="Times New Roman" w:hAnsi="Times New Roman"/>
          <w:caps w:val="false"/>
          <w:smallCaps w:val="false"/>
          <w:sz w:val="20"/>
        </w:rPr>
        <w:t xml:space="preserve">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w:t>
      </w:r>
      <w:r>
        <w:rPr>
          <w:rFonts w:ascii="Times New Roman" w:hAnsi="Times New Roman"/>
          <w:i/>
          <w:caps w:val="false"/>
          <w:smallCaps w:val="false"/>
          <w:sz w:val="20"/>
        </w:rPr>
        <w:t xml:space="preserve">Part I </w:t>
      </w:r>
      <w:r>
        <w:rPr>
          <w:rFonts w:ascii="Times New Roman" w:hAnsi="Times New Roman"/>
          <w:caps w:val="false"/>
          <w:smallCaps w:val="false"/>
          <w:sz w:val="20"/>
        </w:rPr>
        <w:t>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Bank of America</w:t>
      </w:r>
      <w:r>
        <w:rPr>
          <w:rFonts w:ascii="Times New Roman" w:hAnsi="Times New Roman"/>
          <w:caps w:val="false"/>
          <w:smallCaps w:val="false"/>
          <w:sz w:val="20"/>
        </w:rPr>
        <w:t>” means Bank of America, N.A.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Base Rate</w:t>
      </w:r>
      <w:r>
        <w:rPr>
          <w:rFonts w:ascii="Times New Roman" w:hAnsi="Times New Roman"/>
          <w:caps w:val="false"/>
          <w:smallCaps w:val="false"/>
          <w:sz w:val="20"/>
        </w:rPr>
        <w:t xml:space="preserve">” means for any day a fluctuating rate of interest </w:t>
      </w:r>
      <w:r>
        <w:rPr>
          <w:rFonts w:ascii="Times New Roman" w:hAnsi="Times New Roman"/>
          <w:i/>
          <w:caps w:val="false"/>
          <w:smallCaps w:val="false"/>
          <w:sz w:val="20"/>
        </w:rPr>
        <w:t xml:space="preserve">per annum </w:t>
      </w:r>
      <w:r>
        <w:rPr>
          <w:rFonts w:ascii="Times New Roman" w:hAnsi="Times New Roman"/>
          <w:caps w:val="false"/>
          <w:smallCaps w:val="false"/>
          <w:sz w:val="20"/>
        </w:rPr>
        <w:t>equal to the highest of</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the Federal Funds Rate </w:t>
      </w:r>
      <w:r>
        <w:rPr>
          <w:rFonts w:ascii="Times New Roman" w:hAnsi="Times New Roman"/>
          <w:i/>
          <w:caps w:val="false"/>
          <w:smallCaps w:val="false"/>
          <w:sz w:val="20"/>
        </w:rPr>
        <w:t xml:space="preserve">plus </w:t>
      </w:r>
      <w:r>
        <w:rPr>
          <w:rFonts w:ascii="Times New Roman" w:hAnsi="Times New Roman"/>
          <w:caps w:val="false"/>
          <w:smallCaps w:val="false"/>
          <w:sz w:val="20"/>
        </w:rPr>
        <w:t>0.50%, (b) the rate of interest in effect for such day as publicly announced from time to time by Bank of America as its “</w:t>
      </w:r>
      <w:r>
        <w:rPr>
          <w:rFonts w:ascii="Times New Roman" w:hAnsi="Times New Roman"/>
          <w:i/>
          <w:caps w:val="false"/>
          <w:smallCaps w:val="false"/>
          <w:sz w:val="20"/>
        </w:rPr>
        <w:t>prime rate,</w:t>
      </w:r>
      <w:r>
        <w:rPr>
          <w:rFonts w:ascii="Times New Roman" w:hAnsi="Times New Roman"/>
          <w:caps w:val="false"/>
          <w:smallCaps w:val="false"/>
          <w:sz w:val="20"/>
        </w:rPr>
        <w:t xml:space="preserve">” and (c) Term SOFR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1.00%, subject to the interest rate floors set forth therein;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the Base Rate shall be less than zero (0), such rate shall be deemed zero (0) for purposes of this Agreement. The “</w:t>
      </w:r>
      <w:r>
        <w:rPr>
          <w:rFonts w:ascii="Times New Roman" w:hAnsi="Times New Roman"/>
          <w:i/>
          <w:caps w:val="false"/>
          <w:smallCaps w:val="false"/>
          <w:sz w:val="20"/>
        </w:rPr>
        <w:t>prime rate</w:t>
      </w:r>
      <w:r>
        <w:rPr>
          <w:rFonts w:ascii="Times New Roman" w:hAnsi="Times New Roman"/>
          <w:caps w:val="false"/>
          <w:smallCaps w:val="false"/>
          <w:sz w:val="20"/>
        </w:rPr>
        <w:t xml:space="preserv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hAnsi="Times New Roman"/>
          <w:b/>
          <w:i/>
          <w:caps w:val="false"/>
          <w:smallCaps w:val="false"/>
          <w:sz w:val="20"/>
        </w:rPr>
        <w:t xml:space="preserve">Section 3.03 </w:t>
      </w:r>
      <w:r>
        <w:rPr>
          <w:rFonts w:ascii="Times New Roman" w:hAnsi="Times New Roman"/>
          <w:caps w:val="false"/>
          <w:smallCaps w:val="false"/>
          <w:sz w:val="20"/>
        </w:rPr>
        <w:t xml:space="preserve">hereof, then the Base Rate shall be the greater of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above and shall be determined without reference to </w:t>
      </w:r>
      <w:r>
        <w:rPr>
          <w:rFonts w:ascii="Times New Roman" w:hAnsi="Times New Roman"/>
          <w:b/>
          <w:i/>
          <w:caps w:val="false"/>
          <w:smallCaps w:val="false"/>
          <w:sz w:val="20"/>
        </w:rPr>
        <w:t xml:space="preserve">clause (c) </w:t>
      </w:r>
      <w:r>
        <w:rPr>
          <w:rFonts w:ascii="Times New Roman" w:hAnsi="Times New Roman"/>
          <w:caps w:val="false"/>
          <w:smallCaps w:val="false"/>
          <w:sz w:val="20"/>
        </w:rPr>
        <w:t>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Base Rate Loan</w:t>
      </w:r>
      <w:r>
        <w:rPr>
          <w:rFonts w:ascii="Times New Roman" w:hAnsi="Times New Roman"/>
          <w:caps w:val="false"/>
          <w:smallCaps w:val="false"/>
          <w:sz w:val="20"/>
        </w:rPr>
        <w:t>” means a Loan that bears interest based on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Beneficial Ownership Certification</w:t>
      </w:r>
      <w:r>
        <w:rPr>
          <w:rFonts w:ascii="Times New Roman" w:hAnsi="Times New Roman"/>
          <w:caps w:val="false"/>
          <w:smallCaps w:val="false"/>
          <w:sz w:val="20"/>
        </w:rPr>
        <w:t>” means a certification regarding beneficial ownership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Beneficial Ownership Regulation</w:t>
      </w:r>
      <w:r>
        <w:rPr>
          <w:rFonts w:ascii="Times New Roman" w:hAnsi="Times New Roman"/>
          <w:caps w:val="false"/>
          <w:smallCaps w:val="false"/>
          <w:sz w:val="20"/>
        </w:rPr>
        <w:t>” means 31 C.F.R.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Benefit Plan</w:t>
      </w:r>
      <w:r>
        <w:rPr>
          <w:rFonts w:ascii="Times New Roman" w:hAnsi="Times New Roman"/>
          <w:caps w:val="false"/>
          <w:smallCaps w:val="false"/>
          <w:sz w:val="20"/>
        </w:rPr>
        <w:t>” means any of (a) an “</w:t>
      </w:r>
      <w:r>
        <w:rPr>
          <w:rFonts w:ascii="Times New Roman" w:hAnsi="Times New Roman"/>
          <w:i/>
          <w:caps w:val="false"/>
          <w:smallCaps w:val="false"/>
          <w:sz w:val="20"/>
        </w:rPr>
        <w:t>employee benefit plan</w:t>
      </w:r>
      <w:r>
        <w:rPr>
          <w:rFonts w:ascii="Times New Roman" w:hAnsi="Times New Roman"/>
          <w:caps w:val="false"/>
          <w:smallCaps w:val="false"/>
          <w:sz w:val="20"/>
        </w:rPr>
        <w:t xml:space="preserve">” (as defined in ERISA) that is subject to </w:t>
      </w:r>
      <w:r>
        <w:rPr>
          <w:rFonts w:ascii="Times New Roman" w:hAnsi="Times New Roman"/>
          <w:i/>
          <w:caps w:val="false"/>
          <w:smallCaps w:val="false"/>
          <w:sz w:val="20"/>
        </w:rPr>
        <w:t xml:space="preserve">Title I </w:t>
      </w:r>
      <w:r>
        <w:rPr>
          <w:rFonts w:ascii="Times New Roman" w:hAnsi="Times New Roman"/>
          <w:caps w:val="false"/>
          <w:smallCaps w:val="false"/>
          <w:sz w:val="20"/>
        </w:rPr>
        <w:t>of ERISA, (b) a “</w:t>
      </w:r>
      <w:r>
        <w:rPr>
          <w:rFonts w:ascii="Times New Roman" w:hAnsi="Times New Roman"/>
          <w:i/>
          <w:caps w:val="false"/>
          <w:smallCaps w:val="false"/>
          <w:sz w:val="20"/>
        </w:rPr>
        <w:t>plan</w:t>
      </w:r>
      <w:r>
        <w:rPr>
          <w:rFonts w:ascii="Times New Roman" w:hAnsi="Times New Roman"/>
          <w:caps w:val="false"/>
          <w:smallCaps w:val="false"/>
          <w:sz w:val="20"/>
        </w:rPr>
        <w:t xml:space="preserve">” as defined in and subject to </w:t>
      </w:r>
      <w:r>
        <w:rPr>
          <w:rFonts w:ascii="Times New Roman" w:hAnsi="Times New Roman"/>
          <w:i/>
          <w:caps w:val="false"/>
          <w:smallCaps w:val="false"/>
          <w:sz w:val="20"/>
        </w:rPr>
        <w:t xml:space="preserve">Section 4975 </w:t>
      </w:r>
      <w:r>
        <w:rPr>
          <w:rFonts w:ascii="Times New Roman" w:hAnsi="Times New Roman"/>
          <w:caps w:val="false"/>
          <w:smallCaps w:val="false"/>
          <w:sz w:val="20"/>
        </w:rPr>
        <w:t xml:space="preserve">of the Code or (c) any Person whose assets include (for purposes of ERISA </w:t>
      </w:r>
      <w:r>
        <w:rPr>
          <w:rFonts w:ascii="Times New Roman" w:hAnsi="Times New Roman"/>
          <w:i/>
          <w:caps w:val="false"/>
          <w:smallCaps w:val="false"/>
          <w:sz w:val="20"/>
        </w:rPr>
        <w:t xml:space="preserve">Section 3(42) </w:t>
      </w:r>
      <w:r>
        <w:rPr>
          <w:rFonts w:ascii="Times New Roman" w:hAnsi="Times New Roman"/>
          <w:caps w:val="false"/>
          <w:smallCaps w:val="false"/>
          <w:sz w:val="20"/>
        </w:rPr>
        <w:t xml:space="preserve">or otherwise for purposes of </w:t>
      </w:r>
      <w:r>
        <w:rPr>
          <w:rFonts w:ascii="Times New Roman" w:hAnsi="Times New Roman"/>
          <w:i/>
          <w:caps w:val="false"/>
          <w:smallCaps w:val="false"/>
          <w:sz w:val="20"/>
        </w:rPr>
        <w:t xml:space="preserve">Title I </w:t>
      </w:r>
      <w:r>
        <w:rPr>
          <w:rFonts w:ascii="Times New Roman" w:hAnsi="Times New Roman"/>
          <w:caps w:val="false"/>
          <w:smallCaps w:val="false"/>
          <w:sz w:val="20"/>
        </w:rPr>
        <w:t xml:space="preserve">of ERISA or </w:t>
      </w:r>
      <w:r>
        <w:rPr>
          <w:rFonts w:ascii="Times New Roman" w:hAnsi="Times New Roman"/>
          <w:i/>
          <w:caps w:val="false"/>
          <w:smallCaps w:val="false"/>
          <w:sz w:val="20"/>
        </w:rPr>
        <w:t xml:space="preserve">Section 4975 </w:t>
      </w:r>
      <w:r>
        <w:rPr>
          <w:rFonts w:ascii="Times New Roman" w:hAnsi="Times New Roman"/>
          <w:caps w:val="false"/>
          <w:smallCaps w:val="false"/>
          <w:sz w:val="20"/>
        </w:rPr>
        <w:t>of the Code) the assets of any such “</w:t>
      </w:r>
      <w:r>
        <w:rPr>
          <w:rFonts w:ascii="Times New Roman" w:hAnsi="Times New Roman"/>
          <w:i/>
          <w:caps w:val="false"/>
          <w:smallCaps w:val="false"/>
          <w:sz w:val="20"/>
        </w:rPr>
        <w:t>employee benefit plan</w:t>
      </w:r>
      <w:r>
        <w:rPr>
          <w:rFonts w:ascii="Times New Roman" w:hAnsi="Times New Roman"/>
          <w:caps w:val="false"/>
          <w:smallCaps w:val="false"/>
          <w:sz w:val="20"/>
        </w:rPr>
        <w:t>” or “</w:t>
      </w:r>
      <w:r>
        <w:rPr>
          <w:rFonts w:ascii="Times New Roman" w:hAnsi="Times New Roman"/>
          <w:i/>
          <w:caps w:val="false"/>
          <w:smallCaps w:val="false"/>
          <w:sz w:val="20"/>
        </w:rPr>
        <w:t>plan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Beverage License</w:t>
      </w:r>
      <w:r>
        <w:rPr>
          <w:rFonts w:ascii="Times New Roman" w:hAnsi="Times New Roman"/>
          <w:caps w:val="false"/>
          <w:smallCaps w:val="false"/>
          <w:sz w:val="20"/>
        </w:rPr>
        <w:t>” means a license or permit that is required by Law to permit the brewing, distilling, packaging and sale of Beverage Products by any Loan Party in accordance with its customary business operations and in accordance with the requirements of all applicable alcohol beverage control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Beverage Products</w:t>
      </w:r>
      <w:r>
        <w:rPr>
          <w:rFonts w:ascii="Times New Roman" w:hAnsi="Times New Roman"/>
          <w:caps w:val="false"/>
          <w:smallCaps w:val="false"/>
          <w:sz w:val="20"/>
        </w:rPr>
        <w:t>” means spirits, beer, wine, wine cooler products, champagne, soft-drinks, and other alcoholic or non-alcoholic beverages, and related products for the promotion, use or consumption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BHC Act Affiliate</w:t>
      </w:r>
      <w:r>
        <w:rPr>
          <w:rFonts w:ascii="Times New Roman" w:hAnsi="Times New Roman"/>
          <w:caps w:val="false"/>
          <w:smallCaps w:val="false"/>
          <w:sz w:val="20"/>
        </w:rPr>
        <w:t>” of a party means an “</w:t>
      </w:r>
      <w:r>
        <w:rPr>
          <w:rFonts w:ascii="Times New Roman" w:hAnsi="Times New Roman"/>
          <w:i/>
          <w:caps w:val="false"/>
          <w:smallCaps w:val="false"/>
          <w:sz w:val="20"/>
        </w:rPr>
        <w:t>affiliate</w:t>
      </w:r>
      <w:r>
        <w:rPr>
          <w:rFonts w:ascii="Times New Roman" w:hAnsi="Times New Roman"/>
          <w:caps w:val="false"/>
          <w:smallCaps w:val="false"/>
          <w:sz w:val="20"/>
        </w:rPr>
        <w:t>”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Borrower</w:t>
      </w:r>
      <w:r>
        <w:rPr>
          <w:rFonts w:ascii="Times New Roman" w:hAnsi="Times New Roman"/>
          <w:caps w:val="false"/>
          <w:smallCaps w:val="false"/>
          <w:sz w:val="20"/>
        </w:rPr>
        <w:t>” has the meaning specified in the introductory paragraph hereto. “</w:t>
      </w:r>
      <w:r>
        <w:rPr>
          <w:rFonts w:ascii="Times New Roman" w:hAnsi="Times New Roman"/>
          <w:b/>
          <w:i/>
          <w:caps w:val="false"/>
          <w:smallCaps w:val="false"/>
          <w:sz w:val="20"/>
        </w:rPr>
        <w:t>Borrower Materials</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6.02</w:t>
      </w:r>
      <w:r>
        <w:rPr>
          <w:rFonts w:ascii="Times New Roman" w:hAnsi="Times New Roman"/>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Borrowing</w:t>
      </w:r>
      <w:r>
        <w:rPr>
          <w:rFonts w:ascii="Times New Roman" w:hAnsi="Times New Roman"/>
          <w:caps w:val="false"/>
          <w:smallCaps w:val="false"/>
          <w:sz w:val="20"/>
        </w:rPr>
        <w:t xml:space="preserve">” means a borrowing consisting of simultaneous Loans of the same Type and, in the case of Term SOFR Loans, having the same Interest Period made by each of the applicable Lenders pursuant to </w:t>
      </w:r>
      <w:r>
        <w:rPr>
          <w:rFonts w:ascii="Times New Roman" w:hAnsi="Times New Roman"/>
          <w:b/>
          <w:i/>
          <w:caps w:val="false"/>
          <w:smallCaps w:val="false"/>
          <w:sz w:val="20"/>
        </w:rPr>
        <w:t>Section 2.01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any day other than a Saturday, Sunday or other day on which commercial banks are authorized to close under the Laws of, or are in fact closed in, the state where the Administrative Agent’s Office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Cannabis</w:t>
      </w:r>
      <w:r>
        <w:rPr>
          <w:rFonts w:ascii="Times New Roman" w:hAnsi="Times New Roman"/>
          <w:caps w:val="false"/>
          <w:smallCaps w:val="false"/>
          <w:sz w:val="20"/>
        </w:rPr>
        <w:t xml:space="preserve">” means (a) any plant or seed, whether live or dead, from any species or subspecies of genus Cannabis, including Cannabis sativa, Cannabis indica and Cannabis ruderalis, and any part, whether live or dead, of the plant or seed thereof, including any stalk, branch, root, leaf, flower, or trichome; (b) any material obtained, extracted, isolated, or purified from the plant or seed or the parts contemplated by </w:t>
      </w:r>
      <w:r>
        <w:rPr>
          <w:rFonts w:ascii="Times New Roman" w:hAnsi="Times New Roman"/>
          <w:b/>
          <w:i/>
          <w:caps w:val="false"/>
          <w:smallCaps w:val="false"/>
          <w:sz w:val="20"/>
        </w:rPr>
        <w:t xml:space="preserve">clause (a) </w:t>
      </w:r>
      <w:r>
        <w:rPr>
          <w:rFonts w:ascii="Times New Roman" w:hAnsi="Times New Roman"/>
          <w:caps w:val="false"/>
          <w:smallCaps w:val="false"/>
          <w:sz w:val="20"/>
        </w:rPr>
        <w:t xml:space="preserve">of this definition, including any oil, cannabinoid, terpene, genetic material or any combination thereof; (c) any organism engineered to biosynthetically produce the material contemplated by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of this definition, including any micro-organism engineered for such purpose; (d) any biologically or chemically synthesized version of the material contemplated by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of this definition or any analog thereof, including any product made by any organism contemplated by </w:t>
      </w:r>
      <w:r>
        <w:rPr>
          <w:rFonts w:ascii="Times New Roman" w:hAnsi="Times New Roman"/>
          <w:b/>
          <w:i/>
          <w:caps w:val="false"/>
          <w:smallCaps w:val="false"/>
          <w:sz w:val="20"/>
        </w:rPr>
        <w:t xml:space="preserve">clause (c) </w:t>
      </w:r>
      <w:r>
        <w:rPr>
          <w:rFonts w:ascii="Times New Roman" w:hAnsi="Times New Roman"/>
          <w:caps w:val="false"/>
          <w:smallCaps w:val="false"/>
          <w:sz w:val="20"/>
        </w:rPr>
        <w:t>of this definition, and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 any other meaning ascribed to the term “</w:t>
      </w:r>
      <w:r>
        <w:rPr>
          <w:rFonts w:ascii="Times New Roman" w:hAnsi="Times New Roman"/>
          <w:i/>
          <w:caps w:val="false"/>
          <w:smallCaps w:val="false"/>
          <w:sz w:val="20"/>
        </w:rPr>
        <w:t>cannabis</w:t>
      </w:r>
      <w:r>
        <w:rPr>
          <w:rFonts w:ascii="Times New Roman" w:hAnsi="Times New Roman"/>
          <w:caps w:val="false"/>
          <w:smallCaps w:val="false"/>
          <w:sz w:val="20"/>
        </w:rPr>
        <w:t>” under the Controlled Substances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Capital Expenditures</w:t>
      </w:r>
      <w:r>
        <w:rPr>
          <w:rFonts w:ascii="Times New Roman" w:hAnsi="Times New Roman"/>
          <w:caps w:val="false"/>
          <w:smallCaps w:val="false"/>
          <w:sz w:val="20"/>
        </w:rPr>
        <w:t>” means, with respect to any Person for any period, any expenditure in respect of the purchase or other acquisition of any fixed or capital asset (excluding normal replacements and maintenance which are properly charged to 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Capitalized Lease</w:t>
      </w:r>
      <w:r>
        <w:rPr>
          <w:rFonts w:ascii="Times New Roman" w:hAnsi="Times New Roman"/>
          <w:caps w:val="false"/>
          <w:smallCaps w:val="false"/>
          <w:sz w:val="20"/>
        </w:rPr>
        <w:t>” means any lease that has been or is required to be, in accordance with GAAP, recorded, classified and accounted for as a capitalized lease or financing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Cash Collateral</w:t>
      </w:r>
      <w:r>
        <w:rPr>
          <w:rFonts w:ascii="Times New Roman" w:hAnsi="Times New Roman"/>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Cash Collateralize</w:t>
      </w:r>
      <w:r>
        <w:rPr>
          <w:rFonts w:ascii="Times New Roman" w:hAnsi="Times New Roman"/>
          <w:caps w:val="false"/>
          <w:smallCaps w:val="false"/>
          <w:sz w:val="20"/>
        </w:rPr>
        <w:t>” means to pledge and deposit with or deliver to the Administrative Agent, for the benefit of the L/C Issuer or Swingline Lender (as applicable) or the Lenders, as Collateral for L/C Obligations, the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satisfactory to the Administrative Agent and the L/C Issuer, and/or (c) if the Administrative Agent and the L/C Issuer or Swingline Lender shall agree, in their sole discretion, other credit support, in each case, in Dollars and pursuant to documentation in form and substance satisfactory to the Administrative Agent and the L/C Issuer or the Swingline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Cash Equivalents</w:t>
      </w:r>
      <w:r>
        <w:rPr>
          <w:rFonts w:ascii="Times New Roman" w:hAnsi="Times New Roman"/>
          <w:caps w:val="false"/>
          <w:smallCaps w:val="false"/>
          <w:sz w:val="20"/>
        </w:rPr>
        <w:t>” means any of the following types of Investments, to the extent owned by a Loan Party or any of its Subsidiaries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readily marketable obligations issued or directly and fully guaranteed or insured by the United States or any agency or instrumentality thereof having maturities of not more than three hundred sixty days (three hundred sixty (360)) days from the date of acquisition thereof;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full faith and credit of the United States is pledged in support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time deposits with, or insured certificates of deposit or bankers’ acceptances of, any commercial bank that (i)(A)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hAnsi="Times New Roman"/>
          <w:b/>
          <w:i/>
          <w:caps w:val="false"/>
          <w:smallCaps w:val="false"/>
          <w:sz w:val="20"/>
        </w:rPr>
        <w:t xml:space="preserve">clause (c) </w:t>
      </w:r>
      <w:r>
        <w:rPr>
          <w:rFonts w:ascii="Times New Roman" w:hAnsi="Times New Roman"/>
          <w:caps w:val="false"/>
          <w:smallCaps w:val="false"/>
          <w:sz w:val="20"/>
        </w:rPr>
        <w:t>of this definition and (iii) has combined capital and surplus of at least $1,000,000,000, in each case with maturities of not more than one hundred eighty (180) days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commercial paper issued by any Person organized under the laws of any state of the United States and rated at least “Prime-1” (or the then equivalent grade) by Moody’s or at least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caps w:val="false"/>
          <w:smallCaps w:val="false"/>
          <w:sz w:val="20"/>
        </w:rPr>
        <w:t>A-1” (or the then equivalent grade) by S&amp;P, in each case with maturities of not more than one hundred eighty (180) days from the date of acquisition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Investments, classified in accordance with GAAP as current assets of any Loan Party Group Company,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hAnsi="Times New Roman"/>
          <w:b/>
          <w:i/>
          <w:caps w:val="false"/>
          <w:smallCaps w:val="false"/>
          <w:sz w:val="20"/>
        </w:rPr>
        <w:t>clauses (a)</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(c) </w:t>
      </w:r>
      <w:r>
        <w:rPr>
          <w:rFonts w:ascii="Times New Roman" w:hAnsi="Times New Roman"/>
          <w:caps w:val="false"/>
          <w:smallCaps w:val="false"/>
          <w:sz w:val="20"/>
        </w:rPr>
        <w:t>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Cash Management Agreement</w:t>
      </w:r>
      <w:r>
        <w:rPr>
          <w:rFonts w:ascii="Times New Roman" w:hAnsi="Times New Roman"/>
          <w:caps w:val="false"/>
          <w:smallCaps w:val="false"/>
          <w:sz w:val="20"/>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(0) balance accounts, returned check concentration, controlled disbursement, lockbox, account reconciliation and reporting and trade finance services and other cash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Cash Management Bank</w:t>
      </w:r>
      <w:r>
        <w:rPr>
          <w:rFonts w:ascii="Times New Roman" w:hAnsi="Times New Roman"/>
          <w:caps w:val="false"/>
          <w:smallCaps w:val="false"/>
          <w:sz w:val="20"/>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for any of the foregoing to be included as a “</w:t>
      </w:r>
      <w:r>
        <w:rPr>
          <w:rFonts w:ascii="Times New Roman" w:hAnsi="Times New Roman"/>
          <w:i/>
          <w:caps w:val="false"/>
          <w:smallCaps w:val="false"/>
          <w:sz w:val="20"/>
        </w:rPr>
        <w:t>Secured Cash Management Agreement</w:t>
      </w:r>
      <w:r>
        <w:rPr>
          <w:rFonts w:ascii="Times New Roman" w:hAnsi="Times New Roman"/>
          <w:caps w:val="false"/>
          <w:smallCaps w:val="false"/>
          <w:sz w:val="20"/>
        </w:rPr>
        <w: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Cash Reserve Collateral</w:t>
      </w:r>
      <w:r>
        <w:rPr>
          <w:rFonts w:ascii="Times New Roman" w:hAnsi="Times New Roman"/>
          <w:caps w:val="false"/>
          <w:smallCaps w:val="false"/>
          <w:sz w:val="20"/>
        </w:rPr>
        <w:t>” means cash or Cash Equivalents held at the Administrative Agent as Collateral subject to the Control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CERCLA</w:t>
      </w:r>
      <w:r>
        <w:rPr>
          <w:rFonts w:ascii="Times New Roman" w:hAnsi="Times New Roman"/>
          <w:caps w:val="false"/>
          <w:smallCaps w:val="false"/>
          <w:sz w:val="20"/>
        </w:rPr>
        <w:t>” means the Comprehensive Environmental Response, Compensation and Liability Act of 1980.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CERCLIS</w:t>
      </w:r>
      <w:r>
        <w:rPr>
          <w:rFonts w:ascii="Times New Roman" w:hAnsi="Times New Roman"/>
          <w:caps w:val="false"/>
          <w:smallCaps w:val="false"/>
          <w:sz w:val="20"/>
        </w:rPr>
        <w:t>” means the Comprehensive Environmental Response, Compensation and Liability Information System maintained by the U.S. Environmental Protection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CFC</w:t>
      </w:r>
      <w:r>
        <w:rPr>
          <w:rFonts w:ascii="Times New Roman" w:hAnsi="Times New Roman"/>
          <w:caps w:val="false"/>
          <w:smallCaps w:val="false"/>
          <w:sz w:val="20"/>
        </w:rPr>
        <w:t xml:space="preserve">” means a Person that is a controlled foreign corporation under </w:t>
      </w:r>
      <w:r>
        <w:rPr>
          <w:rFonts w:ascii="Times New Roman" w:hAnsi="Times New Roman"/>
          <w:i/>
          <w:caps w:val="false"/>
          <w:smallCaps w:val="false"/>
          <w:sz w:val="20"/>
        </w:rPr>
        <w:t xml:space="preserve">Section 957 </w:t>
      </w:r>
      <w:r>
        <w:rPr>
          <w:rFonts w:ascii="Times New Roman" w:hAnsi="Times New Roman"/>
          <w:caps w:val="false"/>
          <w:smallCaps w:val="false"/>
          <w:sz w:val="20"/>
        </w:rPr>
        <w:t xml:space="preserve">of the Code in which the Borrower or any Loan Party is a United States shareholder within the meaning of </w:t>
      </w:r>
      <w:r>
        <w:rPr>
          <w:rFonts w:ascii="Times New Roman" w:hAnsi="Times New Roman"/>
          <w:i/>
          <w:caps w:val="false"/>
          <w:smallCaps w:val="false"/>
          <w:sz w:val="20"/>
        </w:rPr>
        <w:t xml:space="preserve">Section 951(b) </w:t>
      </w:r>
      <w:r>
        <w:rPr>
          <w:rFonts w:ascii="Times New Roman" w:hAnsi="Times New Roman"/>
          <w:caps w:val="false"/>
          <w:smallCaps w:val="false"/>
          <w:sz w:val="20"/>
        </w:rPr>
        <w:t>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Change in Law</w:t>
      </w:r>
      <w:r>
        <w:rPr>
          <w:rFonts w:ascii="Times New Roman" w:hAnsi="Times New Roman"/>
          <w:caps w:val="false"/>
          <w:smallCaps w:val="false"/>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i/>
          <w:caps w:val="false"/>
          <w:smallCaps w:val="false"/>
          <w:sz w:val="20"/>
        </w:rPr>
        <w:t xml:space="preserve">provided </w:t>
      </w:r>
      <w:r>
        <w:rPr>
          <w:rFonts w:ascii="Times New Roman" w:hAnsi="Times New Roman"/>
          <w:caps w:val="false"/>
          <w:smallCaps w:val="false"/>
          <w:sz w:val="20"/>
        </w:rPr>
        <w:t>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20"/>
        <w:jc w:val="left"/>
        <w:rPr>
          <w:rFonts w:ascii="Times New Roman" w:hAnsi="Times New Roman"/>
          <w:caps w:val="false"/>
          <w:smallCaps w:val="false"/>
          <w:sz w:val="20"/>
        </w:rPr>
      </w:pPr>
      <w:r>
        <w:rPr>
          <w:rFonts w:ascii="Times New Roman" w:hAnsi="Times New Roman"/>
          <w:caps w:val="false"/>
          <w:smallCaps w:val="false"/>
          <w:sz w:val="20"/>
        </w:rPr>
        <w:t>each case be deemed to be a “</w:t>
      </w:r>
      <w:r>
        <w:rPr>
          <w:rFonts w:ascii="Times New Roman" w:hAnsi="Times New Roman"/>
          <w:i/>
          <w:caps w:val="false"/>
          <w:smallCaps w:val="false"/>
          <w:sz w:val="20"/>
        </w:rPr>
        <w:t>Change in Law</w:t>
      </w:r>
      <w:r>
        <w:rPr>
          <w:rFonts w:ascii="Times New Roman" w:hAnsi="Times New Roman"/>
          <w:caps w:val="false"/>
          <w:smallCaps w:val="false"/>
          <w:sz w:val="20"/>
        </w:rPr>
        <w:t>”,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Change of Control</w:t>
      </w:r>
      <w:r>
        <w:rPr>
          <w:rFonts w:ascii="Times New Roman" w:hAnsi="Times New Roman"/>
          <w:caps w:val="false"/>
          <w:smallCaps w:val="false"/>
          <w:sz w:val="20"/>
        </w:rPr>
        <w:t>” means an event or series of events by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any “</w:t>
      </w:r>
      <w:r>
        <w:rPr>
          <w:rFonts w:ascii="Times New Roman" w:hAnsi="Times New Roman"/>
          <w:i/>
          <w:caps w:val="false"/>
          <w:smallCaps w:val="false"/>
          <w:sz w:val="20"/>
        </w:rPr>
        <w:t>person</w:t>
      </w:r>
      <w:r>
        <w:rPr>
          <w:rFonts w:ascii="Times New Roman" w:hAnsi="Times New Roman"/>
          <w:caps w:val="false"/>
          <w:smallCaps w:val="false"/>
          <w:sz w:val="20"/>
        </w:rPr>
        <w:t>” or “</w:t>
      </w:r>
      <w:r>
        <w:rPr>
          <w:rFonts w:ascii="Times New Roman" w:hAnsi="Times New Roman"/>
          <w:i/>
          <w:caps w:val="false"/>
          <w:smallCaps w:val="false"/>
          <w:sz w:val="20"/>
        </w:rPr>
        <w:t>group</w:t>
      </w:r>
      <w:r>
        <w:rPr>
          <w:rFonts w:ascii="Times New Roman" w:hAnsi="Times New Roman"/>
          <w:caps w:val="false"/>
          <w:smallCaps w:val="false"/>
          <w:sz w:val="20"/>
        </w:rPr>
        <w:t xml:space="preserve">” (as such terms are used in </w:t>
      </w:r>
      <w:r>
        <w:rPr>
          <w:rFonts w:ascii="Times New Roman" w:hAnsi="Times New Roman"/>
          <w:i/>
          <w:caps w:val="false"/>
          <w:smallCaps w:val="false"/>
          <w:sz w:val="20"/>
        </w:rPr>
        <w:t xml:space="preserve">Sections 13(d)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14(d) </w:t>
      </w:r>
      <w:r>
        <w:rPr>
          <w:rFonts w:ascii="Times New Roman" w:hAnsi="Times New Roman"/>
          <w:caps w:val="false"/>
          <w:smallCaps w:val="false"/>
          <w:sz w:val="20"/>
        </w:rPr>
        <w:t>of the Securities Exchange Act of 1934, but excluding any employee benefit plan of such person or its subsidiaries, and any person or entity acting in its capacity as trustee, agent or other fiduciary or administrator of any such plan) becomes the “</w:t>
      </w:r>
      <w:r>
        <w:rPr>
          <w:rFonts w:ascii="Times New Roman" w:hAnsi="Times New Roman"/>
          <w:i/>
          <w:caps w:val="false"/>
          <w:smallCaps w:val="false"/>
          <w:sz w:val="20"/>
        </w:rPr>
        <w:t>beneficial owner</w:t>
      </w:r>
      <w:r>
        <w:rPr>
          <w:rFonts w:ascii="Times New Roman" w:hAnsi="Times New Roman"/>
          <w:caps w:val="false"/>
          <w:smallCaps w:val="false"/>
          <w:sz w:val="20"/>
        </w:rPr>
        <w:t>” (as defined in Rules 13d-3 and 13d-5 under the Securities Exchange Act of 1934, except that a person or group shall be deemed to have “</w:t>
      </w:r>
      <w:r>
        <w:rPr>
          <w:rFonts w:ascii="Times New Roman" w:hAnsi="Times New Roman"/>
          <w:i/>
          <w:caps w:val="false"/>
          <w:smallCaps w:val="false"/>
          <w:sz w:val="20"/>
        </w:rPr>
        <w:t>beneficial ownership</w:t>
      </w:r>
      <w:r>
        <w:rPr>
          <w:rFonts w:ascii="Times New Roman" w:hAnsi="Times New Roman"/>
          <w:caps w:val="false"/>
          <w:smallCaps w:val="false"/>
          <w:sz w:val="20"/>
        </w:rPr>
        <w:t>” of all securities that such person or group has the right to acquire, whether such right is exercisable immediately or only after the passage of time (such right, an “</w:t>
      </w:r>
      <w:r>
        <w:rPr>
          <w:rFonts w:ascii="Times New Roman" w:hAnsi="Times New Roman"/>
          <w:b/>
          <w:i/>
          <w:caps w:val="false"/>
          <w:smallCaps w:val="false"/>
          <w:sz w:val="20"/>
        </w:rPr>
        <w:t>option right</w:t>
      </w:r>
      <w:r>
        <w:rPr>
          <w:rFonts w:ascii="Times New Roman" w:hAnsi="Times New Roman"/>
          <w:caps w:val="false"/>
          <w:smallCaps w:val="false"/>
          <w:sz w:val="20"/>
        </w:rPr>
        <w:t>”)), directly or indirectly, of 25% or more of the equity securities of Holdings entitled to vote for members of the board of directors or equivalent governing body of Holdings on a fully-diluted basis (and taking into account all such securities that such “</w:t>
      </w:r>
      <w:r>
        <w:rPr>
          <w:rFonts w:ascii="Times New Roman" w:hAnsi="Times New Roman"/>
          <w:i/>
          <w:caps w:val="false"/>
          <w:smallCaps w:val="false"/>
          <w:sz w:val="20"/>
        </w:rPr>
        <w:t>person</w:t>
      </w:r>
      <w:r>
        <w:rPr>
          <w:rFonts w:ascii="Times New Roman" w:hAnsi="Times New Roman"/>
          <w:caps w:val="false"/>
          <w:smallCaps w:val="false"/>
          <w:sz w:val="20"/>
        </w:rPr>
        <w:t>” or “</w:t>
      </w:r>
      <w:r>
        <w:rPr>
          <w:rFonts w:ascii="Times New Roman" w:hAnsi="Times New Roman"/>
          <w:i/>
          <w:caps w:val="false"/>
          <w:smallCaps w:val="false"/>
          <w:sz w:val="20"/>
        </w:rPr>
        <w:t>group</w:t>
      </w:r>
      <w:r>
        <w:rPr>
          <w:rFonts w:ascii="Times New Roman" w:hAnsi="Times New Roman"/>
          <w:caps w:val="false"/>
          <w:smallCaps w:val="false"/>
          <w:sz w:val="20"/>
        </w:rPr>
        <w:t>” has the right to acquire pursuant to any option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(i) Holdings shall cease to own and control, of record and beneficially, directly or indirectly, 100% of the aggregate ordinary voting power represented by the issued and outstanding Equity Interests of the Borrower on a fully diluted basis (which for this purpose shall exclude all Equity Interests that have not yet vested) or (ii) Holdings or the Borrower shall cease to own and control, of record and beneficially, directly or indirectly, 100% of the aggregate ordinary voting power represented by the issued and outstanding Equity Interests of Montauk on a fully diluted basis (which for this purpose shall exclude all Equity Interests that have not yet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Holdings shall cease to have the ability to elect (either through share ownership or contractual voting rights) a majority of the board of directors or equivalent governing body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Civil Asset Forfeiture Reform Act</w:t>
      </w:r>
      <w:r>
        <w:rPr>
          <w:rFonts w:ascii="Times New Roman" w:hAnsi="Times New Roman"/>
          <w:caps w:val="false"/>
          <w:smallCaps w:val="false"/>
          <w:sz w:val="20"/>
        </w:rPr>
        <w:t>” means the Civil Asset Forfeiture Reform Act of 2000 (18 U.S.C. Sections 983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Class</w:t>
      </w:r>
      <w:r>
        <w:rPr>
          <w:rFonts w:ascii="Times New Roman" w:hAnsi="Times New Roman"/>
          <w:caps w:val="false"/>
          <w:smallCaps w:val="false"/>
          <w:sz w:val="20"/>
        </w:rPr>
        <w:t>”, when used in reference to any Loan or Borrowing, refers to whether such Loan, or the Loans comprising such Borrowing, are Revolving Loans, Term Loans or Delayed Draw Term Loans and, when used in reference to any Commitment, refers to whether such Commitment is a Revolving Commitment, Term Commitment or Delayed Draw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caps w:val="false"/>
          <w:smallCaps w:val="false"/>
          <w:sz w:val="20"/>
        </w:rPr>
        <w:t>” means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CME</w:t>
      </w:r>
      <w:r>
        <w:rPr>
          <w:rFonts w:ascii="Times New Roman" w:hAnsi="Times New Roman"/>
          <w:caps w:val="false"/>
          <w:smallCaps w:val="false"/>
          <w:sz w:val="20"/>
        </w:rPr>
        <w:t>” means CME Group Benchmark Administration Limited. “</w:t>
      </w:r>
      <w:r>
        <w:rPr>
          <w:rFonts w:ascii="Times New Roman" w:hAnsi="Times New Roman"/>
          <w:b/>
          <w:i/>
          <w:caps w:val="false"/>
          <w:smallCaps w:val="false"/>
          <w:sz w:val="20"/>
        </w:rPr>
        <w:t>Code</w:t>
      </w:r>
      <w:r>
        <w:rPr>
          <w:rFonts w:ascii="Times New Roman" w:hAnsi="Times New Roman"/>
          <w:caps w:val="false"/>
          <w:smallCaps w:val="false"/>
          <w:sz w:val="20"/>
        </w:rPr>
        <w:t>” means the Internal Revenue Code of 1986.</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Collateral</w:t>
      </w:r>
      <w:r>
        <w:rPr>
          <w:rFonts w:ascii="Times New Roman" w:hAnsi="Times New Roman"/>
          <w:caps w:val="false"/>
          <w:smallCaps w:val="false"/>
          <w:sz w:val="20"/>
        </w:rPr>
        <w:t>” means a collective reference to all property with respect to which Liens in favor of the Administrative Agent, for the benefit of the Secured Parties, are purported to be granted pursuant to and in accordance with the terms of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Collateral Documents</w:t>
      </w:r>
      <w:r>
        <w:rPr>
          <w:rFonts w:ascii="Times New Roman" w:hAnsi="Times New Roman"/>
          <w:caps w:val="false"/>
          <w:smallCaps w:val="false"/>
          <w:sz w:val="20"/>
        </w:rPr>
        <w:t xml:space="preserve">” means a collective reference to the Security Agreement, the Holdings Pledge Agreement, each Mortgage, the Control Agreement and other security documents as may be executed and delivered by any Loan Party pursuant to the terms of </w:t>
      </w:r>
      <w:r>
        <w:rPr>
          <w:rFonts w:ascii="Times New Roman" w:hAnsi="Times New Roman"/>
          <w:b/>
          <w:i/>
          <w:caps w:val="false"/>
          <w:smallCaps w:val="false"/>
          <w:sz w:val="20"/>
        </w:rPr>
        <w:t xml:space="preserve">Section 6.14 </w:t>
      </w:r>
      <w:r>
        <w:rPr>
          <w:rFonts w:ascii="Times New Roman" w:hAnsi="Times New Roman"/>
          <w:caps w:val="false"/>
          <w:smallCaps w:val="false"/>
          <w:sz w:val="20"/>
        </w:rPr>
        <w:t>or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Commitment</w:t>
      </w:r>
      <w:r>
        <w:rPr>
          <w:rFonts w:ascii="Times New Roman" w:hAnsi="Times New Roman"/>
          <w:caps w:val="false"/>
          <w:smallCaps w:val="false"/>
          <w:sz w:val="20"/>
        </w:rPr>
        <w:t>” means a Term Commitment, a Delayed Draw Term Loan Commitment or a Revolving Commitment,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Commitment Fee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2.09(a)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Commodity Exchange Act</w:t>
      </w:r>
      <w:r>
        <w:rPr>
          <w:rFonts w:ascii="Times New Roman" w:hAnsi="Times New Roman"/>
          <w:caps w:val="false"/>
          <w:smallCaps w:val="false"/>
          <w:sz w:val="20"/>
        </w:rPr>
        <w:t xml:space="preserve">” means the Commodity Exchange Act (7 U.S.C. §1 </w:t>
      </w:r>
      <w:r>
        <w:rPr>
          <w:rFonts w:ascii="Times New Roman" w:hAnsi="Times New Roman"/>
          <w:i/>
          <w:caps w:val="false"/>
          <w:smallCaps w:val="false"/>
          <w:sz w:val="20"/>
        </w:rPr>
        <w:t>et seq</w:t>
      </w:r>
      <w:r>
        <w:rPr>
          <w:rFonts w:ascii="Times New Roman" w:hAnsi="Times New Roman"/>
          <w:caps w:val="false"/>
          <w:smallCaps w:val="false"/>
          <w:sz w:val="20"/>
        </w:rPr>
        <w:t>.),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Communication</w:t>
      </w:r>
      <w:r>
        <w:rPr>
          <w:rFonts w:ascii="Times New Roman" w:hAnsi="Times New Roman"/>
          <w:caps w:val="false"/>
          <w:smallCaps w:val="false"/>
          <w:sz w:val="20"/>
        </w:rPr>
        <w:t>” means this Agreement, any Loan Document and any document, any amendment, approval, consent, information, notice, certificate, request, statement, disclosure or authorization related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Compliance Certificate</w:t>
      </w:r>
      <w:r>
        <w:rPr>
          <w:rFonts w:ascii="Times New Roman" w:hAnsi="Times New Roman"/>
          <w:caps w:val="false"/>
          <w:smallCaps w:val="false"/>
          <w:sz w:val="20"/>
        </w:rPr>
        <w:t xml:space="preserve">” means a certificate substantially in the form of </w:t>
      </w:r>
      <w:r>
        <w:rPr>
          <w:rFonts w:ascii="Times New Roman" w:hAnsi="Times New Roman"/>
          <w:b/>
          <w:i/>
          <w:caps w:val="false"/>
          <w:smallCaps w:val="false"/>
          <w:sz w:val="20"/>
        </w:rPr>
        <w:t>Exhibit 6.02</w:t>
      </w:r>
      <w:r>
        <w:rPr>
          <w:rFonts w:ascii="Times New Roman" w:hAnsi="Times New Roman"/>
          <w:caps w:val="false"/>
          <w:smallCaps w:val="false"/>
          <w:sz w:val="20"/>
        </w:rPr>
        <w:t>. “</w:t>
      </w:r>
      <w:r>
        <w:rPr>
          <w:rFonts w:ascii="Times New Roman" w:hAnsi="Times New Roman"/>
          <w:b/>
          <w:i/>
          <w:caps w:val="false"/>
          <w:smallCaps w:val="false"/>
          <w:sz w:val="20"/>
        </w:rPr>
        <w:t>Conforming Changes</w:t>
      </w:r>
      <w:r>
        <w:rPr>
          <w:rFonts w:ascii="Times New Roman" w:hAnsi="Times New Roman"/>
          <w:caps w:val="false"/>
          <w:smallCaps w:val="false"/>
          <w:sz w:val="20"/>
        </w:rPr>
        <w:t>” means, with respect to the use, administration of or any conventions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associated with SOFR or any proposed Successor Rate or Term SOFR, as applicable, any conforming changes to the definitions of “</w:t>
      </w:r>
      <w:r>
        <w:rPr>
          <w:rFonts w:ascii="Times New Roman" w:hAnsi="Times New Roman"/>
          <w:i/>
          <w:caps w:val="false"/>
          <w:smallCaps w:val="false"/>
          <w:sz w:val="20"/>
        </w:rPr>
        <w:t>Base Rate</w:t>
      </w:r>
      <w:r>
        <w:rPr>
          <w:rFonts w:ascii="Times New Roman" w:hAnsi="Times New Roman"/>
          <w:caps w:val="false"/>
          <w:smallCaps w:val="false"/>
          <w:sz w:val="20"/>
        </w:rPr>
        <w:t>”, “</w:t>
      </w:r>
      <w:r>
        <w:rPr>
          <w:rFonts w:ascii="Times New Roman" w:hAnsi="Times New Roman"/>
          <w:i/>
          <w:caps w:val="false"/>
          <w:smallCaps w:val="false"/>
          <w:sz w:val="20"/>
        </w:rPr>
        <w:t>SOFR</w:t>
      </w:r>
      <w:r>
        <w:rPr>
          <w:rFonts w:ascii="Times New Roman" w:hAnsi="Times New Roman"/>
          <w:caps w:val="false"/>
          <w:smallCaps w:val="false"/>
          <w:sz w:val="20"/>
        </w:rPr>
        <w:t>”, “</w:t>
      </w:r>
      <w:r>
        <w:rPr>
          <w:rFonts w:ascii="Times New Roman" w:hAnsi="Times New Roman"/>
          <w:i/>
          <w:caps w:val="false"/>
          <w:smallCaps w:val="false"/>
          <w:sz w:val="20"/>
        </w:rPr>
        <w:t>Term SOFR</w:t>
      </w:r>
      <w:r>
        <w:rPr>
          <w:rFonts w:ascii="Times New Roman" w:hAnsi="Times New Roman"/>
          <w:caps w:val="false"/>
          <w:smallCaps w:val="false"/>
          <w:sz w:val="20"/>
        </w:rPr>
        <w:t>” and “</w:t>
      </w:r>
      <w:r>
        <w:rPr>
          <w:rFonts w:ascii="Times New Roman" w:hAnsi="Times New Roman"/>
          <w:i/>
          <w:caps w:val="false"/>
          <w:smallCaps w:val="false"/>
          <w:sz w:val="20"/>
        </w:rPr>
        <w:t>Interest Period</w:t>
      </w:r>
      <w:r>
        <w:rPr>
          <w:rFonts w:ascii="Times New Roman" w:hAnsi="Times New Roman"/>
          <w:caps w:val="false"/>
          <w:smallCaps w:val="false"/>
          <w:sz w:val="20"/>
        </w:rPr>
        <w:t>”, timing and frequency of determining rates and making payments of interest and other technical, administrative or operational matters (including, for the avoidance of doubt, the definitions of “</w:t>
      </w:r>
      <w:r>
        <w:rPr>
          <w:rFonts w:ascii="Times New Roman" w:hAnsi="Times New Roman"/>
          <w:i/>
          <w:caps w:val="false"/>
          <w:smallCaps w:val="false"/>
          <w:sz w:val="20"/>
        </w:rPr>
        <w:t>Business Day</w:t>
      </w:r>
      <w:r>
        <w:rPr>
          <w:rFonts w:ascii="Times New Roman" w:hAnsi="Times New Roman"/>
          <w:caps w:val="false"/>
          <w:smallCaps w:val="false"/>
          <w:sz w:val="20"/>
        </w:rPr>
        <w:t>” and “</w:t>
      </w:r>
      <w:r>
        <w:rPr>
          <w:rFonts w:ascii="Times New Roman" w:hAnsi="Times New Roman"/>
          <w:i/>
          <w:caps w:val="false"/>
          <w:smallCaps w:val="false"/>
          <w:sz w:val="20"/>
        </w:rPr>
        <w:t>U.S. Government Securities Business Day</w:t>
      </w:r>
      <w:r>
        <w:rPr>
          <w:rFonts w:ascii="Times New Roman" w:hAnsi="Times New Roman"/>
          <w:caps w:val="false"/>
          <w:smallCaps w:val="false"/>
          <w:sz w:val="20"/>
        </w:rPr>
        <w:t>”,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Connection Income Taxes</w:t>
      </w:r>
      <w:r>
        <w:rPr>
          <w:rFonts w:ascii="Times New Roman" w:hAnsi="Times New Roman"/>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Capital Expenditures</w:t>
      </w:r>
      <w:r>
        <w:rPr>
          <w:rFonts w:ascii="Times New Roman" w:hAnsi="Times New Roman"/>
          <w:caps w:val="false"/>
          <w:smallCaps w:val="false"/>
          <w:sz w:val="20"/>
        </w:rPr>
        <w:t>” shall mean, for the Loan Party Group Companies for any period, Capital Expenditures other than (a) Capital Expenditures financed with Indebtedness (other than revolving Indebtedness), the proceeds of an issuance of Equity Interests or the proceeds of any Disposition or Recovery Event, (b) the portion of Capital Expenditures incurred as a result of purchase accounting adjustments related to, or purchase price paid for, Permitted Acquisition, (c) Capital Expenditures that are paid for, or reimbursed to, any Loan Party Group Company in cash or Cash Equivalents, by a Person other than a Loan Party Group Company and for which no Loan Party Group Company has provided or is required to provide or incur, directly or indirectly, any consideration or obligation (other than rent and obligations ancillary thereto) in respect of such expenditures to such Person or any other Person (whether before, during or after such period) or (d) Capital Expenditures to the extent such expenditures are part of the aggregate amounts payable in connection with, or other consideration for, any Permitted Acquisition consummated during or prior to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EBITDA</w:t>
      </w:r>
      <w:r>
        <w:rPr>
          <w:rFonts w:ascii="Times New Roman" w:hAnsi="Times New Roman"/>
          <w:caps w:val="false"/>
          <w:smallCaps w:val="false"/>
          <w:sz w:val="20"/>
        </w:rPr>
        <w:t>” means, for any period, the sum of the following determined on a consolidated basis, without duplication, for the Loan Party Group Companies in accordance with GAAP,</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Consolidated Net Income for such period plus (b) the following to the extent deducted in calculating such Consolidated Net Income for such period (without duplication):</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200"/>
        <w:gridCol w:w="252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Interest Charges;</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60"/>
        <w:gridCol w:w="260"/>
        <w:gridCol w:w="576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5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 for federal, state, local and foreign income taxes payable;</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320"/>
        <w:gridCol w:w="323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3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(iv)    non-cash charges and expenses such as unrealized foreign exchange losses and charges relating to the impairment of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(v)    transaction costs incurred in such period to the extent approved by the Required Lenders in writing;</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60"/>
        <w:gridCol w:w="305"/>
        <w:gridCol w:w="299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(vii)    non-cash share of loss from investments in associates and unrealized loss on changes in fair value of contingent consideration and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(viii)    extraordinary or non-recurring expenses or losses to the extent approved by the Required Lenders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(ix)    Expansion Costs and Restructuring Costs in an amount not to exceed 10% of Consolidated EBITDA in any Fiscal Year of the Borrower (as shown in the Compliance Certificate delivered with the financial statements delivered under Section 6.01(c) for the Fiscal Year immediately preceding the Fiscal Year in which such calculation is made);</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60"/>
        <w:gridCol w:w="245"/>
        <w:gridCol w:w="8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(xi)    to the extent Consolidated EBITDA of the Mack Entities (taken as a whole) is less than $0 with respect to the Fiscal Quarters ended November 31, 2024 and February 28, 2025, a one-time addback in an amount equal to the lesser of (a) with respect to such Fiscal Quarters,</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$2,000,000 and $1,750,000, respectively, and (b) actual negative Consolidated EBITDA of the Mack Entities for such Fiscal Quarter; provided that in no event, shall the addback under this clause</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(xi) for such Fiscal Quarters exceed $2,000,000 and $1,750,000,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(xii)    in connection with the Atwater Sale contemplated by the Atwater Purchase Agreement, the Consolidated EBITDA of Atwater for the Fiscal Quarters ended August 31, 2025, November 30, 2025, February 28, 2026 and May 31, 2026 shall be $307,000, $632,000, $435,000, and $768,000, respectively (the “</w:t>
      </w:r>
      <w:r>
        <w:rPr>
          <w:rFonts w:ascii="Times New Roman" w:hAnsi="Times New Roman"/>
          <w:b/>
          <w:i/>
          <w:caps w:val="false"/>
          <w:smallCaps w:val="false"/>
          <w:sz w:val="20"/>
        </w:rPr>
        <w:t>Atwater Adjustment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the Atwater Sale is terminated for any reason or is not consummated on or before October 31, 2026 (the “</w:t>
      </w:r>
      <w:r>
        <w:rPr>
          <w:rFonts w:ascii="Times New Roman" w:hAnsi="Times New Roman"/>
          <w:b/>
          <w:i/>
          <w:caps w:val="false"/>
          <w:smallCaps w:val="false"/>
          <w:sz w:val="20"/>
        </w:rPr>
        <w:t>Atwater Outside Date</w:t>
      </w:r>
      <w:r>
        <w:rPr>
          <w:rFonts w:ascii="Times New Roman" w:hAnsi="Times New Roman"/>
          <w:caps w:val="false"/>
          <w:smallCaps w:val="false"/>
          <w:sz w:val="20"/>
        </w:rPr>
        <w:t>”), the Atwater Adjustment shall cease to apply as of the date of such termination or the Atwater Outside Date, as applicable, and the Borrower shall, within five (5) Business Days following such termination or the Atwater Outside Date, deliver to the Administrative Agent a restated Compliance Certificate for the most recently ended Fiscal Quarter recalculating Consolidated EBITDA without giving effect to the Atwater Adjustment;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(xiii)    any other expenses approved in writing by the Required Lenders in their discretion; </w:t>
      </w:r>
      <w:r>
        <w:rPr>
          <w:rFonts w:ascii="Times New Roman" w:hAnsi="Times New Roman"/>
          <w:caps w:val="false"/>
          <w:smallCaps w:val="false"/>
          <w:sz w:val="20"/>
          <w:u w:val="single"/>
        </w:rPr>
        <w:t>less</w:t>
      </w:r>
      <w:r>
        <w:rPr>
          <w:rFonts w:ascii="Times New Roman" w:hAnsi="Times New Roman"/>
          <w:caps w:val="false"/>
          <w:smallCaps w:val="false"/>
          <w:sz w:val="20"/>
        </w:rPr>
        <w:t xml:space="preserve"> (c) without duplication and to the extent reflected as a gain or otherwise included in</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the calculation of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non-cash gains (excluding any such non-cash gains to the extent (y) there were cash gains with respect to such gains in past accounting periods or (z) there is a reasonable expectation that there will be cash gains with respect to such gains in future accounting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(ii)    non-cash share of gains from investments in associates and unrealized loss on changes in fair value of contingent consideration and investments; and</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320"/>
        <w:gridCol w:w="302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extraordinary or non-recurring gains;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provided that for purposes of this Agreement, (a) Consolidated EBITDA of the Tilray Beverage Entities shall be $1,653,961 for the quarter ending November 30, 2022, ($3,241,493) for the quarter ending February 28, 2023, $2,456,211 for the quarter ending May 31, 2023,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$3,247,153 and (b) Consolidated EBITDA of the Mack Entities shall be excluded from Consolidated EBITDA for all periods prior to August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Fixed Charge Coverage Ratio</w:t>
      </w:r>
      <w:r>
        <w:rPr>
          <w:rFonts w:ascii="Times New Roman" w:hAnsi="Times New Roman"/>
          <w:caps w:val="false"/>
          <w:smallCaps w:val="false"/>
          <w:sz w:val="20"/>
        </w:rPr>
        <w:t>” means, as of any date of determination for the most recently completed four (4) Fiscal Quarters of the Borrower, the ratio of (a)(i) Consolidated EBITDA for such period less (ii) the aggregate amount of all Consolidated Capital Expenditures paid in cash during such period, less (iii) income tax expense paid in cash for such period, including, without limitation, federal, state, local, franchise and similar taxes paid during such period including penalties and interest related to such taxes or arising from any tax examinations (including, without duplication, Permitted Tax Distributions) for such period to (b) Consolidated Fixed Charges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Fixed Charges</w:t>
      </w:r>
      <w:r>
        <w:rPr>
          <w:rFonts w:ascii="Times New Roman" w:hAnsi="Times New Roman"/>
          <w:caps w:val="false"/>
          <w:smallCaps w:val="false"/>
          <w:sz w:val="20"/>
        </w:rPr>
        <w:t>” means, as of any date of determination for the most recently completed four (4) Fiscal Quarters of the Borrower, the sum, without duplication, of (a) Consolidated Interest Charges paid in cash for such period, and (b) scheduled principal payments made in cash on Consolidated Funded Indebtedness during such period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for purposes of calculating the Consolidated Fixed Charge Coverage Ratio, scheduled principal payments shall not be reduced by voluntary prepayments of Consolidated Funded Indebtedness). For purposes of calculating the Consolidated Fixed Charge Coverage Ratio until completion of four (4) full Fiscal Quarters after the Closing Date,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of the foregoing sentence shall (i) for the Fiscal Quarter ended August 31, 2023, such amount for the measurement period then ended shall equal such item for such Fiscal Quarter multiplied by four (4); (ii) the Fiscal Quarter ended November 30, 2023, such amount for the measurement period then ended shall equal such item for the two (2) consecutive Fiscal Quarters then ended multiplied by two (2); and (iii) the Fiscal Quarter ended February 28, 2024, such amount for the measurement period then ended shall equal such item for the three (3) consecutive Fiscal Quarters then ended multiplied by four-thirds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Funded Indebtedness</w:t>
      </w:r>
      <w:r>
        <w:rPr>
          <w:rFonts w:ascii="Times New Roman" w:hAnsi="Times New Roman"/>
          <w:caps w:val="false"/>
          <w:smallCaps w:val="false"/>
          <w:sz w:val="20"/>
        </w:rPr>
        <w:t xml:space="preserve">” means, as of any date of determination, for the Loan Party Group Companies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the maximum amount available to be drawn under issued and outstanding letters of credit (including standby and commercial), bankers’ acceptances, bank guaranties, surety bonds and similar instruments; (d) all obligations in respect of the deferred purchase price of property or services, including earn-out obligations (other than trade accounts payable in the ordinary course of business); provided that (i) any earn-out obligation shall be calculated as the liability (if any) on the balance sheet of such Person in accordance with GAAP and (ii) Consolidated Funded Indebtedness shall exclude any Holdings Paid Earnout;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plus accrued and unpaid dividends; (g) without duplication, all Guarantees with respect to outstanding Indebtedness of the types specified in </w:t>
      </w:r>
      <w:r>
        <w:rPr>
          <w:rFonts w:ascii="Times New Roman" w:hAnsi="Times New Roman"/>
          <w:b/>
          <w:i/>
          <w:caps w:val="false"/>
          <w:smallCaps w:val="false"/>
          <w:sz w:val="20"/>
        </w:rPr>
        <w:t xml:space="preserve">clauses (a) through (f) </w:t>
      </w:r>
      <w:r>
        <w:rPr>
          <w:rFonts w:ascii="Times New Roman" w:hAnsi="Times New Roman"/>
          <w:caps w:val="false"/>
          <w:smallCaps w:val="false"/>
          <w:sz w:val="20"/>
        </w:rPr>
        <w:t xml:space="preserve">above of Persons other than a Loan Party or any Subsidiary; and (h) all Indebtedness of the types referred to in </w:t>
      </w:r>
      <w:r>
        <w:rPr>
          <w:rFonts w:ascii="Times New Roman" w:hAnsi="Times New Roman"/>
          <w:b/>
          <w:i/>
          <w:caps w:val="false"/>
          <w:smallCaps w:val="false"/>
          <w:sz w:val="20"/>
        </w:rPr>
        <w:t xml:space="preserve">clauses (a) through (g) </w:t>
      </w:r>
      <w:r>
        <w:rPr>
          <w:rFonts w:ascii="Times New Roman" w:hAnsi="Times New Roman"/>
          <w:caps w:val="false"/>
          <w:smallCaps w:val="false"/>
          <w:sz w:val="20"/>
        </w:rPr>
        <w:t>above of any partnership or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(other than a joint venture that is itself a corporation or limited liability company) in which a Loan Party or a Subsidiary is a general partner or joint venturer, unless such Indebtedness is expressly made non-recourse to such Loan Party or such Subsidiary;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Borrower may net up to $10,000,000 of the cash and Cash Equivalents held in the Cash Reserve Collateral Account against the outstanding principal amount of the Holdings Note in determining Consolidated Funded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Interest Charges</w:t>
      </w:r>
      <w:r>
        <w:rPr>
          <w:rFonts w:ascii="Times New Roman" w:hAnsi="Times New Roman"/>
          <w:caps w:val="false"/>
          <w:smallCaps w:val="false"/>
          <w:sz w:val="20"/>
        </w:rPr>
        <w:t>” means, for any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and (b) the portion of rent expense under Capitalized Leases that is treated as interest in accordance with GAAP, in each case, of or by the Loan Party Group Companies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Consolidated Leverage Ratio</w:t>
      </w:r>
      <w:r>
        <w:rPr>
          <w:rFonts w:ascii="Times New Roman" w:hAnsi="Times New Roman"/>
          <w:caps w:val="false"/>
          <w:smallCaps w:val="false"/>
          <w:sz w:val="20"/>
        </w:rPr>
        <w:t>” means, as of any date of determination, the ratio of</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Consolidated Funded Indebtedness as of such date to (b) Consolidated EBITDA for the most recently completed four (4) Fiscal Quarters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Consolidated Net Income</w:t>
      </w:r>
      <w:r>
        <w:rPr>
          <w:rFonts w:ascii="Times New Roman" w:hAnsi="Times New Roman"/>
          <w:caps w:val="false"/>
          <w:smallCaps w:val="false"/>
          <w:sz w:val="20"/>
        </w:rPr>
        <w:t xml:space="preserve">” means, at any date of determination, the net income (or loss) of the Loan Party Group Companies on a consolidated basis for the most recently completed four (4) Fiscal Quarters of the Borrower; </w:t>
      </w:r>
      <w:r>
        <w:rPr>
          <w:rFonts w:ascii="Times New Roman" w:hAnsi="Times New Roman"/>
          <w:i/>
          <w:caps w:val="false"/>
          <w:smallCaps w:val="false"/>
          <w:sz w:val="20"/>
        </w:rPr>
        <w:t xml:space="preserve">provided </w:t>
      </w:r>
      <w:r>
        <w:rPr>
          <w:rFonts w:ascii="Times New Roman" w:hAnsi="Times New Roman"/>
          <w:caps w:val="false"/>
          <w:smallCaps w:val="false"/>
          <w:sz w:val="20"/>
        </w:rPr>
        <w:t>that Consolidated Net Income shall exclude (a) unusual and infrequent gains and unusual and infrequent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and (c) any income (or loss) for such period of any Person if such Person is not a Subsidiary, except that any Loan Party Group Company’s equity in the net income of any such Person for such period shall be included in Consolidated Net Income up to the aggregate amount of cash actually distributed by such Person during such period to a Loan Party Group Company as a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Contractual Obligation</w:t>
      </w:r>
      <w:r>
        <w:rPr>
          <w:rFonts w:ascii="Times New Roman" w:hAnsi="Times New Roman"/>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Control</w:t>
      </w:r>
      <w:r>
        <w:rPr>
          <w:rFonts w:ascii="Times New Roman" w:hAnsi="Times New Roman"/>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b/>
          <w:i/>
          <w:caps w:val="false"/>
          <w:smallCaps w:val="false"/>
          <w:sz w:val="20"/>
        </w:rPr>
        <w:t>Controlling</w:t>
      </w:r>
      <w:r>
        <w:rPr>
          <w:rFonts w:ascii="Times New Roman" w:hAnsi="Times New Roman"/>
          <w:caps w:val="false"/>
          <w:smallCaps w:val="false"/>
          <w:sz w:val="20"/>
        </w:rPr>
        <w:t>” and “</w:t>
      </w:r>
      <w:r>
        <w:rPr>
          <w:rFonts w:ascii="Times New Roman" w:hAnsi="Times New Roman"/>
          <w:b/>
          <w:i/>
          <w:caps w:val="false"/>
          <w:smallCaps w:val="false"/>
          <w:sz w:val="20"/>
        </w:rPr>
        <w:t>Controlled</w:t>
      </w:r>
      <w:r>
        <w:rPr>
          <w:rFonts w:ascii="Times New Roman" w:hAnsi="Times New Roman"/>
          <w:caps w:val="false"/>
          <w:smallCaps w:val="false"/>
          <w:sz w:val="20"/>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Control Agreement</w:t>
      </w:r>
      <w:r>
        <w:rPr>
          <w:rFonts w:ascii="Times New Roman" w:hAnsi="Times New Roman"/>
          <w:caps w:val="false"/>
          <w:smallCaps w:val="false"/>
          <w:sz w:val="20"/>
        </w:rPr>
        <w:t>” means a deposit account control agreement among the Borrower, Bank of America, N.A., as depository bank, and the Administrative Agent in form and substance reasonably acceptable to the Administrative Agent, as the same may be amended, supplemented or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Controlled Substances Act</w:t>
      </w:r>
      <w:r>
        <w:rPr>
          <w:rFonts w:ascii="Times New Roman" w:hAnsi="Times New Roman"/>
          <w:caps w:val="false"/>
          <w:smallCaps w:val="false"/>
          <w:sz w:val="20"/>
        </w:rPr>
        <w:t>” means the Controlled Substances Act (21 U.S.C. Section 801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Covered Entity</w:t>
      </w:r>
      <w:r>
        <w:rPr>
          <w:rFonts w:ascii="Times New Roman" w:hAnsi="Times New Roman"/>
          <w:caps w:val="false"/>
          <w:smallCaps w:val="false"/>
          <w:sz w:val="20"/>
        </w:rPr>
        <w:t>” means any of the following: (a) a “</w:t>
      </w:r>
      <w:r>
        <w:rPr>
          <w:rFonts w:ascii="Times New Roman" w:hAnsi="Times New Roman"/>
          <w:i/>
          <w:caps w:val="false"/>
          <w:smallCaps w:val="false"/>
          <w:sz w:val="20"/>
        </w:rPr>
        <w:t>covered entity</w:t>
      </w:r>
      <w:r>
        <w:rPr>
          <w:rFonts w:ascii="Times New Roman" w:hAnsi="Times New Roman"/>
          <w:caps w:val="false"/>
          <w:smallCaps w:val="false"/>
          <w:sz w:val="20"/>
        </w:rPr>
        <w:t>” as that term is defined in, and interpreted in accordance with, 12 C.F.R. §252.82(b); (b) a “</w:t>
      </w:r>
      <w:r>
        <w:rPr>
          <w:rFonts w:ascii="Times New Roman" w:hAnsi="Times New Roman"/>
          <w:i/>
          <w:caps w:val="false"/>
          <w:smallCaps w:val="false"/>
          <w:sz w:val="20"/>
        </w:rPr>
        <w:t>covered bank</w:t>
      </w:r>
      <w:r>
        <w:rPr>
          <w:rFonts w:ascii="Times New Roman" w:hAnsi="Times New Roman"/>
          <w:caps w:val="false"/>
          <w:smallCaps w:val="false"/>
          <w:sz w:val="20"/>
        </w:rPr>
        <w:t>” as that term is defined in, and interpreted in accordance with, 12 C.F.R. §47.3(b); or (c) a “</w:t>
      </w:r>
      <w:r>
        <w:rPr>
          <w:rFonts w:ascii="Times New Roman" w:hAnsi="Times New Roman"/>
          <w:i/>
          <w:caps w:val="false"/>
          <w:smallCaps w:val="false"/>
          <w:sz w:val="20"/>
        </w:rPr>
        <w:t>covered FSI</w:t>
      </w:r>
      <w:r>
        <w:rPr>
          <w:rFonts w:ascii="Times New Roman" w:hAnsi="Times New Roman"/>
          <w:caps w:val="false"/>
          <w:smallCaps w:val="false"/>
          <w:sz w:val="20"/>
        </w:rPr>
        <w:t>” as that term is defined in, and interpreted in accordance with, 12 C.F.R.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Credit Extension</w:t>
      </w:r>
      <w:r>
        <w:rPr>
          <w:rFonts w:ascii="Times New Roman" w:hAnsi="Times New Roman"/>
          <w:caps w:val="false"/>
          <w:smallCaps w:val="false"/>
          <w:sz w:val="20"/>
        </w:rPr>
        <w:t>” means each of the following: (a) a Borrowing and (b) an L/C Credit Extension. “</w:t>
      </w:r>
      <w:r>
        <w:rPr>
          <w:rFonts w:ascii="Times New Roman" w:hAnsi="Times New Roman"/>
          <w:b/>
          <w:i/>
          <w:caps w:val="false"/>
          <w:smallCaps w:val="false"/>
          <w:sz w:val="20"/>
        </w:rPr>
        <w:t>Cure-Eligible Quarter</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 7.04(e)</w:t>
      </w:r>
      <w:r>
        <w:rPr>
          <w:rFonts w:ascii="Times New Roman" w:hAnsi="Times New Roman"/>
          <w:caps w:val="false"/>
          <w:smallCaps w:val="false"/>
          <w:sz w:val="20"/>
        </w:rPr>
        <w:t>.</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Cure Payment</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 7.04(e)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Daily Simple SOFR</w:t>
      </w:r>
      <w:r>
        <w:rPr>
          <w:rFonts w:ascii="Times New Roman" w:hAnsi="Times New Roman"/>
          <w:caps w:val="false"/>
          <w:smallCaps w:val="false"/>
          <w:sz w:val="20"/>
        </w:rPr>
        <w:t>” with respect to any applicable determination date means the SOFR published on such date on the Federal Reserve Bank of New York’s website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Debt Issuance</w:t>
      </w:r>
      <w:r>
        <w:rPr>
          <w:rFonts w:ascii="Times New Roman" w:hAnsi="Times New Roman"/>
          <w:caps w:val="false"/>
          <w:smallCaps w:val="false"/>
          <w:sz w:val="20"/>
        </w:rPr>
        <w:t xml:space="preserve">” means the issuance by any Loan Party or any Subsidiary of any Indebtedness other than Indebtedness permitted under </w:t>
      </w:r>
      <w:r>
        <w:rPr>
          <w:rFonts w:ascii="Times New Roman" w:hAnsi="Times New Roman"/>
          <w:b/>
          <w:i/>
          <w:caps w:val="false"/>
          <w:smallCaps w:val="false"/>
          <w:sz w:val="20"/>
        </w:rPr>
        <w:t>Section 7.02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Debtor Relief Laws</w:t>
      </w:r>
      <w:r>
        <w:rPr>
          <w:rFonts w:ascii="Times New Roman" w:hAnsi="Times New Roman"/>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Declining Party</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Default</w:t>
      </w:r>
      <w:r>
        <w:rPr>
          <w:rFonts w:ascii="Times New Roman" w:hAnsi="Times New Roman"/>
          <w:caps w:val="false"/>
          <w:smallCaps w:val="false"/>
          <w:sz w:val="20"/>
        </w:rPr>
        <w:t>” means any event or condition that constitutes an Event of Default or that, with the giving of any notice, the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Default Rate</w:t>
      </w:r>
      <w:r>
        <w:rPr>
          <w:rFonts w:ascii="Times New Roman" w:hAnsi="Times New Roman"/>
          <w:caps w:val="false"/>
          <w:smallCaps w:val="false"/>
          <w:sz w:val="20"/>
        </w:rPr>
        <w:t xml:space="preserve">” means (a) with respect to any Obligation for which a rate is specified,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2% in excess of the rate otherwise applicable thereto and (b) with respect to any Obligation for which a rate is not specified or available,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Base Rate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the Applicable Rate for Revolving Loans that are Base Rate Loans </w:t>
      </w:r>
      <w:r>
        <w:rPr>
          <w:rFonts w:ascii="Times New Roman" w:hAnsi="Times New Roman"/>
          <w:i/>
          <w:caps w:val="false"/>
          <w:smallCaps w:val="false"/>
          <w:sz w:val="20"/>
        </w:rPr>
        <w:t xml:space="preserve">plus </w:t>
      </w:r>
      <w:r>
        <w:rPr>
          <w:rFonts w:ascii="Times New Roman" w:hAnsi="Times New Roman"/>
          <w:caps w:val="false"/>
          <w:smallCaps w:val="false"/>
          <w:sz w:val="20"/>
        </w:rPr>
        <w:t>2%, in each case,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Default Right</w:t>
      </w:r>
      <w:r>
        <w:rPr>
          <w:rFonts w:ascii="Times New Roman" w:hAnsi="Times New Roman"/>
          <w:caps w:val="false"/>
          <w:smallCaps w:val="false"/>
          <w:sz w:val="20"/>
        </w:rPr>
        <w:t>” has the meaning assigned to that term in, and shall be interpreted in accordance with, 12 C.F.R.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Defaulting Lender</w:t>
      </w:r>
      <w:r>
        <w:rPr>
          <w:rFonts w:ascii="Times New Roman" w:hAnsi="Times New Roman"/>
          <w:caps w:val="false"/>
          <w:smallCaps w:val="false"/>
          <w:sz w:val="20"/>
        </w:rPr>
        <w:t xml:space="preserve">” means, subject to </w:t>
      </w:r>
      <w:r>
        <w:rPr>
          <w:rFonts w:ascii="Times New Roman" w:hAnsi="Times New Roman"/>
          <w:b/>
          <w:i/>
          <w:caps w:val="false"/>
          <w:smallCaps w:val="false"/>
          <w:sz w:val="20"/>
        </w:rPr>
        <w:t>Section 2.15(b)</w:t>
      </w:r>
      <w:r>
        <w:rPr>
          <w:rFonts w:ascii="Times New Roman" w:hAnsi="Times New Roman"/>
          <w:caps w:val="false"/>
          <w:smallCaps w:val="false"/>
          <w:sz w:val="20"/>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(1)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hAnsi="Times New Roman"/>
          <w:b/>
          <w:i/>
          <w:caps w:val="false"/>
          <w:smallCaps w:val="false"/>
          <w:sz w:val="20"/>
        </w:rPr>
        <w:t xml:space="preserve">clause (c) </w:t>
      </w:r>
      <w:r>
        <w:rPr>
          <w:rFonts w:ascii="Times New Roman" w:hAnsi="Times New Roman"/>
          <w:caps w:val="false"/>
          <w:smallCaps w:val="false"/>
          <w:sz w:val="20"/>
        </w:rPr>
        <w:t>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(1) or more of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through </w:t>
      </w:r>
      <w:r>
        <w:rPr>
          <w:rFonts w:ascii="Times New Roman" w:hAnsi="Times New Roman"/>
          <w:b/>
          <w:i/>
          <w:caps w:val="false"/>
          <w:smallCaps w:val="false"/>
          <w:sz w:val="20"/>
        </w:rPr>
        <w:t xml:space="preserve">(d) </w:t>
      </w:r>
      <w:r>
        <w:rPr>
          <w:rFonts w:ascii="Times New Roman" w:hAnsi="Times New Roman"/>
          <w:caps w:val="false"/>
          <w:smallCaps w:val="false"/>
          <w:sz w:val="20"/>
        </w:rPr>
        <w:t xml:space="preserve">above, and the effective date of such status, shall be conclusive and binding absent manifest error, and such Lender shall be deemed to be a Defaulting Lender (subject to </w:t>
      </w:r>
      <w:r>
        <w:rPr>
          <w:rFonts w:ascii="Times New Roman" w:hAnsi="Times New Roman"/>
          <w:b/>
          <w:i/>
          <w:caps w:val="false"/>
          <w:smallCaps w:val="false"/>
          <w:sz w:val="20"/>
        </w:rPr>
        <w:t>Section 2.15(b)</w:t>
      </w:r>
      <w:r>
        <w:rPr>
          <w:rFonts w:ascii="Times New Roman" w:hAnsi="Times New Roman"/>
          <w:caps w:val="false"/>
          <w:smallCaps w:val="false"/>
          <w:sz w:val="20"/>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Delayed Draw Term Loan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2.01(b)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Delayed Draw Term Loan Availability Period</w:t>
      </w:r>
      <w:r>
        <w:rPr>
          <w:rFonts w:ascii="Times New Roman" w:hAnsi="Times New Roman"/>
          <w:caps w:val="false"/>
          <w:smallCaps w:val="false"/>
          <w:sz w:val="20"/>
        </w:rPr>
        <w:t xml:space="preserve">” means in respect of the Delayed Draw Term Loan Facility, the period from and including the Closing Date to the earliest of (i) December 31, 2024, (ii) the date of termination of the Delayed Draw Term Loan Commitments pursuant to </w:t>
      </w:r>
      <w:r>
        <w:rPr>
          <w:rFonts w:ascii="Times New Roman" w:hAnsi="Times New Roman"/>
          <w:b/>
          <w:i/>
          <w:caps w:val="false"/>
          <w:smallCaps w:val="false"/>
          <w:sz w:val="20"/>
        </w:rPr>
        <w:t>Section 2.06</w:t>
      </w:r>
      <w:r>
        <w:rPr>
          <w:rFonts w:ascii="Times New Roman" w:hAnsi="Times New Roman"/>
          <w:caps w:val="false"/>
          <w:smallCaps w:val="false"/>
          <w:sz w:val="20"/>
        </w:rPr>
        <w:t xml:space="preserve">, and (iii) the date of termination of the Commitment of each Delayed Draw Term Loan Lender to make Delayed Draw Term Loans pursuant to </w:t>
      </w:r>
      <w:r>
        <w:rPr>
          <w:rFonts w:ascii="Times New Roman" w:hAnsi="Times New Roman"/>
          <w:b/>
          <w:i/>
          <w:caps w:val="false"/>
          <w:smallCaps w:val="false"/>
          <w:sz w:val="20"/>
        </w:rPr>
        <w:t>Section 8.02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Delayed Draw Term Loan Commitment</w:t>
      </w:r>
      <w:r>
        <w:rPr>
          <w:rFonts w:ascii="Times New Roman" w:hAnsi="Times New Roman"/>
          <w:caps w:val="false"/>
          <w:smallCaps w:val="false"/>
          <w:sz w:val="20"/>
        </w:rPr>
        <w:t xml:space="preserve">” shall mean, with respect to each Lender, the obligation of such Lender to make a Delayed Draw Term Loan pursuant to </w:t>
      </w:r>
      <w:r>
        <w:rPr>
          <w:rFonts w:ascii="Times New Roman" w:hAnsi="Times New Roman"/>
          <w:b/>
          <w:i/>
          <w:caps w:val="false"/>
          <w:smallCaps w:val="false"/>
          <w:sz w:val="20"/>
        </w:rPr>
        <w:t xml:space="preserve">Section 2.01(b) </w:t>
      </w:r>
      <w:r>
        <w:rPr>
          <w:rFonts w:ascii="Times New Roman" w:hAnsi="Times New Roman"/>
          <w:caps w:val="false"/>
          <w:smallCaps w:val="false"/>
          <w:sz w:val="20"/>
        </w:rPr>
        <w:t xml:space="preserve">in a principal amount not exceeding the amount set forth with respect to such Lender on </w:t>
      </w:r>
      <w:r>
        <w:rPr>
          <w:rFonts w:ascii="Times New Roman" w:hAnsi="Times New Roman"/>
          <w:b/>
          <w:i/>
          <w:caps w:val="false"/>
          <w:smallCaps w:val="false"/>
          <w:sz w:val="20"/>
        </w:rPr>
        <w:t xml:space="preserve">Schedule 2.01 </w:t>
      </w:r>
      <w:r>
        <w:rPr>
          <w:rFonts w:ascii="Times New Roman" w:hAnsi="Times New Roman"/>
          <w:caps w:val="false"/>
          <w:smallCaps w:val="false"/>
          <w:sz w:val="20"/>
        </w:rPr>
        <w:t>under the column titled “</w:t>
      </w:r>
      <w:r>
        <w:rPr>
          <w:rFonts w:ascii="Times New Roman" w:hAnsi="Times New Roman"/>
          <w:i/>
          <w:caps w:val="false"/>
          <w:smallCaps w:val="false"/>
          <w:sz w:val="20"/>
        </w:rPr>
        <w:t>Delayed Draw Term Loan Commitment Amount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Delayed Draw Term Loan Facility</w:t>
      </w:r>
      <w:r>
        <w:rPr>
          <w:rFonts w:ascii="Times New Roman" w:hAnsi="Times New Roman"/>
          <w:caps w:val="false"/>
          <w:smallCaps w:val="false"/>
          <w:sz w:val="20"/>
        </w:rPr>
        <w:t xml:space="preserve">” means the delayed draw term loan credit facility described in </w:t>
      </w:r>
      <w:r>
        <w:rPr>
          <w:rFonts w:ascii="Times New Roman" w:hAnsi="Times New Roman"/>
          <w:b/>
          <w:i/>
          <w:caps w:val="false"/>
          <w:smallCaps w:val="false"/>
          <w:sz w:val="20"/>
        </w:rPr>
        <w:t>Section 2.01(b)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Delayed Draw Term Loan Lender</w:t>
      </w:r>
      <w:r>
        <w:rPr>
          <w:rFonts w:ascii="Times New Roman" w:hAnsi="Times New Roman"/>
          <w:caps w:val="false"/>
          <w:smallCaps w:val="false"/>
          <w:sz w:val="20"/>
        </w:rPr>
        <w:t>” means any Lender that has a Delayed Draw Term Loan Commitment and, after a Borrowing under the Delayed Draw Term Loan Commitment, any Lender that holds Delayed Draw Term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Designated Jurisdiction</w:t>
      </w:r>
      <w:r>
        <w:rPr>
          <w:rFonts w:ascii="Times New Roman" w:hAnsi="Times New Roman"/>
          <w:caps w:val="false"/>
          <w:smallCaps w:val="false"/>
          <w:sz w:val="20"/>
        </w:rPr>
        <w:t>” means any country or territory to the extent that such country or territory is the subject of any Sanction.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Disposition</w:t>
      </w:r>
      <w:r>
        <w:rPr>
          <w:rFonts w:ascii="Times New Roman" w:hAnsi="Times New Roman"/>
          <w:caps w:val="false"/>
          <w:smallCaps w:val="false"/>
          <w:sz w:val="20"/>
        </w:rPr>
        <w:t>” or “</w:t>
      </w:r>
      <w:r>
        <w:rPr>
          <w:rFonts w:ascii="Times New Roman" w:hAnsi="Times New Roman"/>
          <w:b/>
          <w:i/>
          <w:caps w:val="false"/>
          <w:smallCaps w:val="false"/>
          <w:sz w:val="20"/>
        </w:rPr>
        <w:t>Dispose</w:t>
      </w:r>
      <w:r>
        <w:rPr>
          <w:rFonts w:ascii="Times New Roman" w:hAnsi="Times New Roman"/>
          <w:caps w:val="false"/>
          <w:smallCaps w:val="false"/>
          <w:sz w:val="20"/>
        </w:rPr>
        <w:t>” means the sale, transfer, license, lease or other disposition (including any Sale and Leaseback Transaction) of any property by any Loan Party or Subsidiary, including any sale, assignment, transfer or other disposal, with or without recourse, of any notes or accounts receivable or any rights and claims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Disqualified Institution</w:t>
      </w:r>
      <w:r>
        <w:rPr>
          <w:rFonts w:ascii="Times New Roman" w:hAnsi="Times New Roman"/>
          <w:caps w:val="false"/>
          <w:smallCaps w:val="false"/>
          <w:sz w:val="20"/>
        </w:rPr>
        <w:t>” shall mean (a) competitors of any Loan Party Group Company that are in the same or a similar line of business and, in each case, identified in writing to the Administrative Agent from time to time, which identification shall not apply retroactively for any purpose, including to disqualify any Persons that have previously acquired an assignment or participation interest in any Loans and/or Commitments (each such entity, a “</w:t>
      </w:r>
      <w:r>
        <w:rPr>
          <w:rFonts w:ascii="Times New Roman" w:hAnsi="Times New Roman"/>
          <w:b/>
          <w:i/>
          <w:caps w:val="false"/>
          <w:smallCaps w:val="false"/>
          <w:sz w:val="20"/>
        </w:rPr>
        <w:t>Competitor</w:t>
      </w:r>
      <w:r>
        <w:rPr>
          <w:rFonts w:ascii="Times New Roman" w:hAnsi="Times New Roman"/>
          <w:caps w:val="false"/>
          <w:smallCaps w:val="false"/>
          <w:sz w:val="20"/>
        </w:rPr>
        <w:t>”), (b) each Person which was designated by the Borrower as a “</w:t>
      </w:r>
      <w:r>
        <w:rPr>
          <w:rFonts w:ascii="Times New Roman" w:hAnsi="Times New Roman"/>
          <w:i/>
          <w:caps w:val="false"/>
          <w:smallCaps w:val="false"/>
          <w:sz w:val="20"/>
        </w:rPr>
        <w:t>Disqualified Institution</w:t>
      </w:r>
      <w:r>
        <w:rPr>
          <w:rFonts w:ascii="Times New Roman" w:hAnsi="Times New Roman"/>
          <w:caps w:val="false"/>
          <w:smallCaps w:val="false"/>
          <w:sz w:val="20"/>
        </w:rPr>
        <w:t xml:space="preserve">” by written notice delivered to the Administrative Agent prior to the Closing Date and (c) Affiliates of any such Persons under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hereof to the extent such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are clearly identifiable on the basis of such Affiliates’ names or designated in writing by the Borrower from time to time and (ii) solely with respect to Affiliates of Competitors, are not </w:t>
      </w:r>
      <w:r>
        <w:rPr>
          <w:rFonts w:ascii="Times New Roman" w:hAnsi="Times New Roman"/>
          <w:i/>
          <w:caps w:val="false"/>
          <w:smallCaps w:val="false"/>
          <w:sz w:val="20"/>
        </w:rPr>
        <w:t xml:space="preserve">bona fide </w:t>
      </w:r>
      <w:r>
        <w:rPr>
          <w:rFonts w:ascii="Times New Roman" w:hAnsi="Times New Roman"/>
          <w:caps w:val="false"/>
          <w:smallCaps w:val="false"/>
          <w:sz w:val="20"/>
        </w:rPr>
        <w:t xml:space="preserve">debt funds or investment vehicles that are engaged in making, purchasing, holding or otherwise investing in commercial loans and similar extensions of credit in the ordinary course of business with appropriate information barriers in place;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 list of Disqualified Institutions identified above shall be made available to any Lender on a confidential basis upon request to the Administrative Agent;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w:t>
      </w:r>
      <w:r>
        <w:rPr>
          <w:rFonts w:ascii="Times New Roman" w:hAnsi="Times New Roman"/>
          <w:i/>
          <w:caps w:val="false"/>
          <w:smallCaps w:val="false"/>
          <w:sz w:val="20"/>
        </w:rPr>
        <w:t>Disqualified Institutions</w:t>
      </w:r>
      <w:r>
        <w:rPr>
          <w:rFonts w:ascii="Times New Roman" w:hAnsi="Times New Roman"/>
          <w:caps w:val="false"/>
          <w:smallCaps w:val="false"/>
          <w:sz w:val="20"/>
        </w:rPr>
        <w:t>” shall exclude any Person that the Borrower has designated as no longer being a “</w:t>
      </w:r>
      <w:r>
        <w:rPr>
          <w:rFonts w:ascii="Times New Roman" w:hAnsi="Times New Roman"/>
          <w:i/>
          <w:caps w:val="false"/>
          <w:smallCaps w:val="false"/>
          <w:sz w:val="20"/>
        </w:rPr>
        <w:t>Disqualified Institution</w:t>
      </w:r>
      <w:r>
        <w:rPr>
          <w:rFonts w:ascii="Times New Roman" w:hAnsi="Times New Roman"/>
          <w:caps w:val="false"/>
          <w:smallCaps w:val="false"/>
          <w:sz w:val="20"/>
        </w:rPr>
        <w:t>” by written notice delivered to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Documentation Agent</w:t>
      </w:r>
      <w:r>
        <w:rPr>
          <w:rFonts w:ascii="Times New Roman" w:hAnsi="Times New Roman"/>
          <w:caps w:val="false"/>
          <w:smallCaps w:val="false"/>
          <w:sz w:val="20"/>
        </w:rPr>
        <w:t>” means City National Bank and its successors (but not assigns). “</w:t>
      </w:r>
      <w:r>
        <w:rPr>
          <w:rFonts w:ascii="Times New Roman" w:hAnsi="Times New Roman"/>
          <w:b/>
          <w:i/>
          <w:caps w:val="false"/>
          <w:smallCaps w:val="false"/>
          <w:sz w:val="20"/>
        </w:rPr>
        <w:t>Dollar</w:t>
      </w:r>
      <w:r>
        <w:rPr>
          <w:rFonts w:ascii="Times New Roman" w:hAnsi="Times New Roman"/>
          <w:caps w:val="false"/>
          <w:smallCaps w:val="false"/>
          <w:sz w:val="20"/>
        </w:rPr>
        <w:t>” and “</w:t>
      </w:r>
      <w:r>
        <w:rPr>
          <w:rFonts w:ascii="Times New Roman" w:hAnsi="Times New Roman"/>
          <w:b/>
          <w:i/>
          <w:caps w:val="false"/>
          <w:smallCaps w:val="false"/>
          <w:sz w:val="20"/>
        </w:rPr>
        <w:t>$</w:t>
      </w:r>
      <w:r>
        <w:rPr>
          <w:rFonts w:ascii="Times New Roman" w:hAnsi="Times New Roman"/>
          <w:caps w:val="false"/>
          <w:smallCaps w:val="false"/>
          <w:sz w:val="20"/>
        </w:rPr>
        <w:t>” mean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Domestic Subsidiary</w:t>
      </w:r>
      <w:r>
        <w:rPr>
          <w:rFonts w:ascii="Times New Roman" w:hAnsi="Times New Roman"/>
          <w:caps w:val="false"/>
          <w:smallCaps w:val="false"/>
          <w:sz w:val="20"/>
        </w:rPr>
        <w:t>” means any Subsidiary that is organized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DQ List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11.06(g)(iv)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EEA Financial Institution</w:t>
      </w:r>
      <w:r>
        <w:rPr>
          <w:rFonts w:ascii="Times New Roman" w:hAnsi="Times New Roman"/>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b/>
          <w:i/>
          <w:caps w:val="false"/>
          <w:smallCaps w:val="false"/>
          <w:sz w:val="20"/>
        </w:rPr>
        <w:t xml:space="preserve">clause (a) </w:t>
      </w:r>
      <w:r>
        <w:rPr>
          <w:rFonts w:ascii="Times New Roman" w:hAnsi="Times New Roman"/>
          <w:caps w:val="false"/>
          <w:smallCaps w:val="false"/>
          <w:sz w:val="20"/>
        </w:rPr>
        <w:t xml:space="preserve">of this definition, or (c) any financial institution established in an EEA Member Country which is a Subsidiary of an institution described in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EEA Member Country</w:t>
      </w:r>
      <w:r>
        <w:rPr>
          <w:rFonts w:ascii="Times New Roman" w:hAnsi="Times New Roman"/>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Electronic Record</w:t>
      </w:r>
      <w:r>
        <w:rPr>
          <w:rFonts w:ascii="Times New Roman" w:hAnsi="Times New Roman"/>
          <w:caps w:val="false"/>
          <w:smallCaps w:val="false"/>
          <w:sz w:val="20"/>
        </w:rPr>
        <w:t>” and “</w:t>
      </w:r>
      <w:r>
        <w:rPr>
          <w:rFonts w:ascii="Times New Roman" w:hAnsi="Times New Roman"/>
          <w:b/>
          <w:i/>
          <w:caps w:val="false"/>
          <w:smallCaps w:val="false"/>
          <w:sz w:val="20"/>
        </w:rPr>
        <w:t>Electronic Signature</w:t>
      </w:r>
      <w:r>
        <w:rPr>
          <w:rFonts w:ascii="Times New Roman" w:hAnsi="Times New Roman"/>
          <w:caps w:val="false"/>
          <w:smallCaps w:val="false"/>
          <w:sz w:val="20"/>
        </w:rPr>
        <w:t>”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Eligible Assignee</w:t>
      </w:r>
      <w:r>
        <w:rPr>
          <w:rFonts w:ascii="Times New Roman" w:hAnsi="Times New Roman"/>
          <w:caps w:val="false"/>
          <w:smallCaps w:val="false"/>
          <w:sz w:val="20"/>
        </w:rPr>
        <w:t xml:space="preserve">” means any Person that meets the requirements to be an assignee under </w:t>
      </w:r>
      <w:r>
        <w:rPr>
          <w:rFonts w:ascii="Times New Roman" w:hAnsi="Times New Roman"/>
          <w:b/>
          <w:i/>
          <w:caps w:val="false"/>
          <w:smallCaps w:val="false"/>
          <w:sz w:val="20"/>
        </w:rPr>
        <w:t xml:space="preserve">Section 11.06 </w:t>
      </w:r>
      <w:r>
        <w:rPr>
          <w:rFonts w:ascii="Times New Roman" w:hAnsi="Times New Roman"/>
          <w:caps w:val="false"/>
          <w:smallCaps w:val="false"/>
          <w:sz w:val="20"/>
        </w:rPr>
        <w:t xml:space="preserve">(subject to such consents, if any, as may be required under </w:t>
      </w:r>
      <w:r>
        <w:rPr>
          <w:rFonts w:ascii="Times New Roman" w:hAnsi="Times New Roman"/>
          <w:b/>
          <w:i/>
          <w:caps w:val="false"/>
          <w:smallCaps w:val="false"/>
          <w:sz w:val="20"/>
        </w:rPr>
        <w:t>Section 11.06(b)(iii)</w:t>
      </w:r>
      <w:r>
        <w:rPr>
          <w:rFonts w:ascii="Times New Roman" w:hAnsi="Times New Roman"/>
          <w:caps w:val="false"/>
          <w:smallCaps w:val="false"/>
          <w:sz w:val="20"/>
        </w:rPr>
        <w:t xml:space="preserve">). For the avoidance of doubt, any Disqualified Institution is subject to </w:t>
      </w:r>
      <w:r>
        <w:rPr>
          <w:rFonts w:ascii="Times New Roman" w:hAnsi="Times New Roman"/>
          <w:b/>
          <w:i/>
          <w:caps w:val="false"/>
          <w:smallCaps w:val="false"/>
          <w:sz w:val="20"/>
        </w:rPr>
        <w:t>Section 11.06(g)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Environment</w:t>
      </w:r>
      <w:r>
        <w:rPr>
          <w:rFonts w:ascii="Times New Roman" w:hAnsi="Times New Roman"/>
          <w:caps w:val="false"/>
          <w:smallCaps w:val="false"/>
          <w:sz w:val="20"/>
        </w:rPr>
        <w:t>” means ambient air, indoor air, surface water, groundwater, drinking water, soil, surface and subsurface strata, and natural resources such as wetland, flora and fauna.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Laws</w:t>
      </w:r>
      <w:r>
        <w:rPr>
          <w:rFonts w:ascii="Times New Roman" w:hAnsi="Times New Roman"/>
          <w:caps w:val="false"/>
          <w:smallCaps w:val="false"/>
          <w:sz w:val="20"/>
        </w:rPr>
        <w:t>” means any and all federal, state,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Liability</w:t>
      </w:r>
      <w:r>
        <w:rPr>
          <w:rFonts w:ascii="Times New Roman" w:hAnsi="Times New Roman"/>
          <w:caps w:val="false"/>
          <w:smallCaps w:val="false"/>
          <w:sz w:val="20"/>
        </w:rPr>
        <w:t>” means any liability, contingent or otherwise (including any liability for damages, costs of environmental remediation, fines, penalties or indemnities) whether based in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Permit</w:t>
      </w:r>
      <w:r>
        <w:rPr>
          <w:rFonts w:ascii="Times New Roman" w:hAnsi="Times New Roman"/>
          <w:caps w:val="false"/>
          <w:smallCaps w:val="false"/>
          <w:sz w:val="20"/>
        </w:rPr>
        <w:t>” means any permit, certification, registration, approval, identification number, license or other authorization required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Equity Interests</w:t>
      </w:r>
      <w:r>
        <w:rPr>
          <w:rFonts w:ascii="Times New Roman" w:hAnsi="Times New Roman"/>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ERISA</w:t>
      </w:r>
      <w:r>
        <w:rPr>
          <w:rFonts w:ascii="Times New Roman" w:hAnsi="Times New Roman"/>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ERISA Affiliate</w:t>
      </w:r>
      <w:r>
        <w:rPr>
          <w:rFonts w:ascii="Times New Roman" w:hAnsi="Times New Roman"/>
          <w:caps w:val="false"/>
          <w:smallCaps w:val="false"/>
          <w:sz w:val="20"/>
        </w:rPr>
        <w:t xml:space="preserve">” means any trade or business (whether or not incorporated) under common control with the Borrower within the meaning of </w:t>
      </w:r>
      <w:r>
        <w:rPr>
          <w:rFonts w:ascii="Times New Roman" w:hAnsi="Times New Roman"/>
          <w:i/>
          <w:caps w:val="false"/>
          <w:smallCaps w:val="false"/>
          <w:sz w:val="20"/>
        </w:rPr>
        <w:t xml:space="preserve">Section 414(b)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(c) </w:t>
      </w:r>
      <w:r>
        <w:rPr>
          <w:rFonts w:ascii="Times New Roman" w:hAnsi="Times New Roman"/>
          <w:caps w:val="false"/>
          <w:smallCaps w:val="false"/>
          <w:sz w:val="20"/>
        </w:rPr>
        <w:t xml:space="preserve">of the Code (and </w:t>
      </w:r>
      <w:r>
        <w:rPr>
          <w:rFonts w:ascii="Times New Roman" w:hAnsi="Times New Roman"/>
          <w:i/>
          <w:caps w:val="false"/>
          <w:smallCaps w:val="false"/>
          <w:sz w:val="20"/>
        </w:rPr>
        <w:t xml:space="preserve">Sections 414(m)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(o) </w:t>
      </w:r>
      <w:r>
        <w:rPr>
          <w:rFonts w:ascii="Times New Roman" w:hAnsi="Times New Roman"/>
          <w:caps w:val="false"/>
          <w:smallCaps w:val="false"/>
          <w:sz w:val="20"/>
        </w:rPr>
        <w:t xml:space="preserve">of the Code for purposes of provisions relating to </w:t>
      </w:r>
      <w:r>
        <w:rPr>
          <w:rFonts w:ascii="Times New Roman" w:hAnsi="Times New Roman"/>
          <w:i/>
          <w:caps w:val="false"/>
          <w:smallCaps w:val="false"/>
          <w:sz w:val="20"/>
        </w:rPr>
        <w:t xml:space="preserve">Section 412 </w:t>
      </w:r>
      <w:r>
        <w:rPr>
          <w:rFonts w:ascii="Times New Roman" w:hAnsi="Times New Roman"/>
          <w:caps w:val="false"/>
          <w:smallCaps w:val="false"/>
          <w:sz w:val="20"/>
        </w:rPr>
        <w:t>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ERISA Event</w:t>
      </w:r>
      <w:r>
        <w:rPr>
          <w:rFonts w:ascii="Times New Roman" w:hAnsi="Times New Roman"/>
          <w:caps w:val="false"/>
          <w:smallCaps w:val="false"/>
          <w:sz w:val="20"/>
        </w:rPr>
        <w:t xml:space="preserve">” means (a) a Reportable Event with respect to a Pension Plan; (b) the withdrawal of the Borrower or any ERISA Affiliate from a Pension Plan subject to </w:t>
      </w:r>
      <w:r>
        <w:rPr>
          <w:rFonts w:ascii="Times New Roman" w:hAnsi="Times New Roman"/>
          <w:i/>
          <w:caps w:val="false"/>
          <w:smallCaps w:val="false"/>
          <w:sz w:val="20"/>
        </w:rPr>
        <w:t xml:space="preserve">Section 4063 </w:t>
      </w:r>
      <w:r>
        <w:rPr>
          <w:rFonts w:ascii="Times New Roman" w:hAnsi="Times New Roman"/>
          <w:caps w:val="false"/>
          <w:smallCaps w:val="false"/>
          <w:sz w:val="20"/>
        </w:rPr>
        <w:t>of ERISA during a plan year in which such entity was a “</w:t>
      </w:r>
      <w:r>
        <w:rPr>
          <w:rFonts w:ascii="Times New Roman" w:hAnsi="Times New Roman"/>
          <w:i/>
          <w:caps w:val="false"/>
          <w:smallCaps w:val="false"/>
          <w:sz w:val="20"/>
        </w:rPr>
        <w:t>substantial employer</w:t>
      </w:r>
      <w:r>
        <w:rPr>
          <w:rFonts w:ascii="Times New Roman" w:hAnsi="Times New Roman"/>
          <w:caps w:val="false"/>
          <w:smallCaps w:val="false"/>
          <w:sz w:val="20"/>
        </w:rPr>
        <w:t xml:space="preserve">” as defined in </w:t>
      </w:r>
      <w:r>
        <w:rPr>
          <w:rFonts w:ascii="Times New Roman" w:hAnsi="Times New Roman"/>
          <w:i/>
          <w:caps w:val="false"/>
          <w:smallCaps w:val="false"/>
          <w:sz w:val="20"/>
        </w:rPr>
        <w:t xml:space="preserve">Section 4001(a)(2) </w:t>
      </w:r>
      <w:r>
        <w:rPr>
          <w:rFonts w:ascii="Times New Roman" w:hAnsi="Times New Roman"/>
          <w:caps w:val="false"/>
          <w:smallCaps w:val="false"/>
          <w:sz w:val="20"/>
        </w:rPr>
        <w:t xml:space="preserve">of ERISA or a cessation of operations that is treated as such a withdrawal under </w:t>
      </w:r>
      <w:r>
        <w:rPr>
          <w:rFonts w:ascii="Times New Roman" w:hAnsi="Times New Roman"/>
          <w:i/>
          <w:caps w:val="false"/>
          <w:smallCaps w:val="false"/>
          <w:sz w:val="20"/>
        </w:rPr>
        <w:t xml:space="preserve">Section 4062(e) </w:t>
      </w:r>
      <w:r>
        <w:rPr>
          <w:rFonts w:ascii="Times New Roman" w:hAnsi="Times New Roman"/>
          <w:caps w:val="false"/>
          <w:smallCaps w:val="false"/>
          <w:sz w:val="20"/>
        </w:rPr>
        <w:t xml:space="preserve">of ERISA; (c) a complete or partial withdrawal by the Borrower or any ERISA Affiliate from a Multiemployer Plan or notification that a Multiemployer Plan is insolvent; (d) the filing of a notice of intent to terminate, the treatment of a Pension Plan amendment as a termination under </w:t>
      </w:r>
      <w:r>
        <w:rPr>
          <w:rFonts w:ascii="Times New Roman" w:hAnsi="Times New Roman"/>
          <w:i/>
          <w:caps w:val="false"/>
          <w:smallCaps w:val="false"/>
          <w:sz w:val="20"/>
        </w:rPr>
        <w:t xml:space="preserve">Section 4041 </w:t>
      </w:r>
      <w:r>
        <w:rPr>
          <w:rFonts w:ascii="Times New Roman" w:hAnsi="Times New Roman"/>
          <w:caps w:val="false"/>
          <w:smallCaps w:val="false"/>
          <w:sz w:val="20"/>
        </w:rPr>
        <w:t xml:space="preserve">or </w:t>
      </w:r>
      <w:r>
        <w:rPr>
          <w:rFonts w:ascii="Times New Roman" w:hAnsi="Times New Roman"/>
          <w:i/>
          <w:caps w:val="false"/>
          <w:smallCaps w:val="false"/>
          <w:sz w:val="20"/>
        </w:rPr>
        <w:t xml:space="preserve">4041A </w:t>
      </w:r>
      <w:r>
        <w:rPr>
          <w:rFonts w:ascii="Times New Roman" w:hAnsi="Times New Roman"/>
          <w:caps w:val="false"/>
          <w:smallCaps w:val="false"/>
          <w:sz w:val="20"/>
        </w:rPr>
        <w:t xml:space="preserve">of ERISA; (e) the institution by the PBGC of proceedings to terminate a Pension Plan; (f) any event or condition which constitutes grounds under </w:t>
      </w:r>
      <w:r>
        <w:rPr>
          <w:rFonts w:ascii="Times New Roman" w:hAnsi="Times New Roman"/>
          <w:i/>
          <w:caps w:val="false"/>
          <w:smallCaps w:val="false"/>
          <w:sz w:val="20"/>
        </w:rPr>
        <w:t xml:space="preserve">Section 4042 </w:t>
      </w:r>
      <w:r>
        <w:rPr>
          <w:rFonts w:ascii="Times New Roman" w:hAnsi="Times New Roman"/>
          <w:caps w:val="false"/>
          <w:smallCaps w:val="false"/>
          <w:sz w:val="20"/>
        </w:rPr>
        <w:t xml:space="preserve">of ERISA for the termination of, or the appointment of a trustee to administer, any Pension Plan; (g) the determination that any Pension Plan is considered an at-risk plan or a plan in endangered or critical status within the meaning of </w:t>
      </w:r>
      <w:r>
        <w:rPr>
          <w:rFonts w:ascii="Times New Roman" w:hAnsi="Times New Roman"/>
          <w:i/>
          <w:caps w:val="false"/>
          <w:smallCaps w:val="false"/>
          <w:sz w:val="20"/>
        </w:rPr>
        <w:t>Sections 430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431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432 </w:t>
      </w:r>
      <w:r>
        <w:rPr>
          <w:rFonts w:ascii="Times New Roman" w:hAnsi="Times New Roman"/>
          <w:caps w:val="false"/>
          <w:smallCaps w:val="false"/>
          <w:sz w:val="20"/>
        </w:rPr>
        <w:t xml:space="preserve">of the Code or </w:t>
      </w:r>
      <w:r>
        <w:rPr>
          <w:rFonts w:ascii="Times New Roman" w:hAnsi="Times New Roman"/>
          <w:i/>
          <w:caps w:val="false"/>
          <w:smallCaps w:val="false"/>
          <w:sz w:val="20"/>
        </w:rPr>
        <w:t>Sections 303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304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305 </w:t>
      </w:r>
      <w:r>
        <w:rPr>
          <w:rFonts w:ascii="Times New Roman" w:hAnsi="Times New Roman"/>
          <w:caps w:val="false"/>
          <w:smallCaps w:val="false"/>
          <w:sz w:val="20"/>
        </w:rPr>
        <w:t xml:space="preserve">of ERISA; (h) the imposition of any liability under </w:t>
      </w:r>
      <w:r>
        <w:rPr>
          <w:rFonts w:ascii="Times New Roman" w:hAnsi="Times New Roman"/>
          <w:i/>
          <w:caps w:val="false"/>
          <w:smallCaps w:val="false"/>
          <w:sz w:val="20"/>
        </w:rPr>
        <w:t xml:space="preserve">Title IV </w:t>
      </w:r>
      <w:r>
        <w:rPr>
          <w:rFonts w:ascii="Times New Roman" w:hAnsi="Times New Roman"/>
          <w:caps w:val="false"/>
          <w:smallCaps w:val="false"/>
          <w:sz w:val="20"/>
        </w:rPr>
        <w:t xml:space="preserve">of ERISA, other than for PBGC premiums due but not delinquent under </w:t>
      </w:r>
      <w:r>
        <w:rPr>
          <w:rFonts w:ascii="Times New Roman" w:hAnsi="Times New Roman"/>
          <w:i/>
          <w:caps w:val="false"/>
          <w:smallCaps w:val="false"/>
          <w:sz w:val="20"/>
        </w:rPr>
        <w:t xml:space="preserve">Section 4007 </w:t>
      </w:r>
      <w:r>
        <w:rPr>
          <w:rFonts w:ascii="Times New Roman" w:hAnsi="Times New Roman"/>
          <w:caps w:val="false"/>
          <w:smallCaps w:val="false"/>
          <w:sz w:val="20"/>
        </w:rPr>
        <w:t>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Event of Default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8.01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Excluded Property</w:t>
      </w:r>
      <w:r>
        <w:rPr>
          <w:rFonts w:ascii="Times New Roman" w:hAnsi="Times New Roman"/>
          <w:caps w:val="false"/>
          <w:smallCaps w:val="false"/>
          <w:sz w:val="20"/>
        </w:rPr>
        <w:t>” means, with respect to any Loan Party, (a) any Intellectual Property for which a perfected Lien thereon is not effected either by filing of a UCC financing statement or by appropriate evidence of such Lien being filed in either the United States Copyright Office or the United States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Trademark Office, (b) any personal property (other than personal property described in </w:t>
      </w:r>
      <w:r>
        <w:rPr>
          <w:rFonts w:ascii="Times New Roman" w:hAnsi="Times New Roman"/>
          <w:b/>
          <w:i/>
          <w:caps w:val="false"/>
          <w:smallCaps w:val="false"/>
          <w:sz w:val="20"/>
        </w:rPr>
        <w:t xml:space="preserve">clause (a) </w:t>
      </w:r>
      <w:r>
        <w:rPr>
          <w:rFonts w:ascii="Times New Roman" w:hAnsi="Times New Roman"/>
          <w:caps w:val="false"/>
          <w:smallCaps w:val="false"/>
          <w:sz w:val="20"/>
        </w:rPr>
        <w:t xml:space="preserve">above or </w:t>
      </w:r>
      <w:r>
        <w:rPr>
          <w:rFonts w:ascii="Times New Roman" w:hAnsi="Times New Roman"/>
          <w:b/>
          <w:i/>
          <w:caps w:val="false"/>
          <w:smallCaps w:val="false"/>
          <w:sz w:val="20"/>
        </w:rPr>
        <w:t xml:space="preserve">clause (c) </w:t>
      </w:r>
      <w:r>
        <w:rPr>
          <w:rFonts w:ascii="Times New Roman" w:hAnsi="Times New Roman"/>
          <w:caps w:val="false"/>
          <w:smallCaps w:val="false"/>
          <w:sz w:val="20"/>
        </w:rPr>
        <w:t xml:space="preserve">below) for which the attachment or perfection of a Lien thereon is not governed by the UCC, (c) the Equity Interests of any Foreign Subsidiary of any Loan Party to the extent not required to be pledged to secure the Secured Obligations pursuant to the Collateral Documents, (d) any property which, subject to the terms of </w:t>
      </w:r>
      <w:r>
        <w:rPr>
          <w:rFonts w:ascii="Times New Roman" w:hAnsi="Times New Roman"/>
          <w:b/>
          <w:i/>
          <w:caps w:val="false"/>
          <w:smallCaps w:val="false"/>
          <w:sz w:val="20"/>
        </w:rPr>
        <w:t>Section 7.02(c)</w:t>
      </w:r>
      <w:r>
        <w:rPr>
          <w:rFonts w:ascii="Times New Roman" w:hAnsi="Times New Roman"/>
          <w:caps w:val="false"/>
          <w:smallCaps w:val="false"/>
          <w:sz w:val="20"/>
        </w:rPr>
        <w:t xml:space="preserve">, is subject to a Lien of the type described in </w:t>
      </w:r>
      <w:r>
        <w:rPr>
          <w:rFonts w:ascii="Times New Roman" w:hAnsi="Times New Roman"/>
          <w:b/>
          <w:i/>
          <w:caps w:val="false"/>
          <w:smallCaps w:val="false"/>
          <w:sz w:val="20"/>
        </w:rPr>
        <w:t xml:space="preserve">Section 7.01(d) </w:t>
      </w:r>
      <w:r>
        <w:rPr>
          <w:rFonts w:ascii="Times New Roman" w:hAnsi="Times New Roman"/>
          <w:caps w:val="false"/>
          <w:smallCaps w:val="false"/>
          <w:sz w:val="20"/>
        </w:rPr>
        <w:t>pursuant to documents that prohibit such Loan Party from granting any other Liens in such property and (e) any “</w:t>
      </w:r>
      <w:r>
        <w:rPr>
          <w:rFonts w:ascii="Times New Roman" w:hAnsi="Times New Roman"/>
          <w:i/>
          <w:caps w:val="false"/>
          <w:smallCaps w:val="false"/>
          <w:sz w:val="20"/>
        </w:rPr>
        <w:t>margin stock</w:t>
      </w:r>
      <w:r>
        <w:rPr>
          <w:rFonts w:ascii="Times New Roman" w:hAnsi="Times New Roman"/>
          <w:caps w:val="false"/>
          <w:smallCaps w:val="false"/>
          <w:sz w:val="20"/>
        </w:rPr>
        <w:t>” as such term is defined under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Excluded Swap Obligation</w:t>
      </w:r>
      <w:r>
        <w:rPr>
          <w:rFonts w:ascii="Times New Roman" w:hAnsi="Times New Roman"/>
          <w:caps w:val="false"/>
          <w:smallCaps w:val="false"/>
          <w:sz w:val="20"/>
        </w:rPr>
        <w:t>”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w:t>
      </w:r>
      <w:r>
        <w:rPr>
          <w:rFonts w:ascii="Times New Roman" w:hAnsi="Times New Roman"/>
          <w:i/>
          <w:caps w:val="false"/>
          <w:smallCaps w:val="false"/>
          <w:sz w:val="20"/>
        </w:rPr>
        <w:t>eligible contract participant</w:t>
      </w:r>
      <w:r>
        <w:rPr>
          <w:rFonts w:ascii="Times New Roman" w:hAnsi="Times New Roman"/>
          <w:caps w:val="false"/>
          <w:smallCaps w:val="false"/>
          <w:sz w:val="20"/>
        </w:rPr>
        <w:t xml:space="preserve">” as defined in the Commodity Exchange Act (determined after giving effect to </w:t>
      </w:r>
      <w:r>
        <w:rPr>
          <w:rFonts w:ascii="Times New Roman" w:hAnsi="Times New Roman"/>
          <w:b/>
          <w:i/>
          <w:caps w:val="false"/>
          <w:smallCaps w:val="false"/>
          <w:sz w:val="20"/>
        </w:rPr>
        <w:t xml:space="preserve">Section 10.11 </w:t>
      </w:r>
      <w:r>
        <w:rPr>
          <w:rFonts w:ascii="Times New Roman" w:hAnsi="Times New Roman"/>
          <w:caps w:val="false"/>
          <w:smallCaps w:val="false"/>
          <w:sz w:val="20"/>
        </w:rPr>
        <w:t>and any other “</w:t>
      </w:r>
      <w:r>
        <w:rPr>
          <w:rFonts w:ascii="Times New Roman" w:hAnsi="Times New Roman"/>
          <w:i/>
          <w:caps w:val="false"/>
          <w:smallCaps w:val="false"/>
          <w:sz w:val="20"/>
        </w:rPr>
        <w:t>keepwell</w:t>
      </w:r>
      <w:r>
        <w:rPr>
          <w:rFonts w:ascii="Times New Roman" w:hAnsi="Times New Roman"/>
          <w:caps w:val="false"/>
          <w:smallCaps w:val="false"/>
          <w:sz w:val="20"/>
        </w:rPr>
        <w:t>”,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(1)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Excluded Taxes</w:t>
      </w:r>
      <w:r>
        <w:rPr>
          <w:rFonts w:ascii="Times New Roman" w:hAnsi="Times New Roman"/>
          <w:caps w:val="false"/>
          <w:smallCaps w:val="false"/>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b/>
          <w:i/>
          <w:caps w:val="false"/>
          <w:smallCaps w:val="false"/>
          <w:sz w:val="20"/>
        </w:rPr>
        <w:t>Section 11.13</w:t>
      </w:r>
      <w:r>
        <w:rPr>
          <w:rFonts w:ascii="Times New Roman" w:hAnsi="Times New Roman"/>
          <w:caps w:val="false"/>
          <w:smallCaps w:val="false"/>
          <w:sz w:val="20"/>
        </w:rPr>
        <w:t xml:space="preserve">) or (ii) such Lender changes its Lending Office, except in each case to the extent that, pursuant to </w:t>
      </w:r>
      <w:r>
        <w:rPr>
          <w:rFonts w:ascii="Times New Roman" w:hAnsi="Times New Roman"/>
          <w:b/>
          <w:i/>
          <w:caps w:val="false"/>
          <w:smallCaps w:val="false"/>
          <w:sz w:val="20"/>
        </w:rPr>
        <w:t xml:space="preserve">Sections 3.01(b) </w:t>
      </w:r>
      <w:r>
        <w:rPr>
          <w:rFonts w:ascii="Times New Roman" w:hAnsi="Times New Roman"/>
          <w:caps w:val="false"/>
          <w:smallCaps w:val="false"/>
          <w:sz w:val="20"/>
        </w:rPr>
        <w:t xml:space="preserve">or </w:t>
      </w:r>
      <w:r>
        <w:rPr>
          <w:rFonts w:ascii="Times New Roman" w:hAnsi="Times New Roman"/>
          <w:b/>
          <w:i/>
          <w:caps w:val="false"/>
          <w:smallCaps w:val="false"/>
          <w:sz w:val="20"/>
        </w:rPr>
        <w:t>(d)</w:t>
      </w:r>
      <w:r>
        <w:rPr>
          <w:rFonts w:ascii="Times New Roman" w:hAnsi="Times New Roman"/>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b/>
          <w:i/>
          <w:caps w:val="false"/>
          <w:smallCaps w:val="false"/>
          <w:sz w:val="20"/>
        </w:rPr>
        <w:t xml:space="preserve">Section 3.01(f) </w:t>
      </w:r>
      <w:r>
        <w:rPr>
          <w:rFonts w:ascii="Times New Roman" w:hAnsi="Times New Roman"/>
          <w:caps w:val="false"/>
          <w:smallCaps w:val="false"/>
          <w:sz w:val="20"/>
        </w:rPr>
        <w:t>and (d) any U.S. federal withholding Taxes imposed pursuant to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Existing Credit Agreement</w:t>
      </w:r>
      <w:r>
        <w:rPr>
          <w:rFonts w:ascii="Times New Roman" w:hAnsi="Times New Roman"/>
          <w:caps w:val="false"/>
          <w:smallCaps w:val="false"/>
          <w:sz w:val="20"/>
        </w:rPr>
        <w:t>” means that certain Credit Agreement dated as of December 8, 2020 among the Borrower, the guarantors named therein, Bank of Montreal, as agent, and a syndicate of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Expansion Costs</w:t>
      </w:r>
      <w:r>
        <w:rPr>
          <w:rFonts w:ascii="Times New Roman" w:hAnsi="Times New Roman"/>
          <w:caps w:val="false"/>
          <w:smallCaps w:val="false"/>
          <w:sz w:val="20"/>
        </w:rPr>
        <w:t>” shall mean any non-recurring operating expenses (i.e., consulting, marketing, promotional) incurred by any Loan Party Group Company to expand business activities from geographical areas of the United States of America where such Person carried on business at the Closing Date to geographical areas of the United States of America where it did not carry on material business at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Extraordinary Receipt</w:t>
      </w:r>
      <w:r>
        <w:rPr>
          <w:rFonts w:ascii="Times New Roman" w:hAnsi="Times New Roman"/>
          <w:caps w:val="false"/>
          <w:smallCaps w:val="false"/>
          <w:sz w:val="20"/>
        </w:rPr>
        <w:t xml:space="preserve">” means any proceeds of insurance (other than proceeds of business interruption insurance to the extent such proceeds constitute compensation for lost earnings and proceeds of Recovery Events) and any purchase price adjustments;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an Extraordinary Receipt shall not include cash receipts from proceeds of insurance or indemnity payments to the extent that such proceeds, awards or payments are received by any Person in respect of any third party claim against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Person and applied to pay (or to reimburse such Person for its prior payment of) such claim and the costs and expenses of such Person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Facility</w:t>
      </w:r>
      <w:r>
        <w:rPr>
          <w:rFonts w:ascii="Times New Roman" w:hAnsi="Times New Roman"/>
          <w:caps w:val="false"/>
          <w:smallCaps w:val="false"/>
          <w:sz w:val="20"/>
        </w:rPr>
        <w:t>” means the Term Facility, the Delayed Draw Term Loan Facility or the Revolving Facility,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Facility Termination Date</w:t>
      </w:r>
      <w:r>
        <w:rPr>
          <w:rFonts w:ascii="Times New Roman" w:hAnsi="Times New Roman"/>
          <w:caps w:val="false"/>
          <w:smallCaps w:val="false"/>
          <w:sz w:val="20"/>
        </w:rPr>
        <w:t>” means the date as of which all of the following shall have occurred: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all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FASB ASC</w:t>
      </w:r>
      <w:r>
        <w:rPr>
          <w:rFonts w:ascii="Times New Roman" w:hAnsi="Times New Roman"/>
          <w:caps w:val="false"/>
          <w:smallCaps w:val="false"/>
          <w:sz w:val="20"/>
        </w:rPr>
        <w:t>” means the Accounting Standards Codification of the Financial Accounting Standards</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FATCA</w:t>
      </w:r>
      <w:r>
        <w:rPr>
          <w:rFonts w:ascii="Times New Roman" w:hAnsi="Times New Roman"/>
          <w:caps w:val="false"/>
          <w:smallCaps w:val="false"/>
          <w:sz w:val="20"/>
        </w:rPr>
        <w:t xml:space="preserve">” means </w:t>
      </w:r>
      <w:r>
        <w:rPr>
          <w:rFonts w:ascii="Times New Roman" w:hAnsi="Times New Roman"/>
          <w:i/>
          <w:caps w:val="false"/>
          <w:smallCaps w:val="false"/>
          <w:sz w:val="20"/>
        </w:rPr>
        <w:t xml:space="preserve">Sections 1471 </w:t>
      </w:r>
      <w:r>
        <w:rPr>
          <w:rFonts w:ascii="Times New Roman" w:hAnsi="Times New Roman"/>
          <w:caps w:val="false"/>
          <w:smallCaps w:val="false"/>
          <w:sz w:val="20"/>
        </w:rPr>
        <w:t xml:space="preserve">through </w:t>
      </w:r>
      <w:r>
        <w:rPr>
          <w:rFonts w:ascii="Times New Roman" w:hAnsi="Times New Roman"/>
          <w:i/>
          <w:caps w:val="false"/>
          <w:smallCaps w:val="false"/>
          <w:sz w:val="20"/>
        </w:rPr>
        <w:t xml:space="preserve">1474 </w:t>
      </w:r>
      <w:r>
        <w:rPr>
          <w:rFonts w:ascii="Times New Roman" w:hAnsi="Times New Roman"/>
          <w:caps w:val="false"/>
          <w:smallCaps w:val="false"/>
          <w:sz w:val="20"/>
        </w:rPr>
        <w:t xml:space="preserve">of the Code, as of the date of this Agreement (or any amended or successor version that is substantively comparable and not materially more onerous to comply with), any current or future regulations or official interpretations thereof and any agreements entered into pursuant to </w:t>
      </w:r>
      <w:r>
        <w:rPr>
          <w:rFonts w:ascii="Times New Roman" w:hAnsi="Times New Roman"/>
          <w:i/>
          <w:caps w:val="false"/>
          <w:smallCaps w:val="false"/>
          <w:sz w:val="20"/>
        </w:rPr>
        <w:t xml:space="preserve">Section 1471(b)(1) </w:t>
      </w:r>
      <w:r>
        <w:rPr>
          <w:rFonts w:ascii="Times New Roman" w:hAnsi="Times New Roman"/>
          <w:caps w:val="false"/>
          <w:smallCaps w:val="false"/>
          <w:sz w:val="20"/>
        </w:rPr>
        <w:t>of the Code, as of the date of this Agreement (or any amended or successor version described above) and any intergovernmental agreement (and related fiscal or regulatory legislation, or related official rules or practices) implementing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FDA</w:t>
      </w:r>
      <w:r>
        <w:rPr>
          <w:rFonts w:ascii="Times New Roman" w:hAnsi="Times New Roman"/>
          <w:caps w:val="false"/>
          <w:smallCaps w:val="false"/>
          <w:sz w:val="20"/>
        </w:rPr>
        <w:t>” shall mean the United States Food and Drug Administration or its successor agency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Federal Funds Rate</w:t>
      </w:r>
      <w:r>
        <w:rPr>
          <w:rFonts w:ascii="Times New Roman" w:hAnsi="Times New Roman"/>
          <w:caps w:val="false"/>
          <w:smallCaps w:val="false"/>
          <w:sz w:val="20"/>
        </w:rPr>
        <w:t xml:space="preserve">” means, for any day,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the Federal Funds Rate as so determined would be less than zero (0), such rate shall be deemed to be zero (0)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Fee Letter</w:t>
      </w:r>
      <w:r>
        <w:rPr>
          <w:rFonts w:ascii="Times New Roman" w:hAnsi="Times New Roman"/>
          <w:caps w:val="false"/>
          <w:smallCaps w:val="false"/>
          <w:sz w:val="20"/>
        </w:rPr>
        <w:t>” means the letter agreement, dated April 20, 2023, between the Borrower, the Administrative Agent and the Arranger (as the same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Fifth Amendment Effective Date</w:t>
      </w:r>
      <w:r>
        <w:rPr>
          <w:rFonts w:ascii="Times New Roman" w:hAnsi="Times New Roman"/>
          <w:caps w:val="false"/>
          <w:smallCaps w:val="false"/>
          <w:sz w:val="20"/>
        </w:rPr>
        <w:t>” means July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Fiscal Quarter</w:t>
      </w:r>
      <w:r>
        <w:rPr>
          <w:rFonts w:ascii="Times New Roman" w:hAnsi="Times New Roman"/>
          <w:caps w:val="false"/>
          <w:smallCaps w:val="false"/>
          <w:sz w:val="20"/>
        </w:rPr>
        <w:t>” shall, unless the context shall otherwise require, mean any Fiscal Quarter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Fiscal Year</w:t>
      </w:r>
      <w:r>
        <w:rPr>
          <w:rFonts w:ascii="Times New Roman" w:hAnsi="Times New Roman"/>
          <w:caps w:val="false"/>
          <w:smallCaps w:val="false"/>
          <w:sz w:val="20"/>
        </w:rPr>
        <w:t>” shall, unless the context shall otherwise require, mean any Fiscal Year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Flood Insurance Laws</w:t>
      </w:r>
      <w:r>
        <w:rPr>
          <w:rFonts w:ascii="Times New Roman" w:hAnsi="Times New Roman"/>
          <w:caps w:val="false"/>
          <w:smallCaps w:val="false"/>
          <w:sz w:val="20"/>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Food Safety Laws</w:t>
      </w:r>
      <w:r>
        <w:rPr>
          <w:rFonts w:ascii="Times New Roman" w:hAnsi="Times New Roman"/>
          <w:caps w:val="false"/>
          <w:smallCaps w:val="false"/>
          <w:sz w:val="20"/>
        </w:rPr>
        <w:t>” means, collectively, to the extent applicable to the Loan Parties and their Subsidiaries, (i) the United States Federal Food, Drug, and Cosmetic Act, as amended; (ii) the Federal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Alcohol Administration Act, as amended; (iii) the Federal Trade Commission Act, as amended; and (iv) any other applicable federal, state and municipal, domestic and foreign law governing the import, export, procurement, holding, distribution, sale, manufacturing, processing, packing, packaging, safety, purity, taxation, labeling, and/or advertising of food (including wine, spirits and other alcohol-related laws) as amended and in effect from time to time; and, in respect to all such laws, all rules, regulations, standards, guidelines, policies and orders administered by the FDA, USDA, TTB, FTC and any other Governmental Authority, in each case,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Foreign Lender</w:t>
      </w:r>
      <w:r>
        <w:rPr>
          <w:rFonts w:ascii="Times New Roman" w:hAnsi="Times New Roman"/>
          <w:caps w:val="false"/>
          <w:smallCaps w:val="false"/>
          <w:sz w:val="20"/>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Foreign Subsidiary</w:t>
      </w:r>
      <w:r>
        <w:rPr>
          <w:rFonts w:ascii="Times New Roman" w:hAnsi="Times New Roman"/>
          <w:caps w:val="false"/>
          <w:smallCaps w:val="false"/>
          <w:sz w:val="20"/>
        </w:rPr>
        <w:t>” means any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FRB</w:t>
      </w:r>
      <w:r>
        <w:rPr>
          <w:rFonts w:ascii="Times New Roman" w:hAnsi="Times New Roman"/>
          <w:caps w:val="false"/>
          <w:smallCaps w:val="false"/>
          <w:sz w:val="20"/>
        </w:rPr>
        <w:t>” means the Board of Governors of the Federal Reserve System of the United States. “</w:t>
      </w:r>
      <w:r>
        <w:rPr>
          <w:rFonts w:ascii="Times New Roman" w:hAnsi="Times New Roman"/>
          <w:b/>
          <w:i/>
          <w:caps w:val="false"/>
          <w:smallCaps w:val="false"/>
          <w:sz w:val="20"/>
        </w:rPr>
        <w:t>Fronting Exposure</w:t>
      </w:r>
      <w:r>
        <w:rPr>
          <w:rFonts w:ascii="Times New Roman" w:hAnsi="Times New Roman"/>
          <w:caps w:val="false"/>
          <w:smallCaps w:val="false"/>
          <w:sz w:val="20"/>
        </w:rPr>
        <w:t>” means, at any time there is a Defaulting Lender that is a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FSHCO</w:t>
      </w:r>
      <w:r>
        <w:rPr>
          <w:rFonts w:ascii="Times New Roman" w:hAnsi="Times New Roman"/>
          <w:caps w:val="false"/>
          <w:smallCaps w:val="false"/>
          <w:sz w:val="20"/>
        </w:rPr>
        <w:t>” means any Subsidiary substantially all of the assets of which constitute the Equity Interests of CFCs.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Fund</w:t>
      </w:r>
      <w:r>
        <w:rPr>
          <w:rFonts w:ascii="Times New Roman" w:hAnsi="Times New Roman"/>
          <w:caps w:val="false"/>
          <w:smallCaps w:val="false"/>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hAnsi="Times New Roman"/>
          <w:b/>
          <w:i/>
          <w:caps w:val="false"/>
          <w:smallCaps w:val="false"/>
          <w:sz w:val="20"/>
        </w:rPr>
        <w:t>Section 1.03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Guarantee</w:t>
      </w:r>
      <w:r>
        <w:rPr>
          <w:rFonts w:ascii="Times New Roman" w:hAnsi="Times New Roman"/>
          <w:caps w:val="false"/>
          <w:smallCaps w:val="false"/>
          <w:sz w:val="20"/>
        </w:rPr>
        <w:t>” means, as to any Person, (a) any obligation, contingent or otherwise, of such Person guaranteeing or having the economic effect of guaranteeing any Indebtedness or other obligation payable or performable by another Person (the “</w:t>
      </w:r>
      <w:r>
        <w:rPr>
          <w:rFonts w:ascii="Times New Roman" w:hAnsi="Times New Roman"/>
          <w:b/>
          <w:i/>
          <w:caps w:val="false"/>
          <w:smallCaps w:val="false"/>
          <w:sz w:val="20"/>
        </w:rPr>
        <w:t>primary obligor</w:t>
      </w:r>
      <w:r>
        <w:rPr>
          <w:rFonts w:ascii="Times New Roman" w:hAnsi="Times New Roman"/>
          <w:caps w:val="false"/>
          <w:smallCaps w:val="false"/>
          <w:sz w:val="20"/>
        </w:rPr>
        <w:t>”) in any manner, whether directly or indirectly, and including any obligation of such Person, direct or indirect, (i) to purchase or pay (or advance or supply funds for the purchase or payment of) such Indebtedness or other obligation, (ii) to purchase or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i/>
          <w:caps w:val="false"/>
          <w:smallCaps w:val="false"/>
          <w:sz w:val="20"/>
        </w:rPr>
        <w:t>Guarantee</w:t>
      </w:r>
      <w:r>
        <w:rPr>
          <w:rFonts w:ascii="Times New Roman" w:hAnsi="Times New Roman"/>
          <w:caps w:val="false"/>
          <w:smallCaps w:val="false"/>
          <w:sz w:val="20"/>
        </w:rPr>
        <w:t>”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Guaranteed Obligations</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 10.01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Guarantors</w:t>
      </w:r>
      <w:r>
        <w:rPr>
          <w:rFonts w:ascii="Times New Roman" w:hAnsi="Times New Roman"/>
          <w:caps w:val="false"/>
          <w:smallCaps w:val="false"/>
          <w:sz w:val="20"/>
        </w:rPr>
        <w:t xml:space="preserve">” means, collectively, (a) the Subsidiaries of the Borrower as are or may from time to time become parties to this Agreement pursuant to </w:t>
      </w:r>
      <w:r>
        <w:rPr>
          <w:rFonts w:ascii="Times New Roman" w:hAnsi="Times New Roman"/>
          <w:b/>
          <w:i/>
          <w:caps w:val="false"/>
          <w:smallCaps w:val="false"/>
          <w:sz w:val="20"/>
        </w:rPr>
        <w:t>Section 6.13</w:t>
      </w:r>
      <w:r>
        <w:rPr>
          <w:rFonts w:ascii="Times New Roman" w:hAnsi="Times New Roman"/>
          <w:caps w:val="false"/>
          <w:smallCaps w:val="false"/>
          <w:sz w:val="20"/>
        </w:rPr>
        <w:t xml:space="preserve">, and (b) with respect to Additional Secured Obligations owing by any Loan Party or any of its Subsidiaries and any Swap Obligation of a Specified Loan Party (determined before giving effect to </w:t>
      </w:r>
      <w:r>
        <w:rPr>
          <w:rFonts w:ascii="Times New Roman" w:hAnsi="Times New Roman"/>
          <w:b/>
          <w:i/>
          <w:caps w:val="false"/>
          <w:smallCaps w:val="false"/>
          <w:sz w:val="20"/>
        </w:rPr>
        <w:t xml:space="preserve">Sections 10.01 </w:t>
      </w:r>
      <w:r>
        <w:rPr>
          <w:rFonts w:ascii="Times New Roman" w:hAnsi="Times New Roman"/>
          <w:caps w:val="false"/>
          <w:smallCaps w:val="false"/>
          <w:sz w:val="20"/>
        </w:rPr>
        <w:t xml:space="preserve">and </w:t>
      </w:r>
      <w:r>
        <w:rPr>
          <w:rFonts w:ascii="Times New Roman" w:hAnsi="Times New Roman"/>
          <w:b/>
          <w:i/>
          <w:caps w:val="false"/>
          <w:smallCaps w:val="false"/>
          <w:sz w:val="20"/>
        </w:rPr>
        <w:t>10.11</w:t>
      </w:r>
      <w:r>
        <w:rPr>
          <w:rFonts w:ascii="Times New Roman" w:hAnsi="Times New Roman"/>
          <w:caps w:val="false"/>
          <w:smallCaps w:val="false"/>
          <w:sz w:val="20"/>
        </w:rPr>
        <w:t xml:space="preserve">) under the Guaranty, the Borrower. For the avoidance of doubt, for purposes of this Agreement (i) Holdings is not, and shall not be required to become, a “Guarantor” and (ii) Holdings shall not be permitted to be a “Guarantor” except, in the case of this clause (ii), in compliance with </w:t>
      </w:r>
      <w:r>
        <w:rPr>
          <w:rFonts w:ascii="Times New Roman" w:hAnsi="Times New Roman"/>
          <w:b/>
          <w:i/>
          <w:caps w:val="false"/>
          <w:smallCaps w:val="false"/>
          <w:sz w:val="20"/>
        </w:rPr>
        <w:t>Section 11.01(c)(i)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Hazardous Materials</w:t>
      </w:r>
      <w:r>
        <w:rPr>
          <w:rFonts w:ascii="Times New Roman" w:hAnsi="Times New Roman"/>
          <w:caps w:val="false"/>
          <w:smallCaps w:val="false"/>
          <w:sz w:val="20"/>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Hedge Bank</w:t>
      </w:r>
      <w:r>
        <w:rPr>
          <w:rFonts w:ascii="Times New Roman" w:hAnsi="Times New Roman"/>
          <w:caps w:val="false"/>
          <w:smallCaps w:val="false"/>
          <w:sz w:val="20"/>
        </w:rPr>
        <w:t xml:space="preserve">” means any Person in its capacity as a party to a Swap Contract that, (a) at the time it enters into a Swap Contract not prohibited under </w:t>
      </w:r>
      <w:r>
        <w:rPr>
          <w:rFonts w:ascii="Times New Roman" w:hAnsi="Times New Roman"/>
          <w:b/>
          <w:i/>
          <w:caps w:val="false"/>
          <w:smallCaps w:val="false"/>
          <w:sz w:val="20"/>
        </w:rPr>
        <w:t xml:space="preserve">Articles VI </w:t>
      </w:r>
      <w:r>
        <w:rPr>
          <w:rFonts w:ascii="Times New Roman" w:hAnsi="Times New Roman"/>
          <w:caps w:val="false"/>
          <w:smallCaps w:val="false"/>
          <w:sz w:val="20"/>
        </w:rPr>
        <w:t xml:space="preserve">or </w:t>
      </w:r>
      <w:r>
        <w:rPr>
          <w:rFonts w:ascii="Times New Roman" w:hAnsi="Times New Roman"/>
          <w:b/>
          <w:i/>
          <w:caps w:val="false"/>
          <w:smallCaps w:val="false"/>
          <w:sz w:val="20"/>
        </w:rPr>
        <w:t>VII</w:t>
      </w:r>
      <w:r>
        <w:rPr>
          <w:rFonts w:ascii="Times New Roman" w:hAnsi="Times New Roman"/>
          <w:caps w:val="false"/>
          <w:smallCaps w:val="false"/>
          <w:sz w:val="20"/>
        </w:rPr>
        <w:t xml:space="preserve">, is a Lender or an Affiliate of a Lender, or (b) at the time it (or its Affiliate) becomes a Lender, is a party to a Swap Contract not prohibited under </w:t>
      </w:r>
      <w:r>
        <w:rPr>
          <w:rFonts w:ascii="Times New Roman" w:hAnsi="Times New Roman"/>
          <w:b/>
          <w:i/>
          <w:caps w:val="false"/>
          <w:smallCaps w:val="false"/>
          <w:sz w:val="20"/>
        </w:rPr>
        <w:t xml:space="preserve">Articles VI </w:t>
      </w:r>
      <w:r>
        <w:rPr>
          <w:rFonts w:ascii="Times New Roman" w:hAnsi="Times New Roman"/>
          <w:caps w:val="false"/>
          <w:smallCaps w:val="false"/>
          <w:sz w:val="20"/>
        </w:rPr>
        <w:t xml:space="preserve">or </w:t>
      </w:r>
      <w:r>
        <w:rPr>
          <w:rFonts w:ascii="Times New Roman" w:hAnsi="Times New Roman"/>
          <w:b/>
          <w:i/>
          <w:caps w:val="false"/>
          <w:smallCaps w:val="false"/>
          <w:sz w:val="20"/>
        </w:rPr>
        <w:t>VII</w:t>
      </w:r>
      <w:r>
        <w:rPr>
          <w:rFonts w:ascii="Times New Roman" w:hAnsi="Times New Roman"/>
          <w:caps w:val="false"/>
          <w:smallCaps w:val="false"/>
          <w:sz w:val="20"/>
        </w:rPr>
        <w:t xml:space="preserve">, in each case, in its capacity as a party to such Swap Contract (even if such Person ceases to be a Lender or such Person’s Affiliate ceased to be a Lender); </w:t>
      </w:r>
      <w:r>
        <w:rPr>
          <w:rFonts w:ascii="Times New Roman" w:hAnsi="Times New Roman"/>
          <w:i/>
          <w:caps w:val="false"/>
          <w:smallCaps w:val="false"/>
          <w:sz w:val="20"/>
        </w:rPr>
        <w:t>provided</w:t>
      </w:r>
      <w:r>
        <w:rPr>
          <w:rFonts w:ascii="Times New Roman" w:hAnsi="Times New Roman"/>
          <w:caps w:val="false"/>
          <w:smallCaps w:val="false"/>
          <w:sz w:val="20"/>
        </w:rPr>
        <w:t>, in the case of a Secured Hedge Agreement with a Person who is no longer a Lender (or Affiliate of a Lender), such Person shall be considered a Hedge Bank only through the stated termination date (without extension or renewal) of such Secured Hedge Agreement and provided further that for any of the foregoing to be included as a “</w:t>
      </w:r>
      <w:r>
        <w:rPr>
          <w:rFonts w:ascii="Times New Roman" w:hAnsi="Times New Roman"/>
          <w:i/>
          <w:caps w:val="false"/>
          <w:smallCaps w:val="false"/>
          <w:sz w:val="20"/>
        </w:rPr>
        <w:t>Secured Hedge Agreement</w:t>
      </w:r>
      <w:r>
        <w:rPr>
          <w:rFonts w:ascii="Times New Roman" w:hAnsi="Times New Roman"/>
          <w:caps w:val="false"/>
          <w:smallCaps w:val="false"/>
          <w:sz w:val="20"/>
        </w:rPr>
        <w: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Hemp</w:t>
      </w:r>
      <w:r>
        <w:rPr>
          <w:rFonts w:ascii="Times New Roman" w:hAnsi="Times New Roman"/>
          <w:caps w:val="false"/>
          <w:smallCaps w:val="false"/>
          <w:sz w:val="20"/>
        </w:rPr>
        <w:t>” means the plant Cannabis sativa L. and any part of that plant, including the seeds thereof and all derivatives, extracts, cannabinoids, isomers, acids, salts, and salts of isomers, whether growing or not, with a delta-9 tetrahydrocannabinol concentration of not more than 0.3 percent on a dry weight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Hemp Contribution</w:t>
      </w:r>
      <w:r>
        <w:rPr>
          <w:rFonts w:ascii="Times New Roman" w:hAnsi="Times New Roman"/>
          <w:caps w:val="false"/>
          <w:smallCaps w:val="false"/>
          <w:sz w:val="20"/>
        </w:rPr>
        <w:t>” means the contribution of all of the Equity Interests of the Hemp Entities to the Borrower or another Subsidiary of the Borrower that is a Loan Party whereby the Hemp Entities shall be direct or indirect wholly-owned Subsidiaries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Hemp Entities</w:t>
      </w:r>
      <w:r>
        <w:rPr>
          <w:rFonts w:ascii="Times New Roman" w:hAnsi="Times New Roman"/>
          <w:caps w:val="false"/>
          <w:smallCaps w:val="false"/>
          <w:sz w:val="20"/>
        </w:rPr>
        <w:t>” means Fresh Hemp Foods Ltd., a British Columbia limited partnership and Manitoba Harvest USA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Holdings</w:t>
      </w:r>
      <w:r>
        <w:rPr>
          <w:rFonts w:ascii="Times New Roman" w:hAnsi="Times New Roman"/>
          <w:caps w:val="false"/>
          <w:smallCaps w:val="false"/>
          <w:sz w:val="20"/>
        </w:rPr>
        <w:t>” means Tilray Brands, Inc., a Delaware corporation together with any successor entity</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Holdings Guaranty</w:t>
      </w:r>
      <w:r>
        <w:rPr>
          <w:rFonts w:ascii="Times New Roman" w:hAnsi="Times New Roman"/>
          <w:caps w:val="false"/>
          <w:smallCaps w:val="false"/>
          <w:sz w:val="20"/>
        </w:rPr>
        <w:t>” means that certain Continuing Guaranty dated as of June 30, 2023 made by Holdings in favor of the Administrative Agent, for the benefit of the Secured Parties, as such agreement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Holdings Note</w:t>
      </w:r>
      <w:r>
        <w:rPr>
          <w:rFonts w:ascii="Times New Roman" w:hAnsi="Times New Roman"/>
          <w:caps w:val="false"/>
          <w:smallCaps w:val="false"/>
          <w:sz w:val="20"/>
        </w:rPr>
        <w:t>” means that certain subordinated promissory note in the amount of $10,000,000 with the Borrower as debtor and Holdings as lender as in effect on the Fifth Amendment Effective Date with subordination terms reasonable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Holdings Paid Earnout</w:t>
      </w:r>
      <w:r>
        <w:rPr>
          <w:rFonts w:ascii="Times New Roman" w:hAnsi="Times New Roman"/>
          <w:caps w:val="false"/>
          <w:smallCaps w:val="false"/>
          <w:sz w:val="20"/>
        </w:rPr>
        <w:t>” means (a) any and all payments due under Section 2.15 of that certain Acquisition Agreement between, among others, Holdings and SWBC Blocker Seller, L.P., a Delaware limited partnership, dated November 4, 2020 and (b) any other earnout or similar payment owed in connection with a Permitted Acquisition that has been assumed in writing by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Holdings Pledge Agreement</w:t>
      </w:r>
      <w:r>
        <w:rPr>
          <w:rFonts w:ascii="Times New Roman" w:hAnsi="Times New Roman"/>
          <w:caps w:val="false"/>
          <w:smallCaps w:val="false"/>
          <w:sz w:val="20"/>
        </w:rPr>
        <w:t>” means that certain Pledge Agreement dated as of June 30, 2023 by and between Holdings and the Administrative Agent, for the benefit of the Secured Parties, as such agreement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Holdings Related Remedial Action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9.14(a)</w:t>
      </w:r>
      <w:r>
        <w:rPr>
          <w:rFonts w:ascii="Times New Roman" w:hAnsi="Times New Roman"/>
          <w:caps w:val="false"/>
          <w:smallCaps w:val="false"/>
          <w:sz w:val="20"/>
        </w:rPr>
        <w:t>. “</w:t>
      </w:r>
      <w:r>
        <w:rPr>
          <w:rFonts w:ascii="Times New Roman" w:hAnsi="Times New Roman"/>
          <w:b/>
          <w:i/>
          <w:caps w:val="false"/>
          <w:smallCaps w:val="false"/>
          <w:sz w:val="20"/>
        </w:rPr>
        <w:t>Impacted Lender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Impacted Payment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Indebtedness</w:t>
      </w:r>
      <w:r>
        <w:rPr>
          <w:rFonts w:ascii="Times New Roman" w:hAnsi="Times New Roman"/>
          <w:caps w:val="false"/>
          <w:smallCaps w:val="false"/>
          <w:sz w:val="20"/>
        </w:rPr>
        <w:t>” means, as to any Person at a particular time, without duplication, all of the following, whether or not included as indebtedness or liabilities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all obligations of such Person for borrowed money and all obligations of such Person evidenced by bonds, debentures, notes, loan agreements or other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all direct or contingent obligations of such Person arising under standby letters of credit (including standby and commercial), bankers’ acceptances, bank guaranties, surety bonds and similar instruments;</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230"/>
        <w:gridCol w:w="46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obligations of such Person under any Swap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all obligations of such Person to pay the deferred purchase price of property or services (other than trade accounts payable in the ordinary course of business and not past due for more than sixty (60) days after the date on which such trade account was created) including the amount of earn-out obligation shown as the liability (if any) on the balance sheet of such Person in accordance with GAAP (other than any Holdings Paid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indebtedness (excluding prepaid interest thereon) secured by a Lien on property owned or being purchased by such Person (including indebtedness arising under conditional sales or other title retention agreements), whether or not such indebtedness shall have been assumed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such Person or is limited in recourse (but limited to the extent such Indebtedness is not recourse to such Person, to the lesser of the fair market value of such property and the outstanding principal balance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all Attributable Indebtedness in respect of Capitalized Leases and Synthetic Lease Obligations of such Person and all Synthetic Debt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hAnsi="Times New Roman"/>
          <w:i/>
          <w:caps w:val="false"/>
          <w:smallCaps w:val="false"/>
          <w:sz w:val="20"/>
        </w:rPr>
        <w:t xml:space="preserve">plus </w:t>
      </w:r>
      <w:r>
        <w:rPr>
          <w:rFonts w:ascii="Times New Roman" w:hAnsi="Times New Roman"/>
          <w:caps w:val="false"/>
          <w:smallCaps w:val="false"/>
          <w:sz w:val="20"/>
        </w:rPr>
        <w:t>accrued and unpaid dividends;</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60"/>
        <w:gridCol w:w="245"/>
        <w:gridCol w:w="36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obligations under PACE Financings; and</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200"/>
        <w:gridCol w:w="51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5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Guarantees of such Person in respect of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Indemnified Taxes</w:t>
      </w:r>
      <w:r>
        <w:rPr>
          <w:rFonts w:ascii="Times New Roman" w:hAnsi="Times New Roman"/>
          <w:caps w:val="false"/>
          <w:smallCaps w:val="false"/>
          <w:sz w:val="20"/>
        </w:rPr>
        <w:t>” means all (a) Taxes, other than Excluded Taxes, imposed on or with respect to any payment made by or on account of any obligation of any Loan Party under any Loan Document and</w:t>
      </w:r>
    </w:p>
    <w:p>
      <w:pPr>
        <w:pStyle w:val="TextBody"/>
        <w:bidi w:val="0"/>
        <w:spacing w:before="0" w:after="0"/>
        <w:ind w:left="1080" w:right="0" w:hanging="720"/>
        <w:jc w:val="left"/>
        <w:rPr>
          <w:rFonts w:ascii="Times New Roman" w:hAnsi="Times New Roman"/>
          <w:caps w:val="false"/>
          <w:smallCaps w:val="false"/>
          <w:sz w:val="20"/>
        </w:rPr>
      </w:pPr>
      <w:r>
        <w:rPr>
          <w:rFonts w:ascii="Times New Roman" w:hAnsi="Times New Roman"/>
          <w:caps w:val="false"/>
          <w:smallCaps w:val="false"/>
          <w:sz w:val="20"/>
        </w:rPr>
        <w:t xml:space="preserve">(b) to the extent not otherwise described in </w:t>
      </w:r>
      <w:r>
        <w:rPr>
          <w:rFonts w:ascii="Times New Roman" w:hAnsi="Times New Roman"/>
          <w:b/>
          <w:i/>
          <w:caps w:val="false"/>
          <w:smallCaps w:val="false"/>
          <w:sz w:val="20"/>
        </w:rPr>
        <w:t>clause (a)</w:t>
      </w:r>
      <w:r>
        <w:rPr>
          <w:rFonts w:ascii="Times New Roman" w:hAnsi="Times New Roman"/>
          <w:caps w:val="false"/>
          <w:smallCaps w:val="false"/>
          <w:sz w:val="20"/>
        </w:rPr>
        <w:t>, Other Taxes. “</w:t>
      </w:r>
      <w:r>
        <w:rPr>
          <w:rFonts w:ascii="Times New Roman" w:hAnsi="Times New Roman"/>
          <w:b/>
          <w:i/>
          <w:caps w:val="false"/>
          <w:smallCaps w:val="false"/>
          <w:sz w:val="20"/>
        </w:rPr>
        <w:t>Indemnitee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11.04(b)</w:t>
      </w:r>
      <w:r>
        <w:rPr>
          <w:rFonts w:ascii="Times New Roman" w:hAnsi="Times New Roman"/>
          <w:caps w:val="false"/>
          <w:smallCaps w:val="false"/>
          <w:sz w:val="20"/>
        </w:rPr>
        <w:t>. “</w:t>
      </w:r>
      <w:r>
        <w:rPr>
          <w:rFonts w:ascii="Times New Roman" w:hAnsi="Times New Roman"/>
          <w:b/>
          <w:i/>
          <w:caps w:val="false"/>
          <w:smallCaps w:val="false"/>
          <w:sz w:val="20"/>
        </w:rPr>
        <w:t>Information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11.07(a)</w:t>
      </w:r>
      <w:r>
        <w:rPr>
          <w:rFonts w:ascii="Times New Roman" w:hAnsi="Times New Roman"/>
          <w:caps w:val="false"/>
          <w:smallCaps w:val="false"/>
          <w:sz w:val="20"/>
        </w:rPr>
        <w:t>. “</w:t>
      </w:r>
      <w:r>
        <w:rPr>
          <w:rFonts w:ascii="Times New Roman" w:hAnsi="Times New Roman"/>
          <w:b/>
          <w:i/>
          <w:caps w:val="false"/>
          <w:smallCaps w:val="false"/>
          <w:sz w:val="20"/>
        </w:rPr>
        <w:t>Intellectual Property</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5.17</w:t>
      </w:r>
      <w:r>
        <w:rPr>
          <w:rFonts w:ascii="Times New Roman" w:hAnsi="Times New Roman"/>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Internally Generated Cash</w:t>
      </w:r>
      <w:r>
        <w:rPr>
          <w:rFonts w:ascii="Times New Roman" w:hAnsi="Times New Roman"/>
          <w:caps w:val="false"/>
          <w:smallCaps w:val="false"/>
          <w:sz w:val="20"/>
        </w:rPr>
        <w:t>” means, with respect to any Loan Party or its Subsidiaries (a) cash and Cash Equivalents not constituting (x) any Investments by a Person into the Loan Parties or their Subsidiaries, (y) proceeds of the incurrence of Indebtedness by the Loan Parties or any of its Subsidiaries (other than under this Agreement) or (z) proceeds of Dispositions and Recovery Events and (b) proceeds of the issuance of (or contributions in respect of) Equity Interests of such Person so long as such proceeds</w:t>
      </w:r>
    </w:p>
    <w:p>
      <w:pPr>
        <w:pStyle w:val="TextBody"/>
        <w:bidi w:val="0"/>
        <w:spacing w:before="0" w:after="0"/>
        <w:ind w:left="360" w:right="0" w:hanging="20"/>
        <w:jc w:val="both"/>
        <w:rPr>
          <w:rFonts w:ascii="Times New Roman" w:hAnsi="Times New Roman"/>
          <w:caps w:val="false"/>
          <w:smallCaps w:val="false"/>
          <w:sz w:val="20"/>
        </w:rPr>
      </w:pPr>
      <w:r>
        <w:rPr>
          <w:rFonts w:ascii="Times New Roman" w:hAnsi="Times New Roman"/>
          <w:caps w:val="false"/>
          <w:smallCaps w:val="false"/>
          <w:sz w:val="20"/>
        </w:rPr>
        <w:t xml:space="preserve">(x) were generated in the United States, (y) are held in deposit or securities accounts in the United States at all times and (z) are not used, held or derived in any manner that would result in a violation of </w:t>
      </w:r>
      <w:r>
        <w:rPr>
          <w:rFonts w:ascii="Times New Roman" w:hAnsi="Times New Roman"/>
          <w:b/>
          <w:i/>
          <w:caps w:val="false"/>
          <w:smallCaps w:val="false"/>
          <w:sz w:val="20"/>
        </w:rPr>
        <w:t xml:space="preserve">Section 7.05 </w:t>
      </w:r>
      <w:r>
        <w:rPr>
          <w:rFonts w:ascii="Times New Roman" w:hAnsi="Times New Roman"/>
          <w:caps w:val="false"/>
          <w:smallCaps w:val="false"/>
          <w:sz w:val="20"/>
        </w:rPr>
        <w:t>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Interest Payment Date</w:t>
      </w:r>
      <w:r>
        <w:rPr>
          <w:rFonts w:ascii="Times New Roman" w:hAnsi="Times New Roman"/>
          <w:caps w:val="false"/>
          <w:smallCaps w:val="false"/>
          <w:sz w:val="20"/>
        </w:rPr>
        <w:t xml:space="preserve">” means, (a) as to any Term SOFR Loan, the last day of each Interest Period applicable to such Loan and the Maturity Date of the Facility under which such Loan was made;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any Interest Period for a Term SOFR Loan exceeds three (3) months, the respective dates that fall every three (3) months after the beginning of such Interest 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Facility for purposes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Interest Period</w:t>
      </w:r>
      <w:r>
        <w:rPr>
          <w:rFonts w:ascii="Times New Roman" w:hAnsi="Times New Roman"/>
          <w:caps w:val="false"/>
          <w:smallCaps w:val="false"/>
          <w:sz w:val="20"/>
        </w:rPr>
        <w:t xml:space="preserve">” means, as to each Term SOFR Loan, the period commencing on the date such Term SOFR Loan is disbursed or converted to or continued as a Term SOFR Loan and ending on the date one (1) or three (3) months thereafter (in each case, subject to availability), as selected by the Borrower in its Loan Notice; </w:t>
      </w:r>
      <w:r>
        <w:rPr>
          <w:rFonts w:ascii="Times New Roman" w:hAnsi="Times New Roman"/>
          <w:i/>
          <w:caps w:val="false"/>
          <w:smallCaps w:val="false"/>
          <w:sz w:val="20"/>
        </w:rPr>
        <w:t xml:space="preserve">provided </w:t>
      </w:r>
      <w:r>
        <w:rPr>
          <w:rFonts w:ascii="Times New Roman" w:hAnsi="Times New Roman"/>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no Interest Period shall extend beyond the Maturity Date of the Facility under which such Loan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Interim Financial Statements</w:t>
      </w:r>
      <w:r>
        <w:rPr>
          <w:rFonts w:ascii="Times New Roman" w:hAnsi="Times New Roman"/>
          <w:caps w:val="false"/>
          <w:smallCaps w:val="false"/>
          <w:sz w:val="20"/>
        </w:rPr>
        <w:t>” shall mean the consolidated unaudited financial statements of</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the Borrower and its Subsidiaries and (b) Tilray Holdco M, LLC and its Subsidiaries, in each case, on a consolidated basis for the year-to-date period ended February 28, 2023, including balance sheets and statements of income or operations, members’ equity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Investment</w:t>
      </w:r>
      <w:r>
        <w:rPr>
          <w:rFonts w:ascii="Times New Roman" w:hAnsi="Times New Roman"/>
          <w:caps w:val="false"/>
          <w:smallCaps w:val="false"/>
          <w:sz w:val="20"/>
        </w:rPr>
        <w:t>” means, as to any Person, any direct or indirect acquisition or investment by such Person, whether by means of (a) the purchase or other acquisition of Equity Interests of another Person,</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an Acquisition. For purposes of covenant compliance, the amount of any Investment shall be the amount actually invested, without adjustment for subsequent increases or decreases in the value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IP Rights</w:t>
      </w:r>
      <w:r>
        <w:rPr>
          <w:rFonts w:ascii="Times New Roman" w:hAnsi="Times New Roman"/>
          <w:caps w:val="false"/>
          <w:smallCaps w:val="false"/>
          <w:sz w:val="20"/>
        </w:rPr>
        <w:t>” shall mean all of the trademarks, service marks, trade names, copyrights, patents, patent rights and other intellectual property rights that are reasonably necessary for the operation of their respective businesses that any Loan Party Group Company owns, or possesses the legal right to use; excluding any intent-to-use trademark applications filed in the United States Trademark Office, unless and until a “</w:t>
      </w:r>
      <w:r>
        <w:rPr>
          <w:rFonts w:ascii="Times New Roman" w:hAnsi="Times New Roman"/>
          <w:i/>
          <w:caps w:val="false"/>
          <w:smallCaps w:val="false"/>
          <w:sz w:val="20"/>
        </w:rPr>
        <w:t>Statement of Use</w:t>
      </w:r>
      <w:r>
        <w:rPr>
          <w:rFonts w:ascii="Times New Roman" w:hAnsi="Times New Roman"/>
          <w:caps w:val="false"/>
          <w:smallCaps w:val="false"/>
          <w:sz w:val="20"/>
        </w:rPr>
        <w:t>” or “</w:t>
      </w:r>
      <w:r>
        <w:rPr>
          <w:rFonts w:ascii="Times New Roman" w:hAnsi="Times New Roman"/>
          <w:i/>
          <w:caps w:val="false"/>
          <w:smallCaps w:val="false"/>
          <w:sz w:val="20"/>
        </w:rPr>
        <w:t>Amendment to Allege Use</w:t>
      </w:r>
      <w:r>
        <w:rPr>
          <w:rFonts w:ascii="Times New Roman" w:hAnsi="Times New Roman"/>
          <w:caps w:val="false"/>
          <w:smallCaps w:val="false"/>
          <w:sz w:val="20"/>
        </w:rPr>
        <w:t>” has been filed in and accepted by the United States Trademark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IRS</w:t>
      </w:r>
      <w:r>
        <w:rPr>
          <w:rFonts w:ascii="Times New Roman" w:hAnsi="Times New Roman"/>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ISP</w:t>
      </w:r>
      <w:r>
        <w:rPr>
          <w:rFonts w:ascii="Times New Roman" w:hAnsi="Times New Roman"/>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Issuer Documents</w:t>
      </w:r>
      <w:r>
        <w:rPr>
          <w:rFonts w:ascii="Times New Roman" w:hAnsi="Times New Roman"/>
          <w:caps w:val="false"/>
          <w:smallCaps w:val="false"/>
          <w:sz w:val="20"/>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Joinder Agreement</w:t>
      </w:r>
      <w:r>
        <w:rPr>
          <w:rFonts w:ascii="Times New Roman" w:hAnsi="Times New Roman"/>
          <w:caps w:val="false"/>
          <w:smallCaps w:val="false"/>
          <w:sz w:val="20"/>
        </w:rPr>
        <w:t xml:space="preserve">” means a joinder agreement substantially in the form of </w:t>
      </w:r>
      <w:r>
        <w:rPr>
          <w:rFonts w:ascii="Times New Roman" w:hAnsi="Times New Roman"/>
          <w:b/>
          <w:i/>
          <w:caps w:val="false"/>
          <w:smallCaps w:val="false"/>
          <w:sz w:val="20"/>
        </w:rPr>
        <w:t xml:space="preserve">Exhibit 6.13 </w:t>
      </w:r>
      <w:r>
        <w:rPr>
          <w:rFonts w:ascii="Times New Roman" w:hAnsi="Times New Roman"/>
          <w:caps w:val="false"/>
          <w:smallCaps w:val="false"/>
          <w:sz w:val="20"/>
        </w:rPr>
        <w:t xml:space="preserve">executed and delivered in accordance with the provisions of </w:t>
      </w:r>
      <w:r>
        <w:rPr>
          <w:rFonts w:ascii="Times New Roman" w:hAnsi="Times New Roman"/>
          <w:b/>
          <w:i/>
          <w:caps w:val="false"/>
          <w:smallCaps w:val="false"/>
          <w:sz w:val="20"/>
        </w:rPr>
        <w:t>Section 6.13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L/C Advance</w:t>
      </w:r>
      <w:r>
        <w:rPr>
          <w:rFonts w:ascii="Times New Roman" w:hAnsi="Times New Roman"/>
          <w:caps w:val="false"/>
          <w:smallCaps w:val="false"/>
          <w:sz w:val="20"/>
        </w:rPr>
        <w:t>” means, with respect to each Revolving Lender, such Lender’s funding of its participation in any L/C Borrowing in accordance with its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L/C Borrowing</w:t>
      </w:r>
      <w:r>
        <w:rPr>
          <w:rFonts w:ascii="Times New Roman" w:hAnsi="Times New Roman"/>
          <w:caps w:val="false"/>
          <w:smallCaps w:val="false"/>
          <w:sz w:val="20"/>
        </w:rPr>
        <w:t>” means an extension of credit resulting from a drawing under any Letter of Credit which has not been reimbursed on the date when made or refinanced as a Borrowing of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L/C Commitment</w:t>
      </w:r>
      <w:r>
        <w:rPr>
          <w:rFonts w:ascii="Times New Roman" w:hAnsi="Times New Roman"/>
          <w:caps w:val="false"/>
          <w:smallCaps w:val="false"/>
          <w:sz w:val="20"/>
        </w:rPr>
        <w:t xml:space="preserve">” means, with respect to the L/C Issuer, the commitment of the L/C Issuer to issue Letters of Credit hereunder. The initial amount of the L/C Issuer’s Letter of Credit Commitment is set forth on </w:t>
      </w:r>
      <w:r>
        <w:rPr>
          <w:rFonts w:ascii="Times New Roman" w:hAnsi="Times New Roman"/>
          <w:b/>
          <w:i/>
          <w:caps w:val="false"/>
          <w:smallCaps w:val="false"/>
          <w:sz w:val="20"/>
        </w:rPr>
        <w:t>Schedule 2.03</w:t>
      </w:r>
      <w:r>
        <w:rPr>
          <w:rFonts w:ascii="Times New Roman" w:hAnsi="Times New Roman"/>
          <w:caps w:val="false"/>
          <w:smallCaps w:val="false"/>
          <w:sz w:val="20"/>
        </w:rPr>
        <w:t>. The Letter of Credit Commitment of the L/C Issuer may be modified from time to time by agreement between the L/C Issuer and the Borrower, and notified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L/C Credit Extension</w:t>
      </w:r>
      <w:r>
        <w:rPr>
          <w:rFonts w:ascii="Times New Roman" w:hAnsi="Times New Roman"/>
          <w:caps w:val="false"/>
          <w:smallCaps w:val="false"/>
          <w:sz w:val="20"/>
        </w:rPr>
        <w:t>” means, with respect to any Letter of Credit, the issuance thereof or extension of the expiry date thereof, or the increase of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L/C Disbursement</w:t>
      </w:r>
      <w:r>
        <w:rPr>
          <w:rFonts w:ascii="Times New Roman" w:hAnsi="Times New Roman"/>
          <w:caps w:val="false"/>
          <w:smallCaps w:val="false"/>
          <w:sz w:val="20"/>
        </w:rPr>
        <w:t>” means a payment made by the L/C Issuer pursuant to a Letter of Credit. “</w:t>
      </w:r>
      <w:r>
        <w:rPr>
          <w:rFonts w:ascii="Times New Roman" w:hAnsi="Times New Roman"/>
          <w:b/>
          <w:i/>
          <w:caps w:val="false"/>
          <w:smallCaps w:val="false"/>
          <w:sz w:val="20"/>
        </w:rPr>
        <w:t>L/C Issuer</w:t>
      </w:r>
      <w:r>
        <w:rPr>
          <w:rFonts w:ascii="Times New Roman" w:hAnsi="Times New Roman"/>
          <w:caps w:val="false"/>
          <w:smallCaps w:val="false"/>
          <w:sz w:val="20"/>
        </w:rPr>
        <w:t>” means Bank of America, in its capacity as issuer of Letters of Credit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any successor issuer of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L/C Obligations</w:t>
      </w:r>
      <w:r>
        <w:rPr>
          <w:rFonts w:ascii="Times New Roman" w:hAnsi="Times New Roman"/>
          <w:caps w:val="false"/>
          <w:smallCaps w:val="false"/>
          <w:sz w:val="20"/>
        </w:rPr>
        <w:t xml:space="preserve">” means, as at any date of determination, the aggregate amount available to be drawn under all outstanding Letters of Credit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b/>
          <w:i/>
          <w:caps w:val="false"/>
          <w:smallCaps w:val="false"/>
          <w:sz w:val="20"/>
        </w:rPr>
        <w:t>Section 1.06</w:t>
      </w:r>
      <w:r>
        <w:rPr>
          <w:rFonts w:ascii="Times New Roman" w:hAnsi="Times New Roman"/>
          <w:caps w:val="false"/>
          <w:smallCaps w:val="false"/>
          <w:sz w:val="20"/>
        </w:rPr>
        <w:t>. For all purposes of this Agreement, if on any date of determination, a Letter of Credit has expired by its terms but any amount may still be drawn thereunder by reason of the operation of Rule 3.14 of the ISP, such Letter of Credit shall be deemed to be “</w:t>
      </w:r>
      <w:r>
        <w:rPr>
          <w:rFonts w:ascii="Times New Roman" w:hAnsi="Times New Roman"/>
          <w:i/>
          <w:caps w:val="false"/>
          <w:smallCaps w:val="false"/>
          <w:sz w:val="20"/>
        </w:rPr>
        <w:t>outstanding</w:t>
      </w:r>
      <w:r>
        <w:rPr>
          <w:rFonts w:ascii="Times New Roman" w:hAnsi="Times New Roman"/>
          <w:caps w:val="false"/>
          <w:smallCaps w:val="false"/>
          <w:sz w:val="20"/>
        </w:rPr>
        <w:t>” in the amount so remaining available to be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Laws</w:t>
      </w:r>
      <w:r>
        <w:rPr>
          <w:rFonts w:ascii="Times New Roman" w:hAnsi="Times New Roman"/>
          <w:caps w:val="false"/>
          <w:smallCaps w:val="false"/>
          <w:sz w:val="20"/>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(including Beverage Licenses), authorizations and permits of, and agreements with, any Governmental Authority, in each case whether or not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LCA Election</w:t>
      </w:r>
      <w:r>
        <w:rPr>
          <w:rFonts w:ascii="Times New Roman" w:hAnsi="Times New Roman"/>
          <w:caps w:val="false"/>
          <w:smallCaps w:val="false"/>
          <w:sz w:val="20"/>
        </w:rPr>
        <w:t xml:space="preserve">” shall have the meaning set forth in </w:t>
      </w:r>
      <w:r>
        <w:rPr>
          <w:rFonts w:ascii="Times New Roman" w:hAnsi="Times New Roman"/>
          <w:b/>
          <w:i/>
          <w:caps w:val="false"/>
          <w:smallCaps w:val="false"/>
          <w:sz w:val="20"/>
        </w:rPr>
        <w:t>Section 1.09</w:t>
      </w:r>
      <w:r>
        <w:rPr>
          <w:rFonts w:ascii="Times New Roman" w:hAnsi="Times New Roman"/>
          <w:caps w:val="false"/>
          <w:smallCaps w:val="false"/>
          <w:sz w:val="20"/>
        </w:rPr>
        <w:t>. “</w:t>
      </w:r>
      <w:r>
        <w:rPr>
          <w:rFonts w:ascii="Times New Roman" w:hAnsi="Times New Roman"/>
          <w:b/>
          <w:i/>
          <w:caps w:val="false"/>
          <w:smallCaps w:val="false"/>
          <w:sz w:val="20"/>
        </w:rPr>
        <w:t>LCA Test Date</w:t>
      </w:r>
      <w:r>
        <w:rPr>
          <w:rFonts w:ascii="Times New Roman" w:hAnsi="Times New Roman"/>
          <w:caps w:val="false"/>
          <w:smallCaps w:val="false"/>
          <w:sz w:val="20"/>
        </w:rPr>
        <w:t xml:space="preserve">” shall have the meaning set forth in </w:t>
      </w:r>
      <w:r>
        <w:rPr>
          <w:rFonts w:ascii="Times New Roman" w:hAnsi="Times New Roman"/>
          <w:b/>
          <w:i/>
          <w:caps w:val="false"/>
          <w:smallCaps w:val="false"/>
          <w:sz w:val="20"/>
        </w:rPr>
        <w:t>Section 1.09</w:t>
      </w:r>
      <w:r>
        <w:rPr>
          <w:rFonts w:ascii="Times New Roman" w:hAnsi="Times New Roman"/>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Lender</w:t>
      </w:r>
      <w:r>
        <w:rPr>
          <w:rFonts w:ascii="Times New Roman" w:hAnsi="Times New Roman"/>
          <w:caps w:val="false"/>
          <w:smallCaps w:val="false"/>
          <w:sz w:val="20"/>
        </w:rPr>
        <w:t>” means each of the Persons identified as a “</w:t>
      </w:r>
      <w:r>
        <w:rPr>
          <w:rFonts w:ascii="Times New Roman" w:hAnsi="Times New Roman"/>
          <w:i/>
          <w:caps w:val="false"/>
          <w:smallCaps w:val="false"/>
          <w:sz w:val="20"/>
        </w:rPr>
        <w:t>Lender</w:t>
      </w:r>
      <w:r>
        <w:rPr>
          <w:rFonts w:ascii="Times New Roman" w:hAnsi="Times New Roman"/>
          <w:caps w:val="false"/>
          <w:smallCaps w:val="false"/>
          <w:sz w:val="20"/>
        </w:rPr>
        <w:t>” on the signature pages hereto, each other Person that becomes a “</w:t>
      </w:r>
      <w:r>
        <w:rPr>
          <w:rFonts w:ascii="Times New Roman" w:hAnsi="Times New Roman"/>
          <w:i/>
          <w:caps w:val="false"/>
          <w:smallCaps w:val="false"/>
          <w:sz w:val="20"/>
        </w:rPr>
        <w:t>Lender</w:t>
      </w:r>
      <w:r>
        <w:rPr>
          <w:rFonts w:ascii="Times New Roman" w:hAnsi="Times New Roman"/>
          <w:caps w:val="false"/>
          <w:smallCaps w:val="false"/>
          <w:sz w:val="20"/>
        </w:rPr>
        <w:t>” in accordance with this Agreement and, their successors and assigns and, unless the context requires otherwise, includes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caps w:val="false"/>
          <w:smallCaps w:val="false"/>
        </w:rPr>
      </w:pPr>
      <w:r>
        <w:rPr>
          <w:caps w:val="false"/>
          <w:smallCaps w:val="false"/>
        </w:rPr>
        <w:t>“</w:t>
      </w:r>
      <w:r>
        <w:rPr>
          <w:rFonts w:ascii="Times New Roman" w:hAnsi="Times New Roman"/>
          <w:b/>
          <w:i/>
          <w:caps w:val="false"/>
          <w:smallCaps w:val="false"/>
          <w:sz w:val="20"/>
        </w:rPr>
        <w:t>Lender Parties</w:t>
      </w:r>
      <w:r>
        <w:rPr>
          <w:rFonts w:ascii="Times New Roman" w:hAnsi="Times New Roman"/>
          <w:caps w:val="false"/>
          <w:smallCaps w:val="false"/>
          <w:sz w:val="20"/>
        </w:rPr>
        <w:t>” and “</w:t>
      </w:r>
      <w:r>
        <w:rPr>
          <w:rFonts w:ascii="Times New Roman" w:hAnsi="Times New Roman"/>
          <w:b/>
          <w:i/>
          <w:caps w:val="false"/>
          <w:smallCaps w:val="false"/>
          <w:sz w:val="20"/>
        </w:rPr>
        <w:t>Lender Recipient Parties</w:t>
      </w:r>
      <w:r>
        <w:rPr>
          <w:rFonts w:ascii="Times New Roman" w:hAnsi="Times New Roman"/>
          <w:caps w:val="false"/>
          <w:smallCaps w:val="false"/>
          <w:sz w:val="20"/>
        </w:rPr>
        <w:t>” mean collectively, the Lenders, the Swingline Lender and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Lending Office</w:t>
      </w:r>
      <w:r>
        <w:rPr>
          <w:rFonts w:ascii="Times New Roman" w:hAnsi="Times New Roman"/>
          <w:caps w:val="false"/>
          <w:smallCaps w:val="false"/>
          <w:sz w:val="20"/>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Letter of Credit</w:t>
      </w:r>
      <w:r>
        <w:rPr>
          <w:rFonts w:ascii="Times New Roman" w:hAnsi="Times New Roman"/>
          <w:caps w:val="false"/>
          <w:smallCaps w:val="false"/>
          <w:sz w:val="20"/>
        </w:rPr>
        <w:t>” means any standby letter of credit issued hereunder providing for the payment of cash upon the honoring of a presentation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Letter of Credit Application</w:t>
      </w:r>
      <w:r>
        <w:rPr>
          <w:rFonts w:ascii="Times New Roman" w:hAnsi="Times New Roman"/>
          <w:caps w:val="false"/>
          <w:smallCaps w:val="false"/>
          <w:sz w:val="20"/>
        </w:rPr>
        <w:t>” means an application and agreement for the issuance or amendment of a Letter of Credit in the form from time to time in use by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Letter of Credit Fee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2.03(l)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Letter of Credit Sublimit</w:t>
      </w:r>
      <w:r>
        <w:rPr>
          <w:rFonts w:ascii="Times New Roman" w:hAnsi="Times New Roman"/>
          <w:caps w:val="false"/>
          <w:smallCaps w:val="false"/>
          <w:sz w:val="20"/>
        </w:rPr>
        <w:t xml:space="preserve">” means, as of any date of determination, an amount equal to the lesser of (a) $1,000,000 and (b) the Revolving Facility;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L/C Issuer’s Letter of Credit Sublimit shall not exceed its L/C Commitment. The Letter of Credit Sublimit is part of, and not in addition to,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Lien</w:t>
      </w:r>
      <w:r>
        <w:rPr>
          <w:rFonts w:ascii="Times New Roman" w:hAnsi="Times New Roman"/>
          <w:caps w:val="false"/>
          <w:smallCaps w:val="false"/>
          <w:sz w:val="20"/>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Limited Condition Acquisition</w:t>
      </w:r>
      <w:r>
        <w:rPr>
          <w:rFonts w:ascii="Times New Roman" w:hAnsi="Times New Roman"/>
          <w:caps w:val="false"/>
          <w:smallCaps w:val="false"/>
          <w:sz w:val="20"/>
        </w:rPr>
        <w:t xml:space="preserve">” shall have the meaning set forth in </w:t>
      </w:r>
      <w:r>
        <w:rPr>
          <w:rFonts w:ascii="Times New Roman" w:hAnsi="Times New Roman"/>
          <w:b/>
          <w:i/>
          <w:caps w:val="false"/>
          <w:smallCaps w:val="false"/>
          <w:sz w:val="20"/>
        </w:rPr>
        <w:t>Section 1.09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Loan</w:t>
      </w:r>
      <w:r>
        <w:rPr>
          <w:rFonts w:ascii="Times New Roman" w:hAnsi="Times New Roman"/>
          <w:caps w:val="false"/>
          <w:smallCaps w:val="false"/>
          <w:sz w:val="20"/>
        </w:rPr>
        <w:t xml:space="preserve">” means an extension of credit by a Lender to the Borrower under </w:t>
      </w:r>
      <w:r>
        <w:rPr>
          <w:rFonts w:ascii="Times New Roman" w:hAnsi="Times New Roman"/>
          <w:b/>
          <w:i/>
          <w:caps w:val="false"/>
          <w:smallCaps w:val="false"/>
          <w:sz w:val="20"/>
        </w:rPr>
        <w:t xml:space="preserve">Article II </w:t>
      </w:r>
      <w:r>
        <w:rPr>
          <w:rFonts w:ascii="Times New Roman" w:hAnsi="Times New Roman"/>
          <w:caps w:val="false"/>
          <w:smallCaps w:val="false"/>
          <w:sz w:val="20"/>
        </w:rPr>
        <w:t>in the form of a Term Loan, a Delayed Draw Term Loan, a Revolving Loan or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Loan Documents</w:t>
      </w:r>
      <w:r>
        <w:rPr>
          <w:rFonts w:ascii="Times New Roman" w:hAnsi="Times New Roman"/>
          <w:caps w:val="false"/>
          <w:smallCaps w:val="false"/>
          <w:sz w:val="20"/>
        </w:rPr>
        <w:t xml:space="preserve">” means this Agreement, each Note, each Issuer Document, each Joinder Agreement, the Collateral Documents, the Holdings Guaranty, the Fee Letter and any amendments, modifications or supplements hereto or to any other Loan Document or waivers hereof or to any other Loan Document; </w:t>
      </w:r>
      <w:r>
        <w:rPr>
          <w:rFonts w:ascii="Times New Roman" w:hAnsi="Times New Roman"/>
          <w:i/>
          <w:caps w:val="false"/>
          <w:smallCaps w:val="false"/>
          <w:sz w:val="20"/>
        </w:rPr>
        <w:t xml:space="preserve">provided </w:t>
      </w:r>
      <w:r>
        <w:rPr>
          <w:rFonts w:ascii="Times New Roman" w:hAnsi="Times New Roman"/>
          <w:caps w:val="false"/>
          <w:smallCaps w:val="false"/>
          <w:sz w:val="20"/>
        </w:rPr>
        <w:t>that “</w:t>
      </w:r>
      <w:r>
        <w:rPr>
          <w:rFonts w:ascii="Times New Roman" w:hAnsi="Times New Roman"/>
          <w:i/>
          <w:caps w:val="false"/>
          <w:smallCaps w:val="false"/>
          <w:sz w:val="20"/>
        </w:rPr>
        <w:t>Loan Documents</w:t>
      </w:r>
      <w:r>
        <w:rPr>
          <w:rFonts w:ascii="Times New Roman" w:hAnsi="Times New Roman"/>
          <w:caps w:val="false"/>
          <w:smallCaps w:val="false"/>
          <w:sz w:val="20"/>
        </w:rPr>
        <w:t>” shall specifically exclude Secured Hedge Agreements and any Secured Cash Management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Loan Notice</w:t>
      </w:r>
      <w:r>
        <w:rPr>
          <w:rFonts w:ascii="Times New Roman" w:hAnsi="Times New Roman"/>
          <w:caps w:val="false"/>
          <w:smallCaps w:val="false"/>
          <w:sz w:val="20"/>
        </w:rPr>
        <w:t xml:space="preserve">” means a notice of (a) a Borrowing, (b) a conversion of Loans from one (1) Type to the other, or (c) a continuation of Term SOFR Loans, pursuant to </w:t>
      </w:r>
      <w:r>
        <w:rPr>
          <w:rFonts w:ascii="Times New Roman" w:hAnsi="Times New Roman"/>
          <w:b/>
          <w:i/>
          <w:caps w:val="false"/>
          <w:smallCaps w:val="false"/>
          <w:sz w:val="20"/>
        </w:rPr>
        <w:t>Section 2.02(a)</w:t>
      </w:r>
      <w:r>
        <w:rPr>
          <w:rFonts w:ascii="Times New Roman" w:hAnsi="Times New Roman"/>
          <w:caps w:val="false"/>
          <w:smallCaps w:val="false"/>
          <w:sz w:val="20"/>
        </w:rPr>
        <w:t xml:space="preserve">, which shall be substantially in the form of </w:t>
      </w:r>
      <w:r>
        <w:rPr>
          <w:rFonts w:ascii="Times New Roman" w:hAnsi="Times New Roman"/>
          <w:b/>
          <w:i/>
          <w:caps w:val="false"/>
          <w:smallCaps w:val="false"/>
          <w:sz w:val="20"/>
        </w:rPr>
        <w:t xml:space="preserve">Exhibit 2.02 </w:t>
      </w:r>
      <w:r>
        <w:rPr>
          <w:rFonts w:ascii="Times New Roman" w:hAnsi="Times New Roman"/>
          <w:caps w:val="false"/>
          <w:smallCaps w:val="false"/>
          <w:sz w:val="20"/>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Loan Parties</w:t>
      </w:r>
      <w:r>
        <w:rPr>
          <w:rFonts w:ascii="Times New Roman" w:hAnsi="Times New Roman"/>
          <w:caps w:val="false"/>
          <w:smallCaps w:val="false"/>
          <w:sz w:val="20"/>
        </w:rPr>
        <w:t xml:space="preserve">” means, collectively, the Borrower, each Guarantor and so long as the Borrower has complied with </w:t>
      </w:r>
      <w:r>
        <w:rPr>
          <w:rFonts w:ascii="Times New Roman" w:hAnsi="Times New Roman"/>
          <w:b/>
          <w:i/>
          <w:caps w:val="false"/>
          <w:smallCaps w:val="false"/>
          <w:sz w:val="20"/>
        </w:rPr>
        <w:t>Section 6.16(b)</w:t>
      </w:r>
      <w:r>
        <w:rPr>
          <w:rFonts w:ascii="Times New Roman" w:hAnsi="Times New Roman"/>
          <w:caps w:val="false"/>
          <w:smallCaps w:val="false"/>
          <w:sz w:val="20"/>
        </w:rPr>
        <w:t xml:space="preserve">, the Hemp Entities. For the avoidance of doubt, (i) Holdings is not, and shall not be required to become, a “Loan Party” and (ii) Holdings shall not be permitted to be a “Loan Party” except, in the case of this clause (ii), in compliance with </w:t>
      </w:r>
      <w:r>
        <w:rPr>
          <w:rFonts w:ascii="Times New Roman" w:hAnsi="Times New Roman"/>
          <w:b/>
          <w:i/>
          <w:caps w:val="false"/>
          <w:smallCaps w:val="false"/>
          <w:sz w:val="20"/>
        </w:rPr>
        <w:t>Section 11.01(c)(i)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Loan Party Group Company</w:t>
      </w:r>
      <w:r>
        <w:rPr>
          <w:rFonts w:ascii="Times New Roman" w:hAnsi="Times New Roman"/>
          <w:caps w:val="false"/>
          <w:smallCaps w:val="false"/>
          <w:sz w:val="20"/>
        </w:rPr>
        <w:t>” means, collectively, (a) the Borrower, any of its Subsidiaries, and</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so long as the Borrower has complied with </w:t>
      </w:r>
      <w:r>
        <w:rPr>
          <w:rFonts w:ascii="Times New Roman" w:hAnsi="Times New Roman"/>
          <w:b/>
          <w:i/>
          <w:caps w:val="false"/>
          <w:smallCaps w:val="false"/>
          <w:sz w:val="20"/>
        </w:rPr>
        <w:t>Section 6.16(b)</w:t>
      </w:r>
      <w:r>
        <w:rPr>
          <w:rFonts w:ascii="Times New Roman" w:hAnsi="Times New Roman"/>
          <w:caps w:val="false"/>
          <w:smallCaps w:val="false"/>
          <w:sz w:val="20"/>
        </w:rPr>
        <w:t>, the Hemp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Mack Acquisition</w:t>
      </w:r>
      <w:r>
        <w:rPr>
          <w:rFonts w:ascii="Times New Roman" w:hAnsi="Times New Roman"/>
          <w:caps w:val="false"/>
          <w:smallCaps w:val="false"/>
          <w:sz w:val="20"/>
        </w:rPr>
        <w:t>” means the acquisition of the Mack Entities in connection with the consummation of the Mack Acquisition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Mack Acquisition Agreements</w:t>
      </w:r>
      <w:r>
        <w:rPr>
          <w:rFonts w:ascii="Times New Roman" w:hAnsi="Times New Roman"/>
          <w:caps w:val="false"/>
          <w:smallCaps w:val="false"/>
          <w:sz w:val="20"/>
        </w:rPr>
        <w:t>” means (x) that certain Membership Interest Purchase Agreement dated as of August 6, 2024, by and among Molson Coors Beverage Company USA LLC, Tilray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 and the Borrower and (y) that certain Membership Interest Purchase Agreement dated as of September 1, 2024, by and among Molson Coors Beverage Company USA LLC, Tilray Brands, Inc.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Mack Entities</w:t>
      </w:r>
      <w:r>
        <w:rPr>
          <w:rFonts w:ascii="Times New Roman" w:hAnsi="Times New Roman"/>
          <w:caps w:val="false"/>
          <w:smallCaps w:val="false"/>
          <w:sz w:val="20"/>
        </w:rPr>
        <w:t>” means each of Terrapin Beer Company, LLC, a Georgia limited liability company, McKenzie River Brewing Company, LLC d/b/a Hop Valley Brewing Co., an Oregon limited liability company, Revolver Brewing, LLC, a Texas limited liability company, Detroit Rivertown Brewing Company, LLC, a Michigan limited liability company, Park Brewing, L.L.C., a Michigan limited liability company, Liquid GR, L.L.C., a Michigan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Master Agreement</w:t>
      </w:r>
      <w:r>
        <w:rPr>
          <w:rFonts w:ascii="Times New Roman" w:hAnsi="Times New Roman"/>
          <w:caps w:val="false"/>
          <w:smallCaps w:val="false"/>
          <w:sz w:val="20"/>
        </w:rPr>
        <w:t>” has the meaning set forth in the definition of “</w:t>
      </w:r>
      <w:r>
        <w:rPr>
          <w:rFonts w:ascii="Times New Roman" w:hAnsi="Times New Roman"/>
          <w:i/>
          <w:caps w:val="false"/>
          <w:smallCaps w:val="false"/>
          <w:sz w:val="20"/>
        </w:rPr>
        <w:t>Swap Contract.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Material Adverse Effect</w:t>
      </w:r>
      <w:r>
        <w:rPr>
          <w:rFonts w:ascii="Times New Roman" w:hAnsi="Times New Roman"/>
          <w:caps w:val="false"/>
          <w:smallCaps w:val="false"/>
          <w:sz w:val="20"/>
        </w:rPr>
        <w:t>” means (a) a material adverse change in, or a material adverse effect upon, the operations, business, properties, liabilities (actual or contingent), or financial condition of Holdings, or the Loan Parties and their Subsidiaries taken as a whole; or (b) a material adverse effect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 the ability of Holdings or any Loan Party to perform its Obligations under any Loan Document to which it is a party, (ii) the legality, validity, binding effect or enforceability against Holdings or any Loan Party of any Loan Document to which it is a party or (iii) the rights, remedies and benefits available to, or conferred upon, the Administrative Agent or any Lender under any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Material Contract</w:t>
      </w:r>
      <w:r>
        <w:rPr>
          <w:rFonts w:ascii="Times New Roman" w:hAnsi="Times New Roman"/>
          <w:caps w:val="false"/>
          <w:smallCaps w:val="false"/>
          <w:sz w:val="20"/>
        </w:rPr>
        <w:t xml:space="preserve">” means that certain (a) Distribution Agreement between the Borrower and United Distributors, Inc. of Savannah dated January 1, 2001, (b) Distribution Agreement between the Borrower and United Distributors, Inc. of Smyrna dated January 1, 2001 and (c) Distribution Agreement between United Beverages of North Carolina and Company dated March 18, 2014, in each case of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through and including </w:t>
      </w:r>
      <w:r>
        <w:rPr>
          <w:rFonts w:ascii="Times New Roman" w:hAnsi="Times New Roman"/>
          <w:b/>
          <w:i/>
          <w:caps w:val="false"/>
          <w:smallCaps w:val="false"/>
          <w:sz w:val="20"/>
        </w:rPr>
        <w:t>(c)</w:t>
      </w:r>
      <w:r>
        <w:rPr>
          <w:rFonts w:ascii="Times New Roman" w:hAnsi="Times New Roman"/>
          <w:caps w:val="false"/>
          <w:smallCaps w:val="false"/>
          <w:sz w:val="20"/>
        </w:rPr>
        <w:t>, as may be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Maturity Date</w:t>
      </w:r>
      <w:r>
        <w:rPr>
          <w:rFonts w:ascii="Times New Roman" w:hAnsi="Times New Roman"/>
          <w:caps w:val="false"/>
          <w:smallCaps w:val="false"/>
          <w:sz w:val="20"/>
        </w:rPr>
        <w:t xml:space="preserve">” means June 30, 2028;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in each case, if such date is not a Business Day, the Maturity Date shall be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Minimum Collateral Amount</w:t>
      </w:r>
      <w:r>
        <w:rPr>
          <w:rFonts w:ascii="Times New Roman" w:hAnsi="Times New Roman"/>
          <w:caps w:val="false"/>
          <w:smallCaps w:val="false"/>
          <w:sz w:val="20"/>
        </w:rPr>
        <w:t>” means, at any time, (a) with respect to Cash Collateral consisting of cash or deposit account balances, an amount equal to 105% of the Fronting Exposure of the L/C Issuer with respect to Letters of Credit issued and outstanding at such time and (b) otherwise, an amount determined by the Administrative Agent and the L/C Issuer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Minimum Cure Amount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7.04(e)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Minimum TTM EBITDA Testing Period</w:t>
      </w:r>
      <w:r>
        <w:rPr>
          <w:rFonts w:ascii="Times New Roman" w:hAnsi="Times New Roman"/>
          <w:caps w:val="false"/>
          <w:smallCaps w:val="false"/>
          <w:sz w:val="20"/>
        </w:rPr>
        <w:t xml:space="preserve">” means the period from and including the Fifth Amendment Effective Date until the date that the Borrower has delivered a Compliance Certificate signed by the principal executive officer or the principal financial officer of Borrower setting forth in reasonable detail calculations demonstrating compliance with the financial covenants set forth in </w:t>
      </w:r>
      <w:r>
        <w:rPr>
          <w:rFonts w:ascii="Times New Roman" w:hAnsi="Times New Roman"/>
          <w:b/>
          <w:i/>
          <w:caps w:val="false"/>
          <w:smallCaps w:val="false"/>
          <w:sz w:val="20"/>
        </w:rPr>
        <w:t xml:space="preserve">Sections 7.04(a) </w:t>
      </w:r>
      <w:r>
        <w:rPr>
          <w:rFonts w:ascii="Times New Roman" w:hAnsi="Times New Roman"/>
          <w:caps w:val="false"/>
          <w:smallCaps w:val="false"/>
          <w:sz w:val="20"/>
        </w:rPr>
        <w:t xml:space="preserve">and </w:t>
      </w:r>
      <w:r>
        <w:rPr>
          <w:rFonts w:ascii="Times New Roman" w:hAnsi="Times New Roman"/>
          <w:b/>
          <w:i/>
          <w:caps w:val="false"/>
          <w:smallCaps w:val="false"/>
          <w:sz w:val="20"/>
        </w:rPr>
        <w:t>7.11(b)</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such end date may not occur prior to the date that the audited financial statements are delivered for the Fiscal Year ending May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Montauk</w:t>
      </w:r>
      <w:r>
        <w:rPr>
          <w:rFonts w:ascii="Times New Roman" w:hAnsi="Times New Roman"/>
          <w:caps w:val="false"/>
          <w:smallCaps w:val="false"/>
          <w:sz w:val="20"/>
        </w:rPr>
        <w:t>” means Montauk Brewing Company,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Montauk Contribution</w:t>
      </w:r>
      <w:r>
        <w:rPr>
          <w:rFonts w:ascii="Times New Roman" w:hAnsi="Times New Roman"/>
          <w:caps w:val="false"/>
          <w:smallCaps w:val="false"/>
          <w:sz w:val="20"/>
        </w:rPr>
        <w:t>” means the contribution of all of the Equity Interests of Montauk to the Borrower or another Subsidiary of the Borrower that is a Loan Party whereby Montauk shall be a direct or indirect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Moody</w:t>
      </w:r>
      <w:r>
        <w:rPr>
          <w:rFonts w:ascii="Times New Roman" w:hAnsi="Times New Roman"/>
          <w:caps w:val="false"/>
          <w:smallCaps w:val="false"/>
          <w:sz w:val="20"/>
        </w:rPr>
        <w:t>’</w:t>
      </w:r>
      <w:r>
        <w:rPr>
          <w:rFonts w:ascii="Times New Roman" w:hAnsi="Times New Roman"/>
          <w:b/>
          <w:i/>
          <w:caps w:val="false"/>
          <w:smallCaps w:val="false"/>
          <w:sz w:val="20"/>
        </w:rPr>
        <w:t>s</w:t>
      </w:r>
      <w:r>
        <w:rPr>
          <w:rFonts w:ascii="Times New Roman" w:hAnsi="Times New Roman"/>
          <w:caps w:val="false"/>
          <w:smallCaps w:val="false"/>
          <w:sz w:val="20"/>
        </w:rPr>
        <w:t>”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Mortgage</w:t>
      </w:r>
      <w:r>
        <w:rPr>
          <w:rFonts w:ascii="Times New Roman" w:hAnsi="Times New Roman"/>
          <w:caps w:val="false"/>
          <w:smallCaps w:val="false"/>
          <w:sz w:val="20"/>
        </w:rPr>
        <w:t>” or “</w:t>
      </w:r>
      <w:r>
        <w:rPr>
          <w:rFonts w:ascii="Times New Roman" w:hAnsi="Times New Roman"/>
          <w:b/>
          <w:i/>
          <w:caps w:val="false"/>
          <w:smallCaps w:val="false"/>
          <w:sz w:val="20"/>
        </w:rPr>
        <w:t>Mortgages</w:t>
      </w:r>
      <w:r>
        <w:rPr>
          <w:rFonts w:ascii="Times New Roman" w:hAnsi="Times New Roman"/>
          <w:caps w:val="false"/>
          <w:smallCaps w:val="false"/>
          <w:sz w:val="20"/>
        </w:rPr>
        <w:t>” means, individually and collectively, as the context requires, each of the fee or leasehold mortgages, deeds of trust, deeds and other similar security documents executed by a Loan Party that purport to grant a Lien to the Administrative Agent (or a trustee for the benefit of the Administrative Agent) for the benefit of the Secured Parties in any Mortgaged Properties,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Mortgaged Property Support Documents</w:t>
      </w:r>
      <w:r>
        <w:rPr>
          <w:rFonts w:ascii="Times New Roman" w:hAnsi="Times New Roman"/>
          <w:caps w:val="false"/>
          <w:smallCaps w:val="false"/>
          <w:sz w:val="20"/>
        </w:rPr>
        <w:t>” means, with respect to any real property subject to a Mortgage, the Administrative Agent shall have received, in form and substance satisfactory to the Administrative Agent and the Lenders a Mortgage, duly executed by the appropriate Loan Party,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evidence that counterparts of such Mortgage has been duly executed, acknowledged and delivered and is in form suitable for filing or recording in all filing or recording offices that the Administrative Agent may deem necessary or desirable in order to create a valid first and subsisting Lien on the property described therein in favor of the Administrative Agent for the benefit of the Secured Parties and that all filing, documentary, stamp, intangible and recording taxes and other fees in connection therewith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a fully paid American Land Title Association Lender’s Extended Coverage title insurance policy (the “</w:t>
      </w:r>
      <w:r>
        <w:rPr>
          <w:rFonts w:ascii="Times New Roman" w:hAnsi="Times New Roman"/>
          <w:b/>
          <w:i/>
          <w:caps w:val="false"/>
          <w:smallCaps w:val="false"/>
          <w:sz w:val="20"/>
        </w:rPr>
        <w:t>Mortgage Policy</w:t>
      </w:r>
      <w:r>
        <w:rPr>
          <w:rFonts w:ascii="Times New Roman" w:hAnsi="Times New Roman"/>
          <w:caps w:val="false"/>
          <w:smallCaps w:val="false"/>
          <w:sz w:val="20"/>
        </w:rPr>
        <w:t>”), with endorsements and in amounts acceptable to the Administrative Agent, issued, coinsured and reinsured by title insurers acceptable to the Administrative Agent, insuring the Mortgages to be valid first and subsisting Liens on the property described therein, free and clear of all Liens, other than Permitted Encumbrances, and providing for such other affirmative insurance and such coinsurance (or reinsurance with direct access) as the Administrative Agent may deem necessary or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an American Land Title Association/National Society of Professional Engineers form survey, for which all necessary fees (where applicable) have been paid, and dated no more than thirty (30) days before the day of the initial Credit Extension, certified to the Administrative Agent and the issuer of the Mortgage Policy in a manner satisfactory to the Administrative Agent by a land surveyor duly registered and licensed in the jurisdiction in which the Material Real Property is located and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on the request of the Administrative Agent, an engineering, environmental, soils or similar report from professional firms acceptable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230"/>
        <w:gridCol w:w="51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evidence of the insurance required by the terms of </w:t>
            </w:r>
            <w:r>
              <w:rPr>
                <w:rFonts w:ascii="Times New Roman" w:hAnsi="Times New Roman"/>
                <w:b/>
                <w:i/>
                <w:caps w:val="false"/>
                <w:smallCaps w:val="false"/>
                <w:sz w:val="20"/>
              </w:rPr>
              <w:t>Section 6.06</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a completed “Life-of-Loan” Federal Emergency Management Agency Standard Flood Hazard Determination, and, if such Material Real Property is located in a special flood hazard area, (1) a notice to (and confirmations of receipt by) the Borrower as to the existence of a special flood hazard and, if applicable, the availability of flood hazard insurance under the National Flood Insurance Program and (2) evidence of applicable flood insurance, if available, in each case in such form, on such terms and in such amounts as required by the Flood Insurance Laws or as otherwise required by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an appraisal of such real property complying with the requirements of the Federal Financial Institutions Reform, Recovery and Enforcement Act of 1989, which appraisals shall be from a Person acceptable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an opinion of local counsel as to the enforceability of the Mortgage and such other matters reasonably requested by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evidence that all other action that the Administrative Agent may deem necessary or desirable in order to create valid first and subsisting Liens on such real property has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Multiemployer Plan</w:t>
      </w:r>
      <w:r>
        <w:rPr>
          <w:rFonts w:ascii="Times New Roman" w:hAnsi="Times New Roman"/>
          <w:caps w:val="false"/>
          <w:smallCaps w:val="false"/>
          <w:sz w:val="20"/>
        </w:rPr>
        <w:t xml:space="preserve">” means any employee benefit plan of the type described in </w:t>
      </w:r>
      <w:r>
        <w:rPr>
          <w:rFonts w:ascii="Times New Roman" w:hAnsi="Times New Roman"/>
          <w:i/>
          <w:caps w:val="false"/>
          <w:smallCaps w:val="false"/>
          <w:sz w:val="20"/>
        </w:rPr>
        <w:t xml:space="preserve">Section 4001(a)(3) </w:t>
      </w:r>
      <w:r>
        <w:rPr>
          <w:rFonts w:ascii="Times New Roman" w:hAnsi="Times New Roman"/>
          <w:caps w:val="false"/>
          <w:smallCaps w:val="false"/>
          <w:sz w:val="20"/>
        </w:rPr>
        <w:t>of ERISA, to which the Borrower or any ERISA Affiliate makes or is obligated to make contributions, or during the preceding five (5) plan years, has made or been obligated to make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Multiple Employer Plan</w:t>
      </w:r>
      <w:r>
        <w:rPr>
          <w:rFonts w:ascii="Times New Roman" w:hAnsi="Times New Roman"/>
          <w:caps w:val="false"/>
          <w:smallCaps w:val="false"/>
          <w:sz w:val="20"/>
        </w:rPr>
        <w:t xml:space="preserve">” means a Plan which has two (2) or more contributing sponsors (including the Borrower or any ERISA Affiliate) at least two (2) of whom are not under common control, as such a plan is described in </w:t>
      </w:r>
      <w:r>
        <w:rPr>
          <w:rFonts w:ascii="Times New Roman" w:hAnsi="Times New Roman"/>
          <w:i/>
          <w:caps w:val="false"/>
          <w:smallCaps w:val="false"/>
          <w:sz w:val="20"/>
        </w:rPr>
        <w:t xml:space="preserve">Section 4064 </w:t>
      </w:r>
      <w:r>
        <w:rPr>
          <w:rFonts w:ascii="Times New Roman" w:hAnsi="Times New Roman"/>
          <w:caps w:val="false"/>
          <w:smallCaps w:val="false"/>
          <w:sz w:val="20"/>
        </w:rPr>
        <w:t>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Net Assets</w:t>
      </w:r>
      <w:r>
        <w:rPr>
          <w:rFonts w:ascii="Times New Roman" w:hAnsi="Times New Roman"/>
          <w:caps w:val="false"/>
          <w:smallCaps w:val="false"/>
          <w:sz w:val="20"/>
        </w:rPr>
        <w:t xml:space="preserve">” shall mean, as of any date, the total shareholders’ equity in the Loan Party Group Companies calculated as (a) the total assets of the Loan Party Group Companies, </w:t>
      </w:r>
      <w:r>
        <w:rPr>
          <w:rFonts w:ascii="Times New Roman" w:hAnsi="Times New Roman"/>
          <w:i/>
          <w:caps w:val="false"/>
          <w:smallCaps w:val="false"/>
          <w:sz w:val="20"/>
        </w:rPr>
        <w:t xml:space="preserve">minus </w:t>
      </w:r>
      <w:r>
        <w:rPr>
          <w:rFonts w:ascii="Times New Roman" w:hAnsi="Times New Roman"/>
          <w:caps w:val="false"/>
          <w:smallCaps w:val="false"/>
          <w:sz w:val="20"/>
        </w:rPr>
        <w:t xml:space="preserve">(b) the total liabilities of the Loan Party Group Companies, each as set forth on the consolidated balance sheet of the Loan Party Group Companies most recently delivered before that date under </w:t>
      </w:r>
      <w:r>
        <w:rPr>
          <w:rFonts w:ascii="Times New Roman" w:hAnsi="Times New Roman"/>
          <w:b/>
          <w:i/>
          <w:caps w:val="false"/>
          <w:smallCaps w:val="false"/>
          <w:sz w:val="20"/>
        </w:rPr>
        <w:t>Section 5.01(b)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Net Cash Proceeds</w:t>
      </w:r>
      <w:r>
        <w:rPr>
          <w:rFonts w:ascii="Times New Roman" w:hAnsi="Times New Roman"/>
          <w:caps w:val="false"/>
          <w:smallCaps w:val="false"/>
          <w:sz w:val="20"/>
        </w:rPr>
        <w:t>” means the aggregate cash or Cash Equivalents proceeds received by any Loan Party or any Subsidiary in respect of any Disposition, Debt Issuance or Recovery Event, net of</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direct costs incurred in connection therewith (including, without limitation, legal, accounting and investment banking fees and sales commissions), (b) taxes paid or payable as a result thereof, (c) in the case of any Disposition or any Recovery Event, the amount necessary to retire any Indebtedness secured by a Permitted Lien on the related property and (d) any reserve for adjustment in respect of (x) the sale price of the property that is subject to a Disposition established in accordance with GAAP and (y) any liabilities associated with such property and retained by any Loan Party Group Company after such Disposition, including pension and other post-employment benefit liabilities and liabilities related to environmental matters or against any indemnification obligations associated with such transaction; it being understood that “</w:t>
      </w:r>
      <w:r>
        <w:rPr>
          <w:rFonts w:ascii="Times New Roman" w:hAnsi="Times New Roman"/>
          <w:i/>
          <w:caps w:val="false"/>
          <w:smallCaps w:val="false"/>
          <w:sz w:val="20"/>
        </w:rPr>
        <w:t>Net Cash Proceeds</w:t>
      </w:r>
      <w:r>
        <w:rPr>
          <w:rFonts w:ascii="Times New Roman" w:hAnsi="Times New Roman"/>
          <w:caps w:val="false"/>
          <w:smallCaps w:val="false"/>
          <w:sz w:val="20"/>
        </w:rPr>
        <w:t>” shall include, without limitation, any cash or Cash Equivalents received upon the sale or other disposition of any non-cash consideration received by any Loan Party or any Subsidiary in any Disposition, Debt Issuance or Recovery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Non-Consenting Lender</w:t>
      </w:r>
      <w:r>
        <w:rPr>
          <w:rFonts w:ascii="Times New Roman" w:hAnsi="Times New Roman"/>
          <w:caps w:val="false"/>
          <w:smallCaps w:val="false"/>
          <w:sz w:val="20"/>
        </w:rPr>
        <w:t xml:space="preserve">” means any Lender that does not approve any consent, waiver or amendment that (a) requires the approval of all Lenders or all affected Lenders in accordance with the terms of </w:t>
      </w:r>
      <w:r>
        <w:rPr>
          <w:rFonts w:ascii="Times New Roman" w:hAnsi="Times New Roman"/>
          <w:b/>
          <w:i/>
          <w:caps w:val="false"/>
          <w:smallCaps w:val="false"/>
          <w:sz w:val="20"/>
        </w:rPr>
        <w:t xml:space="preserve">Section 11.01 </w:t>
      </w:r>
      <w:r>
        <w:rPr>
          <w:rFonts w:ascii="Times New Roman" w:hAnsi="Times New Roman"/>
          <w:caps w:val="false"/>
          <w:smallCaps w:val="false"/>
          <w:sz w:val="20"/>
        </w:rPr>
        <w:t>and (b) has been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Non-Defaulting Lender</w:t>
      </w:r>
      <w:r>
        <w:rPr>
          <w:rFonts w:ascii="Times New Roman" w:hAnsi="Times New Roman"/>
          <w:caps w:val="false"/>
          <w:smallCaps w:val="false"/>
          <w:sz w:val="20"/>
        </w:rPr>
        <w:t>” means, at any time, each Lender that is not a Defaulting Lender at such</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Non-Extension Notice Date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2.03(b)</w:t>
      </w:r>
      <w:r>
        <w:rPr>
          <w:rFonts w:ascii="Times New Roman" w:hAnsi="Times New Roman"/>
          <w:caps w:val="false"/>
          <w:smallCaps w:val="false"/>
          <w:sz w:val="20"/>
        </w:rPr>
        <w:t>. “</w:t>
      </w:r>
      <w:r>
        <w:rPr>
          <w:rFonts w:ascii="Times New Roman" w:hAnsi="Times New Roman"/>
          <w:b/>
          <w:i/>
          <w:caps w:val="false"/>
          <w:smallCaps w:val="false"/>
          <w:sz w:val="20"/>
        </w:rPr>
        <w:t>Note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2.11(a)</w:t>
      </w:r>
      <w:r>
        <w:rPr>
          <w:rFonts w:ascii="Times New Roman" w:hAnsi="Times New Roman"/>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Notice of Loan Prepayment</w:t>
      </w:r>
      <w:r>
        <w:rPr>
          <w:rFonts w:ascii="Times New Roman" w:hAnsi="Times New Roman"/>
          <w:caps w:val="false"/>
          <w:smallCaps w:val="false"/>
          <w:sz w:val="20"/>
        </w:rPr>
        <w:t xml:space="preserve">” means a notice of prepayment with respect to a Loan, which shall be substantially in the form of </w:t>
      </w:r>
      <w:r>
        <w:rPr>
          <w:rFonts w:ascii="Times New Roman" w:hAnsi="Times New Roman"/>
          <w:b/>
          <w:i/>
          <w:caps w:val="false"/>
          <w:smallCaps w:val="false"/>
          <w:sz w:val="20"/>
        </w:rPr>
        <w:t xml:space="preserve">Exhibit 2.05 </w:t>
      </w:r>
      <w:r>
        <w:rPr>
          <w:rFonts w:ascii="Times New Roman" w:hAnsi="Times New Roman"/>
          <w:caps w:val="false"/>
          <w:smallCaps w:val="false"/>
          <w:sz w:val="20"/>
        </w:rPr>
        <w:t>or such other form as may be approved by the Administrative Agent (including any form on an electronic platform or electronic transmission system as shall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by the Administrative Agent), appropriately completed and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NPL</w:t>
      </w:r>
      <w:r>
        <w:rPr>
          <w:rFonts w:ascii="Times New Roman" w:hAnsi="Times New Roman"/>
          <w:caps w:val="false"/>
          <w:smallCaps w:val="false"/>
          <w:sz w:val="20"/>
        </w:rPr>
        <w:t>” means the National Priorities List under CERCLA.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Obligations</w:t>
      </w:r>
      <w:r>
        <w:rPr>
          <w:rFonts w:ascii="Times New Roman" w:hAnsi="Times New Roman"/>
          <w:caps w:val="false"/>
          <w:smallCaps w:val="false"/>
          <w:sz w:val="20"/>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without limiting the foregoing, the Obligations of a Loan Party shall exclude any Excluded Swap Obligations with respect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OFAC</w:t>
      </w:r>
      <w:r>
        <w:rPr>
          <w:rFonts w:ascii="Times New Roman" w:hAnsi="Times New Roman"/>
          <w:caps w:val="false"/>
          <w:smallCaps w:val="false"/>
          <w:sz w:val="20"/>
        </w:rPr>
        <w:t>” means the Office of Foreign Assets Control of the United States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Organization Documents</w:t>
      </w:r>
      <w:r>
        <w:rPr>
          <w:rFonts w:ascii="Times New Roman" w:hAnsi="Times New Roman"/>
          <w:caps w:val="false"/>
          <w:smallCaps w:val="false"/>
          <w:sz w:val="20"/>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Other Connection Taxes</w:t>
      </w:r>
      <w:r>
        <w:rPr>
          <w:rFonts w:ascii="Times New Roman" w:hAnsi="Times New Roman"/>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Other Taxes</w:t>
      </w:r>
      <w:r>
        <w:rPr>
          <w:rFonts w:ascii="Times New Roman" w:hAnsi="Times New Roman"/>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b/>
          <w:i/>
          <w:caps w:val="false"/>
          <w:smallCaps w:val="false"/>
          <w:sz w:val="20"/>
        </w:rPr>
        <w:t>Section 3.06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Outbound Investment Rules</w:t>
      </w:r>
      <w:r>
        <w:rPr>
          <w:rFonts w:ascii="Times New Roman" w:hAnsi="Times New Roman"/>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Fifth Amendment Effective Date,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Outstanding Amount</w:t>
      </w:r>
      <w:r>
        <w:rPr>
          <w:rFonts w:ascii="Times New Roman" w:hAnsi="Times New Roman"/>
          <w:caps w:val="false"/>
          <w:smallCaps w:val="false"/>
          <w:sz w:val="20"/>
        </w:rPr>
        <w:t>” means (a) with respect to any Loans on any date, the aggregate outstanding principal amount thereof after giving effect to any Borrowings and prepayments or repayments of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PACE Financing</w:t>
      </w:r>
      <w:r>
        <w:rPr>
          <w:rFonts w:ascii="Times New Roman" w:hAnsi="Times New Roman"/>
          <w:caps w:val="false"/>
          <w:smallCaps w:val="false"/>
          <w:sz w:val="20"/>
        </w:rPr>
        <w:t>” means any property assessed clean energy financing or similar energy efficiency or renewable energy financing repaid through assessments against property (without regard to the name given to such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Parent Document Notice Period</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9.14(a)</w:t>
      </w:r>
      <w:r>
        <w:rPr>
          <w:rFonts w:ascii="Times New Roman" w:hAnsi="Times New Roman"/>
          <w:caps w:val="false"/>
          <w:smallCaps w:val="false"/>
          <w:sz w:val="20"/>
        </w:rPr>
        <w:t>. “</w:t>
      </w:r>
      <w:r>
        <w:rPr>
          <w:rFonts w:ascii="Times New Roman" w:hAnsi="Times New Roman"/>
          <w:b/>
          <w:i/>
          <w:caps w:val="false"/>
          <w:smallCaps w:val="false"/>
          <w:sz w:val="20"/>
        </w:rPr>
        <w:t>Participant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11.06(d)</w:t>
      </w:r>
      <w:r>
        <w:rPr>
          <w:rFonts w:ascii="Times New Roman" w:hAnsi="Times New Roman"/>
          <w:caps w:val="false"/>
          <w:smallCaps w:val="false"/>
          <w:sz w:val="20"/>
        </w:rPr>
        <w:t>.</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Participant Register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11.06(d)</w:t>
      </w:r>
      <w:r>
        <w:rPr>
          <w:rFonts w:ascii="Times New Roman" w:hAnsi="Times New Roman"/>
          <w:caps w:val="false"/>
          <w:smallCaps w:val="false"/>
          <w:sz w:val="20"/>
        </w:rPr>
        <w:t>. “</w:t>
      </w:r>
      <w:r>
        <w:rPr>
          <w:rFonts w:ascii="Times New Roman" w:hAnsi="Times New Roman"/>
          <w:b/>
          <w:i/>
          <w:caps w:val="false"/>
          <w:smallCaps w:val="false"/>
          <w:sz w:val="20"/>
        </w:rPr>
        <w:t>Patriot Act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11.19</w:t>
      </w:r>
      <w:r>
        <w:rPr>
          <w:rFonts w:ascii="Times New Roman" w:hAnsi="Times New Roman"/>
          <w:caps w:val="false"/>
          <w:smallCaps w:val="false"/>
          <w:sz w:val="20"/>
        </w:rPr>
        <w:t>.</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PBGC</w:t>
      </w:r>
      <w:r>
        <w:rPr>
          <w:rFonts w:ascii="Times New Roman" w:hAnsi="Times New Roman"/>
          <w:caps w:val="false"/>
          <w:smallCaps w:val="false"/>
          <w:sz w:val="20"/>
        </w:rPr>
        <w:t>” means the Pension Benefit Guaranty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Pension Funding Rules</w:t>
      </w:r>
      <w:r>
        <w:rPr>
          <w:rFonts w:ascii="Times New Roman" w:hAnsi="Times New Roman"/>
          <w:caps w:val="false"/>
          <w:smallCaps w:val="false"/>
          <w:sz w:val="20"/>
        </w:rPr>
        <w:t xml:space="preserve">” means the rules of the Code and ERISA regarding minimum funding standards with respect to Pension Plans and set forth in </w:t>
      </w:r>
      <w:r>
        <w:rPr>
          <w:rFonts w:ascii="Times New Roman" w:hAnsi="Times New Roman"/>
          <w:i/>
          <w:caps w:val="false"/>
          <w:smallCaps w:val="false"/>
          <w:sz w:val="20"/>
        </w:rPr>
        <w:t>Sections 412</w:t>
      </w:r>
      <w:r>
        <w:rPr>
          <w:rFonts w:ascii="Times New Roman" w:hAnsi="Times New Roman"/>
          <w:caps w:val="false"/>
          <w:smallCaps w:val="false"/>
          <w:sz w:val="20"/>
        </w:rPr>
        <w:t xml:space="preserve">, </w:t>
      </w:r>
      <w:r>
        <w:rPr>
          <w:rFonts w:ascii="Times New Roman" w:hAnsi="Times New Roman"/>
          <w:i/>
          <w:caps w:val="false"/>
          <w:smallCaps w:val="false"/>
          <w:sz w:val="20"/>
        </w:rPr>
        <w:t>430</w:t>
      </w:r>
      <w:r>
        <w:rPr>
          <w:rFonts w:ascii="Times New Roman" w:hAnsi="Times New Roman"/>
          <w:caps w:val="false"/>
          <w:smallCaps w:val="false"/>
          <w:sz w:val="20"/>
        </w:rPr>
        <w:t xml:space="preserve">, </w:t>
      </w:r>
      <w:r>
        <w:rPr>
          <w:rFonts w:ascii="Times New Roman" w:hAnsi="Times New Roman"/>
          <w:i/>
          <w:caps w:val="false"/>
          <w:smallCaps w:val="false"/>
          <w:sz w:val="20"/>
        </w:rPr>
        <w:t>431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432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436 </w:t>
      </w:r>
      <w:r>
        <w:rPr>
          <w:rFonts w:ascii="Times New Roman" w:hAnsi="Times New Roman"/>
          <w:caps w:val="false"/>
          <w:smallCaps w:val="false"/>
          <w:sz w:val="20"/>
        </w:rPr>
        <w:t xml:space="preserve">of the Code and </w:t>
      </w:r>
      <w:r>
        <w:rPr>
          <w:rFonts w:ascii="Times New Roman" w:hAnsi="Times New Roman"/>
          <w:i/>
          <w:caps w:val="false"/>
          <w:smallCaps w:val="false"/>
          <w:sz w:val="20"/>
        </w:rPr>
        <w:t>Sections 302</w:t>
      </w:r>
      <w:r>
        <w:rPr>
          <w:rFonts w:ascii="Times New Roman" w:hAnsi="Times New Roman"/>
          <w:caps w:val="false"/>
          <w:smallCaps w:val="false"/>
          <w:sz w:val="20"/>
        </w:rPr>
        <w:t xml:space="preserve">, </w:t>
      </w:r>
      <w:r>
        <w:rPr>
          <w:rFonts w:ascii="Times New Roman" w:hAnsi="Times New Roman"/>
          <w:i/>
          <w:caps w:val="false"/>
          <w:smallCaps w:val="false"/>
          <w:sz w:val="20"/>
        </w:rPr>
        <w:t>303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304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305 </w:t>
      </w:r>
      <w:r>
        <w:rPr>
          <w:rFonts w:ascii="Times New Roman" w:hAnsi="Times New Roman"/>
          <w:caps w:val="false"/>
          <w:smallCaps w:val="false"/>
          <w:sz w:val="20"/>
        </w:rPr>
        <w:t>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Pension Plan</w:t>
      </w:r>
      <w:r>
        <w:rPr>
          <w:rFonts w:ascii="Times New Roman" w:hAnsi="Times New Roman"/>
          <w:caps w:val="false"/>
          <w:smallCaps w:val="false"/>
          <w:sz w:val="20"/>
        </w:rPr>
        <w:t xml:space="preserve">”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w:t>
      </w:r>
      <w:r>
        <w:rPr>
          <w:rFonts w:ascii="Times New Roman" w:hAnsi="Times New Roman"/>
          <w:i/>
          <w:caps w:val="false"/>
          <w:smallCaps w:val="false"/>
          <w:sz w:val="20"/>
        </w:rPr>
        <w:t xml:space="preserve">Title IV </w:t>
      </w:r>
      <w:r>
        <w:rPr>
          <w:rFonts w:ascii="Times New Roman" w:hAnsi="Times New Roman"/>
          <w:caps w:val="false"/>
          <w:smallCaps w:val="false"/>
          <w:sz w:val="20"/>
        </w:rPr>
        <w:t xml:space="preserve">of ERISA or is subject to the minimum funding standards under </w:t>
      </w:r>
      <w:r>
        <w:rPr>
          <w:rFonts w:ascii="Times New Roman" w:hAnsi="Times New Roman"/>
          <w:i/>
          <w:caps w:val="false"/>
          <w:smallCaps w:val="false"/>
          <w:sz w:val="20"/>
        </w:rPr>
        <w:t xml:space="preserve">Section 412 </w:t>
      </w:r>
      <w:r>
        <w:rPr>
          <w:rFonts w:ascii="Times New Roman" w:hAnsi="Times New Roman"/>
          <w:caps w:val="false"/>
          <w:smallCaps w:val="false"/>
          <w:sz w:val="20"/>
        </w:rPr>
        <w:t>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Permitted Acquisition</w:t>
      </w:r>
      <w:r>
        <w:rPr>
          <w:rFonts w:ascii="Times New Roman" w:hAnsi="Times New Roman"/>
          <w:caps w:val="false"/>
          <w:smallCaps w:val="false"/>
          <w:sz w:val="20"/>
        </w:rPr>
        <w:t xml:space="preserve">” means an Investment with Internally Generated Cash consisting of an Acquisition by any Loan Party, with respect to which all of the following criteria are satisfied (except to the extent (I) otherwise agreed in writing by the Required Lenders in their discretion, or (II) Acquisitions in respect of which (A) the aggregate consideration for all such Acquisitions in any Fiscal Year of the Borrower does not exceed $5,000,000, and (B) the conditions in </w:t>
      </w:r>
      <w:r>
        <w:rPr>
          <w:rFonts w:ascii="Times New Roman" w:hAnsi="Times New Roman"/>
          <w:b/>
          <w:i/>
          <w:caps w:val="false"/>
          <w:smallCaps w:val="false"/>
          <w:sz w:val="20"/>
        </w:rPr>
        <w:t>clauses (b)</w:t>
      </w:r>
      <w:r>
        <w:rPr>
          <w:rFonts w:ascii="Times New Roman" w:hAnsi="Times New Roman"/>
          <w:caps w:val="false"/>
          <w:smallCaps w:val="false"/>
          <w:sz w:val="20"/>
        </w:rPr>
        <w:t xml:space="preserve">, </w:t>
      </w:r>
      <w:r>
        <w:rPr>
          <w:rFonts w:ascii="Times New Roman" w:hAnsi="Times New Roman"/>
          <w:b/>
          <w:i/>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w:t>
      </w:r>
      <w:r>
        <w:rPr>
          <w:rFonts w:ascii="Times New Roman" w:hAnsi="Times New Roman"/>
          <w:caps w:val="false"/>
          <w:smallCaps w:val="false"/>
          <w:sz w:val="20"/>
        </w:rPr>
        <w:t xml:space="preserve">, </w:t>
      </w:r>
      <w:r>
        <w:rPr>
          <w:rFonts w:ascii="Times New Roman" w:hAnsi="Times New Roman"/>
          <w:b/>
          <w:i/>
          <w:caps w:val="false"/>
          <w:smallCaps w:val="false"/>
          <w:sz w:val="20"/>
        </w:rPr>
        <w:t>(f)</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(g)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(h) </w:t>
      </w:r>
      <w:r>
        <w:rPr>
          <w:rFonts w:ascii="Times New Roman" w:hAnsi="Times New Roman"/>
          <w:caps w:val="false"/>
          <w:smallCaps w:val="false"/>
          <w:sz w:val="20"/>
        </w:rPr>
        <w:t xml:space="preserve">below are satisfied), and, where applicable, subject to </w:t>
      </w:r>
      <w:r>
        <w:rPr>
          <w:rFonts w:ascii="Times New Roman" w:hAnsi="Times New Roman"/>
          <w:b/>
          <w:i/>
          <w:caps w:val="false"/>
          <w:smallCaps w:val="false"/>
          <w:sz w:val="20"/>
        </w:rPr>
        <w:t xml:space="preserve">Section 1.09 </w:t>
      </w:r>
      <w:r>
        <w:rPr>
          <w:rFonts w:ascii="Times New Roman" w:hAnsi="Times New Roman"/>
          <w:caps w:val="false"/>
          <w:smallCaps w:val="false"/>
          <w:sz w:val="20"/>
        </w:rPr>
        <w:t>with respect to a Limited Condition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Borrower shall have furnished to the Administrative Agent and Lenders at least ten (10) Business Days (or such shorter period as the Administrative Agent may agree in its sole discretion) prior to the consummation of such Acquisition (i) a summary setting forth in reasonable detail the terms and conditions of such Acquisition and, notwithstanding the ten (10) Business Day requirement set forth above, when to the extent available, draft copies of the primary documents related to such Acquisition is to be consummated and, as soon as available, signed acquisition documents (including, without limitation, any related management, non-compete, employment, option or other material agreements), any schedules to such agreements, documents or instruments and all other material ancillary agreements, instruments and documents executed or delivered in connection therewith, (ii) </w:t>
      </w:r>
      <w:r>
        <w:rPr>
          <w:rFonts w:ascii="Times New Roman" w:hAnsi="Times New Roman"/>
          <w:i/>
          <w:caps w:val="false"/>
          <w:smallCaps w:val="false"/>
          <w:sz w:val="20"/>
        </w:rPr>
        <w:t xml:space="preserve">pro forma </w:t>
      </w:r>
      <w:r>
        <w:rPr>
          <w:rFonts w:ascii="Times New Roman" w:hAnsi="Times New Roman"/>
          <w:caps w:val="false"/>
          <w:smallCaps w:val="false"/>
          <w:sz w:val="20"/>
        </w:rPr>
        <w:t xml:space="preserve">financial statements of the Loan Party Group Companies after giving effect to the consummation of such Acquisition, (iii) a certificate of a Responsible Officer of the Borrower demonstrating compliance with the financial covenants set forth in </w:t>
      </w:r>
      <w:r>
        <w:rPr>
          <w:rFonts w:ascii="Times New Roman" w:hAnsi="Times New Roman"/>
          <w:b/>
          <w:i/>
          <w:caps w:val="false"/>
          <w:smallCaps w:val="false"/>
          <w:sz w:val="20"/>
        </w:rPr>
        <w:t xml:space="preserve">Section 7.04 </w:t>
      </w:r>
      <w:r>
        <w:rPr>
          <w:rFonts w:ascii="Times New Roman" w:hAnsi="Times New Roman"/>
          <w:caps w:val="false"/>
          <w:smallCaps w:val="false"/>
          <w:sz w:val="20"/>
        </w:rPr>
        <w:t xml:space="preserve">on a Pro Forma Basis after giving effect to the consummation of such Acquisition and any Credit Extension in connection therewith, and (iv) within the time period required by </w:t>
      </w:r>
      <w:r>
        <w:rPr>
          <w:rFonts w:ascii="Times New Roman" w:hAnsi="Times New Roman"/>
          <w:b/>
          <w:i/>
          <w:caps w:val="false"/>
          <w:smallCaps w:val="false"/>
          <w:sz w:val="20"/>
        </w:rPr>
        <w:t>Section 6.13</w:t>
      </w:r>
      <w:r>
        <w:rPr>
          <w:rFonts w:ascii="Times New Roman" w:hAnsi="Times New Roman"/>
          <w:caps w:val="false"/>
          <w:smallCaps w:val="false"/>
          <w:sz w:val="20"/>
        </w:rPr>
        <w:t xml:space="preserve">, the Loan Documents required by </w:t>
      </w:r>
      <w:r>
        <w:rPr>
          <w:rFonts w:ascii="Times New Roman" w:hAnsi="Times New Roman"/>
          <w:b/>
          <w:i/>
          <w:caps w:val="false"/>
          <w:smallCaps w:val="false"/>
          <w:sz w:val="20"/>
        </w:rPr>
        <w:t>Section 6.13</w:t>
      </w:r>
      <w:r>
        <w:rPr>
          <w:rFonts w:ascii="Times New Roman" w:hAnsi="Times New Roman"/>
          <w:caps w:val="false"/>
          <w:smallCaps w:val="false"/>
          <w:sz w:val="20"/>
        </w:rPr>
        <w:t>, including a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assignment of the seller’s representations, warranties and indemnities any Loan Party or any Subsidiary under the Acquisition Documents (such collateral assignment to be provided on a commercially reasonable efforts basis if the consideration for such Acquisition is not satisfied wholly or partly, directly or indirectly, by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such Person and each of its Subsidiaries (i) is engaged in the craft alcohol or spirits and beverage production or distribution business and other business reasonably related thereto; provided such related business (y) does not violate any Laws of the United States and (z) is not in violation of </w:t>
      </w:r>
      <w:r>
        <w:rPr>
          <w:rFonts w:ascii="Times New Roman" w:hAnsi="Times New Roman"/>
          <w:b/>
          <w:i/>
          <w:caps w:val="false"/>
          <w:smallCaps w:val="false"/>
          <w:sz w:val="20"/>
        </w:rPr>
        <w:t>Section 7.05</w:t>
      </w:r>
      <w:r>
        <w:rPr>
          <w:rFonts w:ascii="Times New Roman" w:hAnsi="Times New Roman"/>
          <w:caps w:val="false"/>
          <w:smallCaps w:val="false"/>
          <w:sz w:val="20"/>
        </w:rPr>
        <w:t>, and (ii) constituted and has its principal place of business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such Acquisition shall not be an Acquisition of the Equity Interests of a Person through a tender offer or similar solicitation of the owners of such Equity Interests which has not been approved (prior to such Acquisition) by resolutions of the board of directors of such Person (or by similar action if such Person is not a corporation) or if such approval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in the case of a share purchase, (i) immediately thereafter such Person will be a wholly-owned Subsidiary of or merged with a Loan Party Group Company in accordance with this Agreement, and (ii) upon the completion of such Acquisition (A) all Indebtedness (except Indebtedness permitted by this Agreement) of such Person shall be repaid and all Liens (except Liens that will constitute Permitted Liens hereunder) affecting the assets of such Person shall be released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in the case of an asset purchase, (i) upon the completion of such transaction, all Indebtedness (except Indebtedness permitted by this Agreement) secured by the acquired assets shall be repaid and all Liens (except Liens that will constitute Permitted Liens hereunder) affecting such assets shall be released and discharged; and (ii) and within forty-five (45) days following the completion of such transaction (or such later date as the Administrative Agent shall agree) all Collateral required herein to be provided to the Administrative Agent in respect of such assets (including registrations, searches, legal opinions and ancillary documentation) shall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the aggregate cash and non-cash consideration (including any assumption of Indebtedness, deferred purchase price and any earn-out obligations, but excluding any equity consideration) paid by any Loan Party shall not exceed (i) with respect to any individual Acquisition $30,000,000, and (ii) with respect to all Acquisitions consummated during the term of this Agreement, $60,000,000;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such Acquisition does not involve the assumption of any material environmental liabilities, and all representations and warranties contained herein with respect to environmental matters shall be true and correct both immediately before and immediately after such Acquisition the Borrower shall deliver a Compliance Certificate evidencing that it is in compliance in all material respects with all covenants and representations and warranties under this Agreement and will remain in compliance in all material respects after giving effect to such acquisition;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no Default or Event of Default is continuing on the closing date of the Acquisition or would occur as a result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Permitted Encumbrances</w:t>
      </w:r>
      <w:r>
        <w:rPr>
          <w:rFonts w:ascii="Times New Roman" w:hAnsi="Times New Roman"/>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Liens for taxes, assessments or governmental charges or levies which are not required to be paid pursuant to </w:t>
      </w:r>
      <w:r>
        <w:rPr>
          <w:rFonts w:ascii="Times New Roman" w:hAnsi="Times New Roman"/>
          <w:b/>
          <w:i/>
          <w:caps w:val="false"/>
          <w:smallCaps w:val="false"/>
          <w:sz w:val="20"/>
        </w:rPr>
        <w:t>Section 6.04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Liens imposed by law, which do not secure Indebtedness for borrowed money, such as carriers,’ warehousemen’s, materialmen’s and mechanics’ liens and other similar Liens, in each case, arising in the ordinary course of business, and (i) which do not in the aggregate materially detract from the value of any Loan Party’s or such Subsidiary’s property or assets or materially impair the use thereof in the operation of the business of the Loan Parties or such Subsidiary or (ii) which are being contested in good faith by appropriate proceedings, which proceedings have the effect of preventing the forfeiture or sale of the property or assets subject to any such Lien and with respect to which adequate reserves are being maintained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Liens (other than Liens imposed under ERISA) incurred in the ordinary course of business in connection with workers compensation claims, unemployment insurance and social security benefits and Liens securing the performance of bids, tenders, public utilities or private utilities, leases and contracts in the ordinary course of business, statutory obligations, surety or appeal bonds, performance bonds and other obligations of a like nature incurred in the ordinary course of business (exclusive of obligations in respect of the payment for borrowed money), and obligations in respect of letters of credit or bank guaranties that have been posted to support payment of the Liens described in this </w:t>
      </w:r>
      <w:r>
        <w:rPr>
          <w:rFonts w:ascii="Times New Roman" w:hAnsi="Times New Roman"/>
          <w:b/>
          <w:i/>
          <w:caps w:val="false"/>
          <w:smallCaps w:val="false"/>
          <w:sz w:val="20"/>
        </w:rPr>
        <w:t>clause (c)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attachment and judgment Liens in respect of decrees and judgments to the extent, and for so long as, such judgments and decrees do not, individually or in the aggregate constitute an Event of Default under </w:t>
      </w:r>
      <w:r>
        <w:rPr>
          <w:rFonts w:ascii="Times New Roman" w:hAnsi="Times New Roman"/>
          <w:b/>
          <w:i/>
          <w:caps w:val="false"/>
          <w:smallCaps w:val="false"/>
          <w:sz w:val="20"/>
        </w:rPr>
        <w:t>Section 8.01(h)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any interest or title of a lessor or sublessor under any lease of real estate or personal property permitted hereunder, in each case, only to such real estate or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non-exclusive licenses or sublicenses of patents, trademarks, copyrights and other intellectual property rights granted by the Loan Parties in the ordinary course of business and not interfering in any material respect with the ordinary conduct of the business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(i) bankers’ Liens, rights of setoff and other similar Liens existing solely with respect to cash and Cash Equivalents on deposit in one (1) or more accounts maintained by any Loan Party Group Company, in each case granted in the ordinary course of business in favor of the bank or banks with which such accounts are maintained, (ii) Liens of a collection bank arising under </w:t>
      </w:r>
      <w:r>
        <w:rPr>
          <w:rFonts w:ascii="Times New Roman" w:hAnsi="Times New Roman"/>
          <w:i/>
          <w:caps w:val="false"/>
          <w:smallCaps w:val="false"/>
          <w:sz w:val="20"/>
        </w:rPr>
        <w:t xml:space="preserve">Section 4-210 </w:t>
      </w:r>
      <w:r>
        <w:rPr>
          <w:rFonts w:ascii="Times New Roman" w:hAnsi="Times New Roman"/>
          <w:caps w:val="false"/>
          <w:smallCaps w:val="false"/>
          <w:sz w:val="20"/>
        </w:rPr>
        <w:t>of the UCC on items in the course of collection and (iii) Liens that are contractual rights of setoff or rights of pledge relating to purchase orders and other agreements entered into by any Loan Party Group Company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purported Liens evidenced by the filing of precautionary UCC financing statements relating solely to operating leases of personal property entered into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Liens arising out of any conditional sale, title retention, consignment or other similar arrangements for the sale of goods entered into by any Loan Party or any Subsidiary in the ordinary course of business to the extent such Liens do not attach to any assets other than the goods subject to such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(j)    other Liens or matters approved by the Administrative Agent in any policy of title insurance issued in connection with any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(k)    easements, zoning restrictions, rights-of-way, licenses, covenants, other imperfections of title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Loan Party Group Companies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(l)    Liens placed upon or suffered by the landlord with respect to the underlying fee estate of any leasehold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(m)    Liens on specific items of inventory or other goods and proceeds thereof securing obligations in respect of documentary letters of credit or banker’s acceptances issued or created to facilitate the purchase, shipment or storage of such inventory or such other goods;</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245"/>
        <w:gridCol w:w="37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 that are contractual rights of set-off;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(o)    any pledge or deposit securing any settlement of litigation, in an aggregate amount not to exceed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Permitted Liens</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 7.01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Permitted Tax Distributions</w:t>
      </w:r>
      <w:r>
        <w:rPr>
          <w:rFonts w:ascii="Times New Roman" w:hAnsi="Times New Roman"/>
          <w:caps w:val="false"/>
          <w:smallCaps w:val="false"/>
          <w:sz w:val="20"/>
        </w:rPr>
        <w:t>” shall mean tax distributions by a Loan Party (so long as such Loan Party is treated as a pass-through or disregarded entity) to its members for the immediately preceding fiscal quarter in an amount not to exceed the lesser of (i) available cash as reasonably determined by such Loan Party in good faith, and (ii) the product of (x) the net taxable income of such Loan Party, if positive, for such immediately preceding fiscal quarter, determined by taking into account any basis adjustments under Sections 734, 743 or 754 of the Code and (y) the sum of the maximum federal, state and local income tax rates (including pursuant to Section 1411 of the Code), reduced by any deduction or credit allowable for state and local taxes and the amount of federal, state or local taxes withheld by such Loan Party on behalf of its members, and reflecting any reduced rate applicable to any special class of income that is in effect for such immediately preceding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Permitted Transfers</w:t>
      </w:r>
      <w:r>
        <w:rPr>
          <w:rFonts w:ascii="Times New Roman" w:hAnsi="Times New Roman"/>
          <w:caps w:val="false"/>
          <w:smallCaps w:val="false"/>
          <w:sz w:val="20"/>
        </w:rPr>
        <w:t>” means (a) Dispositions of inventory in the ordinary course of business;</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 Dispositions of property to a Loan Party or any Subsidiary; </w:t>
      </w:r>
      <w:r>
        <w:rPr>
          <w:rFonts w:ascii="Times New Roman" w:hAnsi="Times New Roman"/>
          <w:i/>
          <w:caps w:val="false"/>
          <w:smallCaps w:val="false"/>
          <w:sz w:val="20"/>
        </w:rPr>
        <w:t>provided</w:t>
      </w:r>
      <w:r>
        <w:rPr>
          <w:rFonts w:ascii="Times New Roman" w:hAnsi="Times New Roman"/>
          <w:caps w:val="false"/>
          <w:smallCaps w:val="false"/>
          <w:sz w:val="20"/>
        </w:rPr>
        <w:t>, that if the transferor of such property is a Loan Party then the transferee thereof must be a Loan Party; (c) Dispositions of accounts receivable in connection with the collection or compromise thereof; (d) licenses, sublicenses, leases or subleases granted to others not interfering in any material respect with the business of the Loan Parties and their Subsidiaries; (e) the sale or disposition of Cash Equivalents for fair market value in the ordinary course of business; (f) the disposition of shares of Equity Interests of any Subsidiary in order to qualify members of the governing body of such Subsidiary if required by applicable Law; (g) the abandonment of IP Rights in the ordinary course of business which, in the reasonable good faith determination of the Borrower, are no longer used or useful to the business of Loan Parties and their Subsidiaries; (h) any termination of any lease in the ordinary course of business, and (i) any expiration of any option agreement in respect of real or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Plan</w:t>
      </w:r>
      <w:r>
        <w:rPr>
          <w:rFonts w:ascii="Times New Roman" w:hAnsi="Times New Roman"/>
          <w:caps w:val="false"/>
          <w:smallCaps w:val="false"/>
          <w:sz w:val="20"/>
        </w:rPr>
        <w:t xml:space="preserve">” means any employee benefit plan within the meaning of </w:t>
      </w:r>
      <w:r>
        <w:rPr>
          <w:rFonts w:ascii="Times New Roman" w:hAnsi="Times New Roman"/>
          <w:i/>
          <w:caps w:val="false"/>
          <w:smallCaps w:val="false"/>
          <w:sz w:val="20"/>
        </w:rPr>
        <w:t xml:space="preserve">Section 3(3) </w:t>
      </w:r>
      <w:r>
        <w:rPr>
          <w:rFonts w:ascii="Times New Roman" w:hAnsi="Times New Roman"/>
          <w:caps w:val="false"/>
          <w:smallCaps w:val="false"/>
          <w:sz w:val="20"/>
        </w:rPr>
        <w:t>of ERISA (including a Pension Plan), maintained for employees of the Borrower or any ERISA Affiliate or any such Plan to which the Borrower or any ERISA Affiliate is required to contribute on behalf of any of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Platform</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6.01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Pro Forma Basis</w:t>
      </w:r>
      <w:r>
        <w:rPr>
          <w:rFonts w:ascii="Times New Roman" w:hAnsi="Times New Roman"/>
          <w:caps w:val="false"/>
          <w:smallCaps w:val="false"/>
          <w:sz w:val="20"/>
        </w:rPr>
        <w:t>” and “</w:t>
      </w:r>
      <w:r>
        <w:rPr>
          <w:rFonts w:ascii="Times New Roman" w:hAnsi="Times New Roman"/>
          <w:b/>
          <w:i/>
          <w:caps w:val="false"/>
          <w:smallCaps w:val="false"/>
          <w:sz w:val="20"/>
        </w:rPr>
        <w:t>Pro Forma Effect</w:t>
      </w:r>
      <w:r>
        <w:rPr>
          <w:rFonts w:ascii="Times New Roman" w:hAnsi="Times New Roman"/>
          <w:caps w:val="false"/>
          <w:smallCaps w:val="false"/>
          <w:sz w:val="20"/>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 w:hAnsi="Times New Roman"/>
          <w:b/>
          <w:i/>
          <w:caps w:val="false"/>
          <w:smallCaps w:val="false"/>
          <w:sz w:val="20"/>
        </w:rPr>
        <w:t>Section 7.04</w:t>
      </w:r>
      <w:r>
        <w:rPr>
          <w:rFonts w:ascii="Times New Roman" w:hAnsi="Times New Roman"/>
          <w:caps w:val="false"/>
          <w:smallCaps w:val="false"/>
          <w:sz w:val="20"/>
        </w:rPr>
        <w:t xml:space="preserve">, each such transaction or proposed transaction shall be deemed to have occurred on and as of the first day of the relevant four Fiscal Quarter period, and the following </w:t>
      </w:r>
      <w:r>
        <w:rPr>
          <w:rFonts w:ascii="Times New Roman" w:hAnsi="Times New Roman"/>
          <w:i/>
          <w:caps w:val="false"/>
          <w:smallCaps w:val="false"/>
          <w:sz w:val="20"/>
        </w:rPr>
        <w:t xml:space="preserve">pro forma </w:t>
      </w:r>
      <w:r>
        <w:rPr>
          <w:rFonts w:ascii="Times New Roman" w:hAnsi="Times New Roman"/>
          <w:caps w:val="false"/>
          <w:smallCaps w:val="false"/>
          <w:sz w:val="20"/>
        </w:rPr>
        <w:t>adjustments shall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in the case of an actual or proposed Disposition, all income statement items (whether positive or negative) attributable to the line of business or the Person subject to such Disposition shall be excluded from the results of the Loan Parties and their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in the case of an actual or proposed Acquisition, income statement items (whether positive or negative) attributable to the property, line of business or the Person subject to such Acquisition shall be included in the results of the Loan Parties and their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interest accrued during the relevant period on, and the principal of, any Indebtedness repaid or to be repaid or refinanced in such transaction shall be excluded from the results of the Loan Parties and their Subsidiaries for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any Indebtedness actually or proposed to be incurred or assumed in such transaction shall be deemed to have been incurred as of the first day of the applicable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Loan Parties and their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Property Licenses</w:t>
      </w:r>
      <w:r>
        <w:rPr>
          <w:rFonts w:ascii="Times New Roman" w:hAnsi="Times New Roman"/>
          <w:caps w:val="false"/>
          <w:smallCaps w:val="false"/>
          <w:sz w:val="20"/>
        </w:rPr>
        <w:t>” means (a) that certain License Agreement dated as of January 31, 2024 by and among ABC Beverages Properties, LLC and American Beverage Crafts, LLC regarding the use of leased real property currently used by 10 Barrell Brewing, LLC, (b) that certain License Agreement dated as of January 31, 2024 by and among ABC Beverages Properties, LLC and American Beverage Crafts, LLC regarding the use of leased real property currently used by Blue Point Brewing Company, Inc. and (c) that certain License Agreement dated as of January 31, 2024 by and among ABC Beverages Properties, LLC and American Beverage Crafts, LLC regarding the use of leased real property located at 714 East Pike Street, Seattle,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PTE</w:t>
      </w:r>
      <w:r>
        <w:rPr>
          <w:rFonts w:ascii="Times New Roman" w:hAnsi="Times New Roman"/>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Public Lender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6.01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QFC</w:t>
      </w:r>
      <w:r>
        <w:rPr>
          <w:rFonts w:ascii="Times New Roman" w:hAnsi="Times New Roman"/>
          <w:caps w:val="false"/>
          <w:smallCaps w:val="false"/>
          <w:sz w:val="20"/>
        </w:rPr>
        <w:t>” has the meaning assigned to the term “</w:t>
      </w:r>
      <w:r>
        <w:rPr>
          <w:rFonts w:ascii="Times New Roman" w:hAnsi="Times New Roman"/>
          <w:i/>
          <w:caps w:val="false"/>
          <w:smallCaps w:val="false"/>
          <w:sz w:val="20"/>
        </w:rPr>
        <w:t>qualified financial contract</w:t>
      </w:r>
      <w:r>
        <w:rPr>
          <w:rFonts w:ascii="Times New Roman" w:hAnsi="Times New Roman"/>
          <w:caps w:val="false"/>
          <w:smallCaps w:val="false"/>
          <w:sz w:val="20"/>
        </w:rPr>
        <w: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QFC Credit Support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w:t>
      </w:r>
      <w:r>
        <w:rPr>
          <w:rFonts w:ascii="Times New Roman" w:hAnsi="Times New Roman"/>
          <w:b/>
          <w:i/>
          <w:caps w:val="false"/>
          <w:smallCaps w:val="false"/>
          <w:sz w:val="20"/>
        </w:rPr>
        <w:t>Qualified ECP Guarantor</w:t>
      </w:r>
      <w:r>
        <w:rPr>
          <w:rFonts w:ascii="Times New Roman" w:hAnsi="Times New Roman"/>
          <w:caps w:val="false"/>
          <w:smallCaps w:val="false"/>
          <w:sz w:val="20"/>
        </w:rPr>
        <w:t>” means, at any time, each Loan Party with total assets exceeding</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$10,000,000 or that qualifies at such time as an “</w:t>
      </w:r>
      <w:r>
        <w:rPr>
          <w:rFonts w:ascii="Times New Roman" w:hAnsi="Times New Roman"/>
          <w:i/>
          <w:caps w:val="false"/>
          <w:smallCaps w:val="false"/>
          <w:sz w:val="20"/>
        </w:rPr>
        <w:t>eligible contract participant</w:t>
      </w:r>
      <w:r>
        <w:rPr>
          <w:rFonts w:ascii="Times New Roman" w:hAnsi="Times New Roman"/>
          <w:caps w:val="false"/>
          <w:smallCaps w:val="false"/>
          <w:sz w:val="20"/>
        </w:rPr>
        <w:t>” under the Commodity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Exchange Act and can cause another Person to qualify as an “</w:t>
      </w:r>
      <w:r>
        <w:rPr>
          <w:rFonts w:ascii="Times New Roman" w:hAnsi="Times New Roman"/>
          <w:i/>
          <w:caps w:val="false"/>
          <w:smallCaps w:val="false"/>
          <w:sz w:val="20"/>
        </w:rPr>
        <w:t>eligible contract participant</w:t>
      </w:r>
      <w:r>
        <w:rPr>
          <w:rFonts w:ascii="Times New Roman" w:hAnsi="Times New Roman"/>
          <w:caps w:val="false"/>
          <w:smallCaps w:val="false"/>
          <w:sz w:val="20"/>
        </w:rPr>
        <w:t xml:space="preserve">” at such time under </w:t>
      </w:r>
      <w:r>
        <w:rPr>
          <w:rFonts w:ascii="Times New Roman" w:hAnsi="Times New Roman"/>
          <w:i/>
          <w:caps w:val="false"/>
          <w:smallCaps w:val="false"/>
          <w:sz w:val="20"/>
        </w:rPr>
        <w:t xml:space="preserve">Section 1a(18)(A)(v)(II) </w:t>
      </w:r>
      <w:r>
        <w:rPr>
          <w:rFonts w:ascii="Times New Roman" w:hAnsi="Times New Roman"/>
          <w:caps w:val="false"/>
          <w:smallCaps w:val="false"/>
          <w:sz w:val="20"/>
        </w:rPr>
        <w:t>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Recipient</w:t>
      </w:r>
      <w:r>
        <w:rPr>
          <w:rFonts w:ascii="Times New Roman" w:hAnsi="Times New Roman"/>
          <w:caps w:val="false"/>
          <w:smallCaps w:val="false"/>
          <w:sz w:val="20"/>
        </w:rPr>
        <w:t>” means the Administrative Agent, any Lender, the L/C Issuer or any other recipient of any payment to be made by or on account of any obligation of any Loan Party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Recovery Event</w:t>
      </w:r>
      <w:r>
        <w:rPr>
          <w:rFonts w:ascii="Times New Roman" w:hAnsi="Times New Roman"/>
          <w:caps w:val="false"/>
          <w:smallCaps w:val="false"/>
          <w:sz w:val="20"/>
        </w:rPr>
        <w:t>” means any loss of, damage to or destruction of, or any condemnation or other taking for public use of, any property of any Loan Party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Register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11.06(c)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Regulation U</w:t>
      </w:r>
      <w:r>
        <w:rPr>
          <w:rFonts w:ascii="Times New Roman" w:hAnsi="Times New Roman"/>
          <w:caps w:val="false"/>
          <w:smallCaps w:val="false"/>
          <w:sz w:val="20"/>
        </w:rPr>
        <w:t>” means Regulation U of the FRB,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Related Parties</w:t>
      </w:r>
      <w:r>
        <w:rPr>
          <w:rFonts w:ascii="Times New Roman" w:hAnsi="Times New Roman"/>
          <w:caps w:val="false"/>
          <w:smallCaps w:val="false"/>
          <w:sz w:val="20"/>
        </w:rPr>
        <w:t>” 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Release</w:t>
      </w:r>
      <w:r>
        <w:rPr>
          <w:rFonts w:ascii="Times New Roman" w:hAnsi="Times New Roman"/>
          <w:caps w:val="false"/>
          <w:smallCaps w:val="false"/>
          <w:sz w:val="20"/>
        </w:rPr>
        <w:t>” means any release, spill, emission, discharge, deposit, disposal, leaking, pumping, pouring, dumping, emptying, injection or leaching into the Environment, or into, from or through any building, structure or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Remedial Actions Declining Lender</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9.14(d)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Reportable Event</w:t>
      </w:r>
      <w:r>
        <w:rPr>
          <w:rFonts w:ascii="Times New Roman" w:hAnsi="Times New Roman"/>
          <w:caps w:val="false"/>
          <w:smallCaps w:val="false"/>
          <w:sz w:val="20"/>
        </w:rPr>
        <w:t xml:space="preserve">” means any of the events set forth in </w:t>
      </w:r>
      <w:r>
        <w:rPr>
          <w:rFonts w:ascii="Times New Roman" w:hAnsi="Times New Roman"/>
          <w:i/>
          <w:caps w:val="false"/>
          <w:smallCaps w:val="false"/>
          <w:sz w:val="20"/>
        </w:rPr>
        <w:t xml:space="preserve">Section 4043(c) </w:t>
      </w:r>
      <w:r>
        <w:rPr>
          <w:rFonts w:ascii="Times New Roman" w:hAnsi="Times New Roman"/>
          <w:caps w:val="false"/>
          <w:smallCaps w:val="false"/>
          <w:sz w:val="20"/>
        </w:rPr>
        <w:t>of ERISA, other than events for which the thirty (30) day notice period has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Request for Credit Extension</w:t>
      </w:r>
      <w:r>
        <w:rPr>
          <w:rFonts w:ascii="Times New Roman" w:hAnsi="Times New Roman"/>
          <w:caps w:val="false"/>
          <w:smallCaps w:val="false"/>
          <w:sz w:val="20"/>
        </w:rPr>
        <w:t>” means (a) with respect to a Borrowing, conversion or continuation of Loans (other than Swingline Loans), a Loan Notice, (b) with respect to an L/C Credit Extension, a Letter of Credit Application, and (c) with respect to a Swingline Loan, a Swingline Loan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Required Lenders</w:t>
      </w:r>
      <w:r>
        <w:rPr>
          <w:rFonts w:ascii="Times New Roman" w:hAnsi="Times New Roman"/>
          <w:caps w:val="false"/>
          <w:smallCaps w:val="false"/>
          <w:sz w:val="20"/>
        </w:rPr>
        <w:t xml:space="preserve">” means, at any time, at least two (2) Lenders having Total Credit Exposures representing more than 50% of the Total Credit Exposures of all Lenders. The Total Credit Exposure of any Defaulting Lender shall be disregarded in determining Required Lenders at any time;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Rescindable Amount</w:t>
      </w:r>
      <w:r>
        <w:rPr>
          <w:rFonts w:ascii="Times New Roman" w:hAnsi="Times New Roman"/>
          <w:caps w:val="false"/>
          <w:smallCaps w:val="false"/>
          <w:sz w:val="20"/>
        </w:rPr>
        <w:t xml:space="preserve">” has the meaning as defined in </w:t>
      </w:r>
      <w:r>
        <w:rPr>
          <w:rFonts w:ascii="Times New Roman" w:hAnsi="Times New Roman"/>
          <w:b/>
          <w:i/>
          <w:caps w:val="false"/>
          <w:smallCaps w:val="false"/>
          <w:sz w:val="20"/>
        </w:rPr>
        <w:t>Section 2.12(b)(i)</w:t>
      </w:r>
      <w:r>
        <w:rPr>
          <w:rFonts w:ascii="Times New Roman" w:hAnsi="Times New Roman"/>
          <w:caps w:val="false"/>
          <w:smallCaps w:val="false"/>
          <w:sz w:val="20"/>
        </w:rPr>
        <w:t>. “</w:t>
      </w:r>
      <w:r>
        <w:rPr>
          <w:rFonts w:ascii="Times New Roman" w:hAnsi="Times New Roman"/>
          <w:b/>
          <w:i/>
          <w:caps w:val="false"/>
          <w:smallCaps w:val="false"/>
          <w:sz w:val="20"/>
        </w:rPr>
        <w:t>Resignation Effective Date</w:t>
      </w:r>
      <w:r>
        <w:rPr>
          <w:rFonts w:ascii="Times New Roman" w:hAnsi="Times New Roman"/>
          <w:caps w:val="false"/>
          <w:smallCaps w:val="false"/>
          <w:sz w:val="20"/>
        </w:rPr>
        <w:t xml:space="preserve">” has the meaning set forth in </w:t>
      </w:r>
      <w:r>
        <w:rPr>
          <w:rFonts w:ascii="Times New Roman" w:hAnsi="Times New Roman"/>
          <w:b/>
          <w:i/>
          <w:caps w:val="false"/>
          <w:smallCaps w:val="false"/>
          <w:sz w:val="20"/>
        </w:rPr>
        <w:t>Section 9.06</w:t>
      </w:r>
      <w:r>
        <w:rPr>
          <w:rFonts w:ascii="Times New Roman" w:hAnsi="Times New Roman"/>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Responsible Officer</w:t>
      </w:r>
      <w:r>
        <w:rPr>
          <w:rFonts w:ascii="Times New Roman" w:hAnsi="Times New Roman"/>
          <w:caps w:val="false"/>
          <w:smallCaps w:val="false"/>
          <w:sz w:val="20"/>
        </w:rPr>
        <w:t xml:space="preserve">” means the chief executive officer, president, chief financial officer, treasurer, assistant treasurer or controller of a Loan Party, solely for purposes of the delivery of incumbency certificates pursuant to </w:t>
      </w:r>
      <w:r>
        <w:rPr>
          <w:rFonts w:ascii="Times New Roman" w:hAnsi="Times New Roman"/>
          <w:b/>
          <w:i/>
          <w:caps w:val="false"/>
          <w:smallCaps w:val="false"/>
          <w:sz w:val="20"/>
        </w:rPr>
        <w:t>Section 4.01(b)</w:t>
      </w:r>
      <w:r>
        <w:rPr>
          <w:rFonts w:ascii="Times New Roman" w:hAnsi="Times New Roman"/>
          <w:caps w:val="false"/>
          <w:smallCaps w:val="false"/>
          <w:sz w:val="20"/>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Restricted Payment</w:t>
      </w:r>
      <w:r>
        <w:rPr>
          <w:rFonts w:ascii="Times New Roman" w:hAnsi="Times New Roman"/>
          <w:caps w:val="false"/>
          <w:smallCaps w:val="false"/>
          <w:sz w:val="20"/>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Restructuring Costs</w:t>
      </w:r>
      <w:r>
        <w:rPr>
          <w:rFonts w:ascii="Times New Roman" w:hAnsi="Times New Roman"/>
          <w:caps w:val="false"/>
          <w:smallCaps w:val="false"/>
          <w:sz w:val="20"/>
        </w:rPr>
        <w:t>” all customary one-time fees, losses, charges, expenses, costs, legal fees and expenses, accruals and reserves related to operating expense reductions, restructurings, integration, transition, insourcing initiatives, operating improvements, cost savings initiatives and other business optimization initiatives, actions or events incurred in connection with Permitted Acquisitions in each case, reasonably identifiable, in process, factually supportable, and incurred within nine months following the applicable Permitted Acquisition consummation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Revolving Availability</w:t>
      </w:r>
      <w:r>
        <w:rPr>
          <w:rFonts w:ascii="Times New Roman" w:hAnsi="Times New Roman"/>
          <w:caps w:val="false"/>
          <w:smallCaps w:val="false"/>
          <w:sz w:val="20"/>
        </w:rPr>
        <w:t xml:space="preserve">” means the amount available to be drawn under the Aggregate Revolving Commitments </w:t>
      </w:r>
      <w:r>
        <w:rPr>
          <w:rFonts w:ascii="Times New Roman" w:hAnsi="Times New Roman"/>
          <w:i/>
          <w:caps w:val="false"/>
          <w:smallCaps w:val="false"/>
          <w:sz w:val="20"/>
        </w:rPr>
        <w:t xml:space="preserve">minus </w:t>
      </w:r>
      <w:r>
        <w:rPr>
          <w:rFonts w:ascii="Times New Roman" w:hAnsi="Times New Roman"/>
          <w:caps w:val="false"/>
          <w:smallCaps w:val="false"/>
          <w:sz w:val="20"/>
        </w:rPr>
        <w:t>the aggregate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Revolving Commitment</w:t>
      </w:r>
      <w:r>
        <w:rPr>
          <w:rFonts w:ascii="Times New Roman" w:hAnsi="Times New Roman"/>
          <w:caps w:val="false"/>
          <w:smallCaps w:val="false"/>
          <w:sz w:val="20"/>
        </w:rPr>
        <w:t xml:space="preserve">” means, as to each Revolving Lender, its obligation to (a) make Revolving Loans to the Borrower pursuant to </w:t>
      </w:r>
      <w:r>
        <w:rPr>
          <w:rFonts w:ascii="Times New Roman" w:hAnsi="Times New Roman"/>
          <w:b/>
          <w:i/>
          <w:caps w:val="false"/>
          <w:smallCaps w:val="false"/>
          <w:sz w:val="20"/>
        </w:rPr>
        <w:t>Section 2.01(c)</w:t>
      </w:r>
      <w:r>
        <w:rPr>
          <w:rFonts w:ascii="Times New Roman" w:hAnsi="Times New Roman"/>
          <w:caps w:val="false"/>
          <w:smallCaps w:val="false"/>
          <w:sz w:val="20"/>
        </w:rPr>
        <w:t xml:space="preserve">, (b) purchase participations in L/C Obligations, and (c) purchase participations in Swingline Loans, in an aggregate principal amount at any one (1) time outstanding not to exceed the amount set forth opposite such Lender’s name on </w:t>
      </w:r>
      <w:r>
        <w:rPr>
          <w:rFonts w:ascii="Times New Roman" w:hAnsi="Times New Roman"/>
          <w:b/>
          <w:i/>
          <w:caps w:val="false"/>
          <w:smallCaps w:val="false"/>
          <w:sz w:val="20"/>
        </w:rPr>
        <w:t xml:space="preserve">Schedule 2.01 </w:t>
      </w:r>
      <w:r>
        <w:rPr>
          <w:rFonts w:ascii="Times New Roman" w:hAnsi="Times New Roman"/>
          <w:caps w:val="false"/>
          <w:smallCaps w:val="false"/>
          <w:sz w:val="20"/>
        </w:rPr>
        <w:t>under the caption “</w:t>
      </w:r>
      <w:r>
        <w:rPr>
          <w:rFonts w:ascii="Times New Roman" w:hAnsi="Times New Roman"/>
          <w:i/>
          <w:caps w:val="false"/>
          <w:smallCaps w:val="false"/>
          <w:sz w:val="20"/>
        </w:rPr>
        <w:t>Revolving Commitment</w:t>
      </w:r>
      <w:r>
        <w:rPr>
          <w:rFonts w:ascii="Times New Roman" w:hAnsi="Times New Roman"/>
          <w:caps w:val="false"/>
          <w:smallCaps w:val="false"/>
          <w:sz w:val="20"/>
        </w:rPr>
        <w:t>” or opposite such caption in the Assignment and Assumption pursuant to which such Lender becomes a party hereto, as applicable, as such amount may be adjusted from time to time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Revolving Exposure</w:t>
      </w:r>
      <w:r>
        <w:rPr>
          <w:rFonts w:ascii="Times New Roman" w:hAnsi="Times New Roman"/>
          <w:caps w:val="false"/>
          <w:smallCaps w:val="false"/>
          <w:sz w:val="20"/>
        </w:rPr>
        <w:t>” means, as to any Lender at any time, the aggregate principal amount at such time of its outstanding Revolving Loans and such Lender’s participation in L/C Obligations and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Revolving Facility</w:t>
      </w:r>
      <w:r>
        <w:rPr>
          <w:rFonts w:ascii="Times New Roman" w:hAnsi="Times New Roman"/>
          <w:caps w:val="false"/>
          <w:smallCaps w:val="false"/>
          <w:sz w:val="20"/>
        </w:rPr>
        <w:t xml:space="preserve">” means the revolving credit facility described in </w:t>
      </w:r>
      <w:r>
        <w:rPr>
          <w:rFonts w:ascii="Times New Roman" w:hAnsi="Times New Roman"/>
          <w:b/>
          <w:i/>
          <w:caps w:val="false"/>
          <w:smallCaps w:val="false"/>
          <w:sz w:val="20"/>
        </w:rPr>
        <w:t>Section 2.01(c)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Revolving Lender</w:t>
      </w:r>
      <w:r>
        <w:rPr>
          <w:rFonts w:ascii="Times New Roman" w:hAnsi="Times New Roman"/>
          <w:caps w:val="false"/>
          <w:smallCaps w:val="false"/>
          <w:sz w:val="20"/>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Revolving Loan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S&amp;P</w:t>
      </w:r>
      <w:r>
        <w:rPr>
          <w:rFonts w:ascii="Times New Roman" w:hAnsi="Times New Roman"/>
          <w:caps w:val="false"/>
          <w:smallCaps w:val="false"/>
          <w:sz w:val="20"/>
        </w:rPr>
        <w:t>” means Standard &amp; Poor’s Financial Services LLC, a subsidiary of S&amp;P Global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Sale and Leaseback Transaction</w:t>
      </w:r>
      <w:r>
        <w:rPr>
          <w:rFonts w:ascii="Times New Roman" w:hAnsi="Times New Roman"/>
          <w:caps w:val="false"/>
          <w:smallCaps w:val="false"/>
          <w:sz w:val="20"/>
        </w:rPr>
        <w:t>” means, with respect to any Loan Party or any Subsidiary, any arrangement, directly or indirectly, with any Person whereby such Loan Party or such Subsidiary shall sell or transfer any property used or useful in its business, whether now owned or hereafter acquired,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thereafter rent or lease such property or other property that it intends to use for substantially the same purpose or purposes as the property being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Sanctioned Country</w:t>
      </w:r>
      <w:r>
        <w:rPr>
          <w:rFonts w:ascii="Times New Roman" w:hAnsi="Times New Roman"/>
          <w:caps w:val="false"/>
          <w:smallCaps w:val="false"/>
          <w:sz w:val="20"/>
        </w:rPr>
        <w:t>” shall mean, at any time, a country or territory that is, or whose government is, the subject or target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Sanctioned Person</w:t>
      </w:r>
      <w:r>
        <w:rPr>
          <w:rFonts w:ascii="Times New Roman" w:hAnsi="Times New Roman"/>
          <w:caps w:val="false"/>
          <w:smallCaps w:val="false"/>
          <w:sz w:val="20"/>
        </w:rPr>
        <w:t>” shall mean, at any time, (a) any Person listed in any Sanctions-related list of designated Persons maintained by OFAC, the U.S. Department of State, the United Nations Security Council, the European Union or any European Union member state, (b) any Person located, organized or resident in a Sanctioned Country or (c) any Person controlled by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Sanction(s)</w:t>
      </w:r>
      <w:r>
        <w:rPr>
          <w:rFonts w:ascii="Times New Roman" w:hAnsi="Times New Roman"/>
          <w:caps w:val="false"/>
          <w:smallCaps w:val="false"/>
          <w:sz w:val="20"/>
        </w:rPr>
        <w:t>” means any sanction administered or enforced by the United States Government (including, without limitation, OFAC), the United Nations Security Council, the European Union, Her Majesty’s Treasury (“</w:t>
      </w:r>
      <w:r>
        <w:rPr>
          <w:rFonts w:ascii="Times New Roman" w:hAnsi="Times New Roman"/>
          <w:b/>
          <w:i/>
          <w:caps w:val="false"/>
          <w:smallCaps w:val="false"/>
          <w:sz w:val="20"/>
        </w:rPr>
        <w:t>HMT</w:t>
      </w:r>
      <w:r>
        <w:rPr>
          <w:rFonts w:ascii="Times New Roman" w:hAnsi="Times New Roman"/>
          <w:caps w:val="false"/>
          <w:smallCaps w:val="false"/>
          <w:sz w:val="20"/>
        </w:rPr>
        <w:t>”)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Securities and Exchange Commission,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Second Amendment Effective Date</w:t>
      </w:r>
      <w:r>
        <w:rPr>
          <w:rFonts w:ascii="Times New Roman" w:hAnsi="Times New Roman"/>
          <w:caps w:val="false"/>
          <w:smallCaps w:val="false"/>
          <w:sz w:val="20"/>
        </w:rPr>
        <w:t>” means September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Secured Cash Management Agreement</w:t>
      </w:r>
      <w:r>
        <w:rPr>
          <w:rFonts w:ascii="Times New Roman" w:hAnsi="Times New Roman"/>
          <w:caps w:val="false"/>
          <w:smallCaps w:val="false"/>
          <w:sz w:val="20"/>
        </w:rPr>
        <w:t>” means any Cash Management Agreement between the any Loan Party and any of its Subsidiaries and any Cash Management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Secured Hedge Agreement</w:t>
      </w:r>
      <w:r>
        <w:rPr>
          <w:rFonts w:ascii="Times New Roman" w:hAnsi="Times New Roman"/>
          <w:caps w:val="false"/>
          <w:smallCaps w:val="false"/>
          <w:sz w:val="20"/>
        </w:rPr>
        <w:t xml:space="preserve">” means any interest rate, currency, foreign exchange, or commodity Swap Contract not prohibited under </w:t>
      </w:r>
      <w:r>
        <w:rPr>
          <w:rFonts w:ascii="Times New Roman" w:hAnsi="Times New Roman"/>
          <w:b/>
          <w:i/>
          <w:caps w:val="false"/>
          <w:smallCaps w:val="false"/>
          <w:sz w:val="20"/>
        </w:rPr>
        <w:t xml:space="preserve">Article VI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VII </w:t>
      </w:r>
      <w:r>
        <w:rPr>
          <w:rFonts w:ascii="Times New Roman" w:hAnsi="Times New Roman"/>
          <w:caps w:val="false"/>
          <w:smallCaps w:val="false"/>
          <w:sz w:val="20"/>
        </w:rPr>
        <w:t>between any Loan Party and any of its Subsidiaries and any Hedge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Secured Obligations</w:t>
      </w:r>
      <w:r>
        <w:rPr>
          <w:rFonts w:ascii="Times New Roman" w:hAnsi="Times New Roman"/>
          <w:caps w:val="false"/>
          <w:smallCaps w:val="false"/>
          <w:sz w:val="20"/>
        </w:rPr>
        <w:t>” means all Obligations and all Additional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Secured Parties</w:t>
      </w:r>
      <w:r>
        <w:rPr>
          <w:rFonts w:ascii="Times New Roman" w:hAnsi="Times New Roman"/>
          <w:caps w:val="false"/>
          <w:smallCaps w:val="false"/>
          <w:sz w:val="20"/>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hAnsi="Times New Roman"/>
          <w:b/>
          <w:i/>
          <w:caps w:val="false"/>
          <w:smallCaps w:val="false"/>
          <w:sz w:val="20"/>
        </w:rPr>
        <w:t>Section 9.05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Secured Party Designation Notice</w:t>
      </w:r>
      <w:r>
        <w:rPr>
          <w:rFonts w:ascii="Times New Roman" w:hAnsi="Times New Roman"/>
          <w:caps w:val="false"/>
          <w:smallCaps w:val="false"/>
          <w:sz w:val="20"/>
        </w:rPr>
        <w:t xml:space="preserve">” means a notice from any Lender or an Affiliate of a Lender substantially in the form of </w:t>
      </w:r>
      <w:r>
        <w:rPr>
          <w:rFonts w:ascii="Times New Roman" w:hAnsi="Times New Roman"/>
          <w:b/>
          <w:i/>
          <w:caps w:val="false"/>
          <w:smallCaps w:val="false"/>
          <w:sz w:val="20"/>
        </w:rPr>
        <w:t>Exhibit 1.01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Securitization Transaction</w:t>
      </w:r>
      <w:r>
        <w:rPr>
          <w:rFonts w:ascii="Times New Roman" w:hAnsi="Times New Roman"/>
          <w:caps w:val="false"/>
          <w:smallCaps w:val="false"/>
          <w:sz w:val="20"/>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Security Agreement</w:t>
      </w:r>
      <w:r>
        <w:rPr>
          <w:rFonts w:ascii="Times New Roman" w:hAnsi="Times New Roman"/>
          <w:caps w:val="false"/>
          <w:smallCaps w:val="false"/>
          <w:sz w:val="20"/>
        </w:rPr>
        <w:t>” means the security and pledge agreement, dated as of the Closing Date, executed in favor of the Administrative Agent by each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Sixth Amendment Effective Date</w:t>
      </w:r>
      <w:r>
        <w:rPr>
          <w:rFonts w:ascii="Times New Roman" w:hAnsi="Times New Roman"/>
          <w:caps w:val="false"/>
          <w:smallCaps w:val="false"/>
          <w:sz w:val="20"/>
        </w:rPr>
        <w:t>” means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SOFR</w:t>
      </w:r>
      <w:r>
        <w:rPr>
          <w:rFonts w:ascii="Times New Roman" w:hAnsi="Times New Roman"/>
          <w:caps w:val="false"/>
          <w:smallCaps w:val="false"/>
          <w:sz w:val="20"/>
        </w:rPr>
        <w:t>” means the Secured Overnight Financing Rate as administered by the Federal Reserve Bank of New York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SOFR Adjustment</w:t>
      </w:r>
      <w:r>
        <w:rPr>
          <w:rFonts w:ascii="Times New Roman" w:hAnsi="Times New Roman"/>
          <w:caps w:val="false"/>
          <w:smallCaps w:val="false"/>
          <w:sz w:val="20"/>
        </w:rPr>
        <w:t>” with respect to Term SOFR means 0.10% (10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Solvent</w:t>
      </w:r>
      <w:r>
        <w:rPr>
          <w:rFonts w:ascii="Times New Roman" w:hAnsi="Times New Roman"/>
          <w:caps w:val="false"/>
          <w:smallCaps w:val="false"/>
          <w:sz w:val="20"/>
        </w:rPr>
        <w:t>” and “</w:t>
      </w:r>
      <w:r>
        <w:rPr>
          <w:rFonts w:ascii="Times New Roman" w:hAnsi="Times New Roman"/>
          <w:b/>
          <w:i/>
          <w:caps w:val="false"/>
          <w:smallCaps w:val="false"/>
          <w:sz w:val="20"/>
        </w:rPr>
        <w:t>Solvency</w:t>
      </w:r>
      <w:r>
        <w:rPr>
          <w:rFonts w:ascii="Times New Roman" w:hAnsi="Times New Roman"/>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Specified Financial Statements</w:t>
      </w:r>
      <w:r>
        <w:rPr>
          <w:rFonts w:ascii="Times New Roman" w:hAnsi="Times New Roman"/>
          <w:caps w:val="false"/>
          <w:smallCaps w:val="false"/>
          <w:sz w:val="20"/>
        </w:rPr>
        <w:t>” means (a) the audited consolidated balance sheet of the Borrower and its Subsidiaries for the Fiscal Year ended May 31, 2022, and the related consolidated statements of income or operations, shareholders’ Equity Interests and cash flows for such Fiscal Year of the Borrower and its Subsidiaries, including the notes thereto and (b) the company prepared consolidated balance sheet of Tilray Holdco M, LLC and its Subsidiaries for the nine-month period ended September 30, 2022 and the related consolidated statements of income or operations for such Fiscal Year of Tilray Holdco M, LLC and its Subsidiaries, including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Specified Loan Party</w:t>
      </w:r>
      <w:r>
        <w:rPr>
          <w:rFonts w:ascii="Times New Roman" w:hAnsi="Times New Roman"/>
          <w:caps w:val="false"/>
          <w:smallCaps w:val="false"/>
          <w:sz w:val="20"/>
        </w:rPr>
        <w:t>” means any Loan Party that is not then an “</w:t>
      </w:r>
      <w:r>
        <w:rPr>
          <w:rFonts w:ascii="Times New Roman" w:hAnsi="Times New Roman"/>
          <w:i/>
          <w:caps w:val="false"/>
          <w:smallCaps w:val="false"/>
          <w:sz w:val="20"/>
        </w:rPr>
        <w:t>eligible contract participant</w:t>
      </w:r>
      <w:r>
        <w:rPr>
          <w:rFonts w:ascii="Times New Roman" w:hAnsi="Times New Roman"/>
          <w:caps w:val="false"/>
          <w:smallCaps w:val="false"/>
          <w:sz w:val="20"/>
        </w:rPr>
        <w:t xml:space="preserve">” under the Commodity Exchange Act (determined prior to giving effect to </w:t>
      </w:r>
      <w:r>
        <w:rPr>
          <w:rFonts w:ascii="Times New Roman" w:hAnsi="Times New Roman"/>
          <w:b/>
          <w:i/>
          <w:caps w:val="false"/>
          <w:smallCaps w:val="false"/>
          <w:sz w:val="20"/>
        </w:rPr>
        <w:t>Section 10.11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Specified Transaction</w:t>
      </w:r>
      <w:r>
        <w:rPr>
          <w:rFonts w:ascii="Times New Roman" w:hAnsi="Times New Roman"/>
          <w:caps w:val="false"/>
          <w:smallCaps w:val="false"/>
          <w:sz w:val="20"/>
        </w:rPr>
        <w:t>” means (a) any Acquisition, any Disposition, any sale, transfer or other disposition that results in a Person ceasing to be a Subsidiary or any disposition resulting in a Recovery Event, in each case, whether by merger, consolidation or otherwise, or any incurrence or repayment of Indebtedness or (b) any other event that by the terms of the Loan Documents requires Pro Forma compliance with a test or covenant, calculation as to Pro Forma Effect with respect to a test or covenant or requires such test or covenant to be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caps w:val="false"/>
          <w:smallCaps w:val="false"/>
          <w:sz w:val="20"/>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(1) or more intermediaries, or both, by such Person. Unless otherwise specified, all references herein to a “</w:t>
      </w:r>
      <w:r>
        <w:rPr>
          <w:rFonts w:ascii="Times New Roman" w:hAnsi="Times New Roman"/>
          <w:b/>
          <w:i/>
          <w:caps w:val="false"/>
          <w:smallCaps w:val="false"/>
          <w:sz w:val="20"/>
        </w:rPr>
        <w:t>Subsidiary</w:t>
      </w:r>
      <w:r>
        <w:rPr>
          <w:rFonts w:ascii="Times New Roman" w:hAnsi="Times New Roman"/>
          <w:caps w:val="false"/>
          <w:smallCaps w:val="false"/>
          <w:sz w:val="20"/>
        </w:rPr>
        <w:t>” or to “</w:t>
      </w:r>
      <w:r>
        <w:rPr>
          <w:rFonts w:ascii="Times New Roman" w:hAnsi="Times New Roman"/>
          <w:b/>
          <w:i/>
          <w:caps w:val="false"/>
          <w:smallCaps w:val="false"/>
          <w:sz w:val="20"/>
        </w:rPr>
        <w:t>Subsidiaries</w:t>
      </w:r>
      <w:r>
        <w:rPr>
          <w:rFonts w:ascii="Times New Roman" w:hAnsi="Times New Roman"/>
          <w:caps w:val="false"/>
          <w:smallCaps w:val="false"/>
          <w:sz w:val="20"/>
        </w:rPr>
        <w:t>” shall refer to a Subsidiary or Subsidiaries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Successor Rate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3.03(b)</w:t>
      </w:r>
      <w:r>
        <w:rPr>
          <w:rFonts w:ascii="Times New Roman" w:hAnsi="Times New Roman"/>
          <w:caps w:val="false"/>
          <w:smallCaps w:val="false"/>
          <w:sz w:val="20"/>
        </w:rPr>
        <w:t>. “</w:t>
      </w:r>
      <w:r>
        <w:rPr>
          <w:rFonts w:ascii="Times New Roman" w:hAnsi="Times New Roman"/>
          <w:b/>
          <w:i/>
          <w:caps w:val="false"/>
          <w:smallCaps w:val="false"/>
          <w:sz w:val="20"/>
        </w:rPr>
        <w:t>Supported QFC</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11.21</w:t>
      </w:r>
      <w:r>
        <w:rPr>
          <w:rFonts w:ascii="Times New Roman" w:hAnsi="Times New Roman"/>
          <w:caps w:val="false"/>
          <w:smallCaps w:val="false"/>
          <w:sz w:val="20"/>
        </w:rPr>
        <w:t>.</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SW Brewing</w:t>
      </w:r>
      <w:r>
        <w:rPr>
          <w:rFonts w:ascii="Times New Roman" w:hAnsi="Times New Roman"/>
          <w:caps w:val="false"/>
          <w:smallCaps w:val="false"/>
          <w:sz w:val="20"/>
        </w:rPr>
        <w:t>” shall mean SW Brewing Company, LLC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Swap Contract</w:t>
      </w:r>
      <w:r>
        <w:rPr>
          <w:rFonts w:ascii="Times New Roman" w:hAnsi="Times New Roman"/>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b/>
          <w:i/>
          <w:caps w:val="false"/>
          <w:smallCaps w:val="false"/>
          <w:sz w:val="20"/>
        </w:rPr>
        <w:t>Master Agreement</w:t>
      </w:r>
      <w:r>
        <w:rPr>
          <w:rFonts w:ascii="Times New Roman" w:hAnsi="Times New Roman"/>
          <w:caps w:val="false"/>
          <w:smallCaps w:val="false"/>
          <w:sz w:val="20"/>
        </w:rPr>
        <w:t>”), including any such obligations or liabilities under any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Swap Obligations</w:t>
      </w:r>
      <w:r>
        <w:rPr>
          <w:rFonts w:ascii="Times New Roman" w:hAnsi="Times New Roman"/>
          <w:caps w:val="false"/>
          <w:smallCaps w:val="false"/>
          <w:sz w:val="20"/>
        </w:rPr>
        <w:t>” means with respect to any Guarantor, any obligation to pay or perform under any agreement, contract or transaction that constitutes a “</w:t>
      </w:r>
      <w:r>
        <w:rPr>
          <w:rFonts w:ascii="Times New Roman" w:hAnsi="Times New Roman"/>
          <w:i/>
          <w:caps w:val="false"/>
          <w:smallCaps w:val="false"/>
          <w:sz w:val="20"/>
        </w:rPr>
        <w:t>swap</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 xml:space="preserve">Section 1a(47) </w:t>
      </w:r>
      <w:r>
        <w:rPr>
          <w:rFonts w:ascii="Times New Roman" w:hAnsi="Times New Roman"/>
          <w:caps w:val="false"/>
          <w:smallCaps w:val="false"/>
          <w:sz w:val="20"/>
        </w:rPr>
        <w:t>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Swap Termination Value</w:t>
      </w:r>
      <w:r>
        <w:rPr>
          <w:rFonts w:ascii="Times New Roman" w:hAnsi="Times New Roman"/>
          <w:caps w:val="false"/>
          <w:smallCaps w:val="false"/>
          <w:sz w:val="20"/>
        </w:rPr>
        <w:t xml:space="preserve">” means, in respect of any one (1)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b/>
          <w:i/>
          <w:caps w:val="false"/>
          <w:smallCaps w:val="false"/>
          <w:sz w:val="20"/>
        </w:rPr>
        <w:t>clause (a)</w:t>
      </w:r>
      <w:r>
        <w:rPr>
          <w:rFonts w:ascii="Times New Roman" w:hAnsi="Times New Roman"/>
          <w:caps w:val="false"/>
          <w:smallCaps w:val="false"/>
          <w:sz w:val="20"/>
        </w:rPr>
        <w:t>, the amount(s) determined as the mark-to-market value(s) for such Swap Contracts, as determined based upon one (1) or more mid-market or other readily available quotations provided by any recognized dealer in such Swap Contracts (which may include a Lender or any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Swingline Commitment</w:t>
      </w:r>
      <w:r>
        <w:rPr>
          <w:rFonts w:ascii="Times New Roman" w:hAnsi="Times New Roman"/>
          <w:caps w:val="false"/>
          <w:smallCaps w:val="false"/>
          <w:sz w:val="20"/>
        </w:rPr>
        <w:t xml:space="preserve">” means, as to any Lender (a) the amount set forth opposite such Lender’s name on </w:t>
      </w:r>
      <w:r>
        <w:rPr>
          <w:rFonts w:ascii="Times New Roman" w:hAnsi="Times New Roman"/>
          <w:b/>
          <w:i/>
          <w:caps w:val="false"/>
          <w:smallCaps w:val="false"/>
          <w:sz w:val="20"/>
        </w:rPr>
        <w:t xml:space="preserve">Schedule 2.01 </w:t>
      </w:r>
      <w:r>
        <w:rPr>
          <w:rFonts w:ascii="Times New Roman" w:hAnsi="Times New Roman"/>
          <w:caps w:val="false"/>
          <w:smallCaps w:val="false"/>
          <w:sz w:val="20"/>
        </w:rPr>
        <w:t xml:space="preserve">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hAnsi="Times New Roman"/>
          <w:b/>
          <w:i/>
          <w:caps w:val="false"/>
          <w:smallCaps w:val="false"/>
          <w:sz w:val="20"/>
        </w:rPr>
        <w:t>Section 11.06(c)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Swingline Lender</w:t>
      </w:r>
      <w:r>
        <w:rPr>
          <w:rFonts w:ascii="Times New Roman" w:hAnsi="Times New Roman"/>
          <w:caps w:val="false"/>
          <w:smallCaps w:val="false"/>
          <w:sz w:val="20"/>
        </w:rPr>
        <w:t>” means Bank of America, in its capacity as provider of Swingline Loans, or any successor swingline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Swingline Loan</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Swingline Loan Notice</w:t>
      </w:r>
      <w:r>
        <w:rPr>
          <w:rFonts w:ascii="Times New Roman" w:hAnsi="Times New Roman"/>
          <w:caps w:val="false"/>
          <w:smallCaps w:val="false"/>
          <w:sz w:val="20"/>
        </w:rPr>
        <w:t xml:space="preserve">” means a notice of a Borrowing of Swingline Loans pursuant to </w:t>
      </w:r>
      <w:r>
        <w:rPr>
          <w:rFonts w:ascii="Times New Roman" w:hAnsi="Times New Roman"/>
          <w:b/>
          <w:i/>
          <w:caps w:val="false"/>
          <w:smallCaps w:val="false"/>
          <w:sz w:val="20"/>
        </w:rPr>
        <w:t>Section 2.04(b)</w:t>
      </w:r>
      <w:r>
        <w:rPr>
          <w:rFonts w:ascii="Times New Roman" w:hAnsi="Times New Roman"/>
          <w:caps w:val="false"/>
          <w:smallCaps w:val="false"/>
          <w:sz w:val="20"/>
        </w:rPr>
        <w:t xml:space="preserve">, which shall be substantially in the form of </w:t>
      </w:r>
      <w:r>
        <w:rPr>
          <w:rFonts w:ascii="Times New Roman" w:hAnsi="Times New Roman"/>
          <w:b/>
          <w:i/>
          <w:caps w:val="false"/>
          <w:smallCaps w:val="false"/>
          <w:sz w:val="20"/>
        </w:rPr>
        <w:t xml:space="preserve">Exhibit 2.04 </w:t>
      </w:r>
      <w:r>
        <w:rPr>
          <w:rFonts w:ascii="Times New Roman" w:hAnsi="Times New Roman"/>
          <w:caps w:val="false"/>
          <w:smallCaps w:val="false"/>
          <w:sz w:val="20"/>
        </w:rPr>
        <w:t>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Swingline Sublimit</w:t>
      </w:r>
      <w:r>
        <w:rPr>
          <w:rFonts w:ascii="Times New Roman" w:hAnsi="Times New Roman"/>
          <w:caps w:val="false"/>
          <w:smallCaps w:val="false"/>
          <w:sz w:val="20"/>
        </w:rPr>
        <w:t>” means an amount equal to the lesser of (a) $1,000,000 and (b) the Revolving Facility. The Swingline Sublimit is part of, and not in addition to,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Synthetic Debt</w:t>
      </w:r>
      <w:r>
        <w:rPr>
          <w:rFonts w:ascii="Times New Roman" w:hAnsi="Times New Roman"/>
          <w:caps w:val="false"/>
          <w:smallCaps w:val="false"/>
          <w:sz w:val="20"/>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Times New Roman" w:hAnsi="Times New Roman"/>
          <w:i/>
          <w:caps w:val="false"/>
          <w:smallCaps w:val="false"/>
          <w:sz w:val="20"/>
        </w:rPr>
        <w:t>Indebtedness</w:t>
      </w:r>
      <w:r>
        <w:rPr>
          <w:rFonts w:ascii="Times New Roman" w:hAnsi="Times New Roman"/>
          <w:caps w:val="false"/>
          <w:smallCaps w:val="false"/>
          <w:sz w:val="20"/>
        </w:rPr>
        <w:t>” or as a liability on the consolidated balance sheet of such Person and its Subsidiaries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Synthetic Lease Obligation</w:t>
      </w:r>
      <w:r>
        <w:rPr>
          <w:rFonts w:ascii="Times New Roman" w:hAnsi="Times New Roman"/>
          <w:caps w:val="false"/>
          <w:smallCaps w:val="false"/>
          <w:sz w:val="20"/>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Taxes</w:t>
      </w:r>
      <w:r>
        <w:rPr>
          <w:rFonts w:ascii="Times New Roman" w:hAnsi="Times New Roman"/>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Term Commitment</w:t>
      </w:r>
      <w:r>
        <w:rPr>
          <w:rFonts w:ascii="Times New Roman" w:hAnsi="Times New Roman"/>
          <w:caps w:val="false"/>
          <w:smallCaps w:val="false"/>
          <w:sz w:val="20"/>
        </w:rPr>
        <w:t xml:space="preserve">” means, as to each Term Lender, its obligation to make Term Loans to the Borrower pursuant to </w:t>
      </w:r>
      <w:r>
        <w:rPr>
          <w:rFonts w:ascii="Times New Roman" w:hAnsi="Times New Roman"/>
          <w:b/>
          <w:i/>
          <w:caps w:val="false"/>
          <w:smallCaps w:val="false"/>
          <w:sz w:val="20"/>
        </w:rPr>
        <w:t xml:space="preserve">Section 2.01(a) </w:t>
      </w:r>
      <w:r>
        <w:rPr>
          <w:rFonts w:ascii="Times New Roman" w:hAnsi="Times New Roman"/>
          <w:caps w:val="false"/>
          <w:smallCaps w:val="false"/>
          <w:sz w:val="20"/>
        </w:rPr>
        <w:t xml:space="preserve">in an aggregate principal amount at any one (1) time outstanding not to exceed the amount set forth opposite such Term Lender’s name on </w:t>
      </w:r>
      <w:r>
        <w:rPr>
          <w:rFonts w:ascii="Times New Roman" w:hAnsi="Times New Roman"/>
          <w:b/>
          <w:i/>
          <w:caps w:val="false"/>
          <w:smallCaps w:val="false"/>
          <w:sz w:val="20"/>
        </w:rPr>
        <w:t xml:space="preserve">Schedule 2.01 </w:t>
      </w:r>
      <w:r>
        <w:rPr>
          <w:rFonts w:ascii="Times New Roman" w:hAnsi="Times New Roman"/>
          <w:caps w:val="false"/>
          <w:smallCaps w:val="false"/>
          <w:sz w:val="20"/>
        </w:rPr>
        <w:t>under the caption “</w:t>
      </w:r>
      <w:r>
        <w:rPr>
          <w:rFonts w:ascii="Times New Roman" w:hAnsi="Times New Roman"/>
          <w:i/>
          <w:caps w:val="false"/>
          <w:smallCaps w:val="false"/>
          <w:sz w:val="20"/>
        </w:rPr>
        <w:t>Term Commitment</w:t>
      </w:r>
      <w:r>
        <w:rPr>
          <w:rFonts w:ascii="Times New Roman" w:hAnsi="Times New Roman"/>
          <w:caps w:val="false"/>
          <w:smallCaps w:val="false"/>
          <w:sz w:val="20"/>
        </w:rPr>
        <w:t>” or opposite such caption in the Assignment and Assumption pursuant to which such Term Lender becomes a party hereto, as applicable, as such amount may be adjusted from time to time in accordance with this Agreement. The Term Commitments of all of the Term Lenders on the Fifth Amendment Effective Date shall be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Term Facility</w:t>
      </w:r>
      <w:r>
        <w:rPr>
          <w:rFonts w:ascii="Times New Roman" w:hAnsi="Times New Roman"/>
          <w:caps w:val="false"/>
          <w:smallCaps w:val="false"/>
          <w:sz w:val="20"/>
        </w:rPr>
        <w:t>” means, at any time, (a) on or prior to the Fifth Amendment Effective Date, the aggregate amount of the Term Commitments at such time and (b) thereafter, the aggregate principal amount of the Term Loans of all Term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Term Lender</w:t>
      </w:r>
      <w:r>
        <w:rPr>
          <w:rFonts w:ascii="Times New Roman" w:hAnsi="Times New Roman"/>
          <w:caps w:val="false"/>
          <w:smallCaps w:val="false"/>
          <w:sz w:val="20"/>
        </w:rPr>
        <w:t>” means (a) at any time on or prior to the Fifth Amendment Effective Date, any Lender that has a Term Commitment at such time and (b) at any time after the Fifth Amendment Effective Date, any Lender that holds Term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Term Loan</w:t>
      </w:r>
      <w:r>
        <w:rPr>
          <w:rFonts w:ascii="Times New Roman" w:hAnsi="Times New Roman"/>
          <w:caps w:val="false"/>
          <w:smallCaps w:val="false"/>
          <w:sz w:val="20"/>
        </w:rPr>
        <w:t>” means the Term Loan and any Delayed Draw Term Loan. “</w:t>
      </w:r>
      <w:r>
        <w:rPr>
          <w:rFonts w:ascii="Times New Roman" w:hAnsi="Times New Roman"/>
          <w:b/>
          <w:i/>
          <w:caps w:val="false"/>
          <w:smallCaps w:val="false"/>
          <w:sz w:val="20"/>
        </w:rPr>
        <w:t>Term SOFR</w:t>
      </w:r>
      <w:r>
        <w:rPr>
          <w:rFonts w:ascii="Times New Roman" w:hAnsi="Times New Roman"/>
          <w:caps w:val="false"/>
          <w:smallCaps w:val="false"/>
          <w:sz w:val="20"/>
        </w:rPr>
        <w:t>” means:</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for any Interest Period with respect to a Term SOFR Loan,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Term SOFR Screen Rate two (2) U.S. Government Securities Business Days prior to the commencement of such Interest Period with a term equivalent to such Interest Period;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i/>
          <w:caps w:val="false"/>
          <w:smallCaps w:val="false"/>
          <w:sz w:val="20"/>
        </w:rPr>
        <w:t xml:space="preserve">plus </w:t>
      </w:r>
      <w:r>
        <w:rPr>
          <w:rFonts w:ascii="Times New Roman" w:hAnsi="Times New Roman"/>
          <w:caps w:val="false"/>
          <w:smallCaps w:val="false"/>
          <w:sz w:val="20"/>
        </w:rPr>
        <w:t>the SOFR Adjustment;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for any interest calculation with respect to a Base Rate Loan on any date,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equal to the Term SOFR Screen Rate with a term of one (1) month commencing that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the Term SOFR determined in accordance with either of the foregoing </w:t>
      </w:r>
      <w:r>
        <w:rPr>
          <w:rFonts w:ascii="Times New Roman" w:hAnsi="Times New Roman"/>
          <w:b/>
          <w:i/>
          <w:caps w:val="false"/>
          <w:smallCaps w:val="false"/>
          <w:sz w:val="20"/>
        </w:rPr>
        <w:t xml:space="preserve">provisions (a)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of this definition would otherwise be less than zero (0), the Term SOFR shall be deemed zero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Term SOFR Loan</w:t>
      </w:r>
      <w:r>
        <w:rPr>
          <w:rFonts w:ascii="Times New Roman" w:hAnsi="Times New Roman"/>
          <w:caps w:val="false"/>
          <w:smallCaps w:val="false"/>
          <w:sz w:val="20"/>
        </w:rPr>
        <w:t xml:space="preserve">” means a Loan that bears interest at a rate based on </w:t>
      </w:r>
      <w:r>
        <w:rPr>
          <w:rFonts w:ascii="Times New Roman" w:hAnsi="Times New Roman"/>
          <w:b/>
          <w:i/>
          <w:caps w:val="false"/>
          <w:smallCaps w:val="false"/>
          <w:sz w:val="20"/>
        </w:rPr>
        <w:t xml:space="preserve">clause (a) </w:t>
      </w:r>
      <w:r>
        <w:rPr>
          <w:rFonts w:ascii="Times New Roman" w:hAnsi="Times New Roman"/>
          <w:caps w:val="false"/>
          <w:smallCaps w:val="false"/>
          <w:sz w:val="20"/>
        </w:rPr>
        <w:t>of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Term SOFR Screen Rate</w:t>
      </w:r>
      <w:r>
        <w:rPr>
          <w:rFonts w:ascii="Times New Roman" w:hAnsi="Times New Roman"/>
          <w:caps w:val="false"/>
          <w:smallCaps w:val="false"/>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Third Amendment Effective Date</w:t>
      </w:r>
      <w:r>
        <w:rPr>
          <w:rFonts w:ascii="Times New Roman" w:hAnsi="Times New Roman"/>
          <w:caps w:val="false"/>
          <w:smallCaps w:val="false"/>
          <w:sz w:val="20"/>
        </w:rPr>
        <w:t>” means March 29, 2024. “</w:t>
      </w:r>
      <w:r>
        <w:rPr>
          <w:rFonts w:ascii="Times New Roman" w:hAnsi="Times New Roman"/>
          <w:b/>
          <w:i/>
          <w:caps w:val="false"/>
          <w:smallCaps w:val="false"/>
          <w:sz w:val="20"/>
        </w:rPr>
        <w:t>Threshold Amount</w:t>
      </w:r>
      <w:r>
        <w:rPr>
          <w:rFonts w:ascii="Times New Roman" w:hAnsi="Times New Roman"/>
          <w:caps w:val="false"/>
          <w:smallCaps w:val="false"/>
          <w:sz w:val="20"/>
        </w:rPr>
        <w:t>” means $1,500,000.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Ticking Fee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Tilray Beverage Contribution</w:t>
      </w:r>
      <w:r>
        <w:rPr>
          <w:rFonts w:ascii="Times New Roman" w:hAnsi="Times New Roman"/>
          <w:caps w:val="false"/>
          <w:smallCaps w:val="false"/>
          <w:sz w:val="20"/>
        </w:rPr>
        <w:t>” means, the contribution by Holdings of all of the Equity Interests of Tilray Beverages to the Borrower or another Subsidiary of the Borrower that is a Loan Party whereby Tilray Beverages shall be a direct or indirect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Tilray Beverage Entities</w:t>
      </w:r>
      <w:r>
        <w:rPr>
          <w:rFonts w:ascii="Times New Roman" w:hAnsi="Times New Roman"/>
          <w:caps w:val="false"/>
          <w:smallCaps w:val="false"/>
          <w:sz w:val="20"/>
        </w:rPr>
        <w:t>” means, Tilray Beverages, Tilray ABC, LLC, American Beverage Crafts, LLC, Hi-Ball, Inc., Breckenridge Holdings Company, Breckenridge Wynkoop 2, LLC, BBI Acquisition Company, Breckenridge Brewery, LLC, Blue Point Brewing Company, Inc., 10 Barrel Brewing, LLC and 10 Barrel Brewing Idaho,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Tilray Beverages</w:t>
      </w:r>
      <w:r>
        <w:rPr>
          <w:rFonts w:ascii="Times New Roman" w:hAnsi="Times New Roman"/>
          <w:caps w:val="false"/>
          <w:smallCaps w:val="false"/>
          <w:sz w:val="20"/>
        </w:rPr>
        <w:t>” means Tilray Beverages, LLC, a Delaware limited liability company. “</w:t>
      </w:r>
      <w:r>
        <w:rPr>
          <w:rFonts w:ascii="Times New Roman" w:hAnsi="Times New Roman"/>
          <w:b/>
          <w:i/>
          <w:caps w:val="false"/>
          <w:smallCaps w:val="false"/>
          <w:sz w:val="20"/>
        </w:rPr>
        <w:t>Tilray Holdco M</w:t>
      </w:r>
      <w:r>
        <w:rPr>
          <w:rFonts w:ascii="Times New Roman" w:hAnsi="Times New Roman"/>
          <w:caps w:val="false"/>
          <w:smallCaps w:val="false"/>
          <w:sz w:val="20"/>
        </w:rPr>
        <w:t>” means Tilray Holdco M,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Total Credit Exposure</w:t>
      </w:r>
      <w:r>
        <w:rPr>
          <w:rFonts w:ascii="Times New Roman" w:hAnsi="Times New Roman"/>
          <w:caps w:val="false"/>
          <w:smallCaps w:val="false"/>
          <w:sz w:val="20"/>
        </w:rPr>
        <w:t>” means, as to any Lender at any time, the unused Commitments, Revolving Exposure and Outstanding Amount of all Term Loans (including all Delayed Draw Term Loans) of such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Total Delayed Draw Term Loan Outstandings</w:t>
      </w:r>
      <w:r>
        <w:rPr>
          <w:rFonts w:ascii="Times New Roman" w:hAnsi="Times New Roman"/>
          <w:caps w:val="false"/>
          <w:smallCaps w:val="false"/>
          <w:sz w:val="20"/>
        </w:rPr>
        <w:t>” means the aggregate Outstanding Amount of all Delayed Draw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Total Revolving Exposure</w:t>
      </w:r>
      <w:r>
        <w:rPr>
          <w:rFonts w:ascii="Times New Roman" w:hAnsi="Times New Roman"/>
          <w:caps w:val="false"/>
          <w:smallCaps w:val="false"/>
          <w:sz w:val="20"/>
        </w:rPr>
        <w:t>” means, as to any Revolving Lender at any time, the unused Commitments and Revolving Exposure of such Revolving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Total Revolving Outstandings</w:t>
      </w:r>
      <w:r>
        <w:rPr>
          <w:rFonts w:ascii="Times New Roman" w:hAnsi="Times New Roman"/>
          <w:caps w:val="false"/>
          <w:smallCaps w:val="false"/>
          <w:sz w:val="20"/>
        </w:rPr>
        <w:t>” means the aggregate Outstanding Amount of all Revolving Loans, Swingline Loans and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Trade Date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11.06(g)(i)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Transferred Lease Obligations</w:t>
      </w:r>
      <w:r>
        <w:rPr>
          <w:rFonts w:ascii="Times New Roman" w:hAnsi="Times New Roman"/>
          <w:caps w:val="false"/>
          <w:smallCaps w:val="false"/>
          <w:sz w:val="20"/>
        </w:rPr>
        <w:t>” means, any and all lease or similar payments made in cash by any Loan Party under the Transferred Leases. For the avoidance of doubt, commencing March 1, 2024, there shall be no expenses or costs attributable to the Transferred Lease Obligations so long as, with respect to each subject location, the applicable Property License remains in full force and effect for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Transferred Leases</w:t>
      </w:r>
      <w:r>
        <w:rPr>
          <w:rFonts w:ascii="Times New Roman" w:hAnsi="Times New Roman"/>
          <w:caps w:val="false"/>
          <w:smallCaps w:val="false"/>
          <w:sz w:val="20"/>
        </w:rPr>
        <w:t>” means, (a) that certain Commercial Lease dated February 29, 2016 between 10 Barrell Brewing, LLC and Basalt Lot 5, LLC, (b) that certain Commercial Lease dated February 29, 2016 between Blue Point Brewing Company, Inc. and Bud and Brewery, LLC and (c) that certain Lease Agreement dated as of January 14, 2016 between Craft Brew Alliance, Inc. and TA Pike Motorworks,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TTB</w:t>
      </w:r>
      <w:r>
        <w:rPr>
          <w:rFonts w:ascii="Times New Roman" w:hAnsi="Times New Roman"/>
          <w:caps w:val="false"/>
          <w:smallCaps w:val="false"/>
          <w:sz w:val="20"/>
        </w:rPr>
        <w:t>” means the Alcohol and Tobacco Tax and Trade Bureau.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Type</w:t>
      </w:r>
      <w:r>
        <w:rPr>
          <w:rFonts w:ascii="Times New Roman" w:hAnsi="Times New Roman"/>
          <w:caps w:val="false"/>
          <w:smallCaps w:val="false"/>
          <w:sz w:val="20"/>
        </w:rPr>
        <w:t>” means, with respect to a Loan, its character as a Base Rate Loan or a Term SOFR Loan. “</w:t>
      </w:r>
      <w:r>
        <w:rPr>
          <w:rFonts w:ascii="Times New Roman" w:hAnsi="Times New Roman"/>
          <w:b/>
          <w:i/>
          <w:caps w:val="false"/>
          <w:smallCaps w:val="false"/>
          <w:sz w:val="20"/>
        </w:rPr>
        <w:t>UCC</w:t>
      </w:r>
      <w:r>
        <w:rPr>
          <w:rFonts w:ascii="Times New Roman" w:hAnsi="Times New Roman"/>
          <w:caps w:val="false"/>
          <w:smallCaps w:val="false"/>
          <w:sz w:val="20"/>
        </w:rPr>
        <w:t xml:space="preserve">” means the Uniform Commercial Code as in effect in the State of New York; </w:t>
      </w:r>
      <w:r>
        <w:rPr>
          <w:rFonts w:ascii="Times New Roman" w:hAnsi="Times New Roman"/>
          <w:i/>
          <w:caps w:val="false"/>
          <w:smallCaps w:val="false"/>
          <w:sz w:val="20"/>
        </w:rPr>
        <w:t xml:space="preserve">provided </w:t>
      </w:r>
      <w:r>
        <w:rPr>
          <w:rFonts w:ascii="Times New Roman" w:hAnsi="Times New Roman"/>
          <w:caps w:val="false"/>
          <w:smallCaps w:val="false"/>
          <w:sz w:val="20"/>
        </w:rPr>
        <w:t>that,</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if perfection or the effect of perfection or non-perfection or the priority of any security interest in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Collateral is governed by the Uniform Commercial Code as in effect in a jurisdiction other than the State of New York, “</w:t>
      </w:r>
      <w:r>
        <w:rPr>
          <w:rFonts w:ascii="Times New Roman" w:hAnsi="Times New Roman"/>
          <w:b/>
          <w:i/>
          <w:caps w:val="false"/>
          <w:smallCaps w:val="false"/>
          <w:sz w:val="20"/>
        </w:rPr>
        <w:t>UCC</w:t>
      </w:r>
      <w:r>
        <w:rPr>
          <w:rFonts w:ascii="Times New Roman" w:hAnsi="Times New Roman"/>
          <w:caps w:val="false"/>
          <w:smallCaps w:val="false"/>
          <w:sz w:val="20"/>
        </w:rPr>
        <w:t>”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UCP</w:t>
      </w:r>
      <w:r>
        <w:rPr>
          <w:rFonts w:ascii="Times New Roman" w:hAnsi="Times New Roman"/>
          <w:caps w:val="false"/>
          <w:smallCaps w:val="false"/>
          <w:sz w:val="20"/>
        </w:rPr>
        <w:t>” means the Uniform Customs and Practice for Documentary Credits, International Chamber of Commerce Publication No. 600 (or such later version thereof as may be in effect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UK Financial Institution</w:t>
      </w:r>
      <w:r>
        <w:rPr>
          <w:rFonts w:ascii="Times New Roman" w:hAnsi="Times New Roman"/>
          <w:caps w:val="false"/>
          <w:smallCaps w:val="false"/>
          <w:sz w:val="20"/>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United States</w:t>
      </w:r>
      <w:r>
        <w:rPr>
          <w:rFonts w:ascii="Times New Roman" w:hAnsi="Times New Roman"/>
          <w:caps w:val="false"/>
          <w:smallCaps w:val="false"/>
          <w:sz w:val="20"/>
        </w:rPr>
        <w:t>” and “</w:t>
      </w:r>
      <w:r>
        <w:rPr>
          <w:rFonts w:ascii="Times New Roman" w:hAnsi="Times New Roman"/>
          <w:b/>
          <w:i/>
          <w:caps w:val="false"/>
          <w:smallCaps w:val="false"/>
          <w:sz w:val="20"/>
        </w:rPr>
        <w:t>U.S.</w:t>
      </w:r>
      <w:r>
        <w:rPr>
          <w:rFonts w:ascii="Times New Roman" w:hAnsi="Times New Roman"/>
          <w:caps w:val="false"/>
          <w:smallCaps w:val="false"/>
          <w:sz w:val="20"/>
        </w:rPr>
        <w:t>” mean the United States of America. “</w:t>
      </w:r>
      <w:r>
        <w:rPr>
          <w:rFonts w:ascii="Times New Roman" w:hAnsi="Times New Roman"/>
          <w:b/>
          <w:i/>
          <w:caps w:val="false"/>
          <w:smallCaps w:val="false"/>
          <w:sz w:val="20"/>
        </w:rPr>
        <w:t>Unreimbursed Amount</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2.03(f)</w:t>
      </w:r>
      <w:r>
        <w:rPr>
          <w:rFonts w:ascii="Times New Roman" w:hAnsi="Times New Roman"/>
          <w:caps w:val="false"/>
          <w:smallCaps w:val="false"/>
          <w:sz w:val="20"/>
        </w:rPr>
        <w:t>.</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Unrestricted Cash</w:t>
      </w:r>
      <w:r>
        <w:rPr>
          <w:rFonts w:ascii="Times New Roman" w:hAnsi="Times New Roman"/>
          <w:caps w:val="false"/>
          <w:smallCaps w:val="false"/>
          <w:sz w:val="20"/>
        </w:rPr>
        <w:t>” means, at any time, (a) the aggregate amount of cash and Cash Equivalents of the Loan Parties at such time that are not subject to any pledge, Lien or control agreement (other than (i) Liens in favor of the Administrative Agent and (ii) statutory Liens in favor of any depositary bank where such cash and Cash Equivalents are maintained) and held by the Administrative Agent or any Lender, minus</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amounts included in the foregoing clause (a) that are held by a Person other than the Borrower or any of its Subsidiaries as a deposit or security for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U.S. Government Securities Business Day</w:t>
      </w:r>
      <w:r>
        <w:rPr>
          <w:rFonts w:ascii="Times New Roman" w:hAnsi="Times New Roman"/>
          <w:caps w:val="false"/>
          <w:smallCaps w:val="false"/>
          <w:sz w:val="20"/>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U.S. Person</w:t>
      </w:r>
      <w:r>
        <w:rPr>
          <w:rFonts w:ascii="Times New Roman" w:hAnsi="Times New Roman"/>
          <w:caps w:val="false"/>
          <w:smallCaps w:val="false"/>
          <w:sz w:val="20"/>
        </w:rPr>
        <w:t>” means any Person that is a “</w:t>
      </w:r>
      <w:r>
        <w:rPr>
          <w:rFonts w:ascii="Times New Roman" w:hAnsi="Times New Roman"/>
          <w:i/>
          <w:caps w:val="false"/>
          <w:smallCaps w:val="false"/>
          <w:sz w:val="20"/>
        </w:rPr>
        <w:t>United States Person</w:t>
      </w:r>
      <w:r>
        <w:rPr>
          <w:rFonts w:ascii="Times New Roman" w:hAnsi="Times New Roman"/>
          <w:caps w:val="false"/>
          <w:smallCaps w:val="false"/>
          <w:sz w:val="20"/>
        </w:rPr>
        <w:t xml:space="preserve">” as defined in </w:t>
      </w:r>
      <w:r>
        <w:rPr>
          <w:rFonts w:ascii="Times New Roman" w:hAnsi="Times New Roman"/>
          <w:i/>
          <w:caps w:val="false"/>
          <w:smallCaps w:val="false"/>
          <w:sz w:val="20"/>
        </w:rPr>
        <w:t>Section 7701(a)(30)</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U.S. Outbound Investment Person</w:t>
      </w:r>
      <w:r>
        <w:rPr>
          <w:rFonts w:ascii="Times New Roman" w:hAnsi="Times New Roman"/>
          <w:caps w:val="false"/>
          <w:smallCaps w:val="false"/>
          <w:sz w:val="20"/>
        </w:rPr>
        <w:t>” 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U.S. Special Resolution Regimes</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11.21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 w:hAnsi="Times New Roman"/>
          <w:b/>
          <w:i/>
          <w:caps w:val="false"/>
          <w:smallCaps w:val="false"/>
          <w:sz w:val="20"/>
        </w:rPr>
        <w:t>U.S. Tax Compliance Certificate</w:t>
      </w:r>
      <w:r>
        <w:rPr>
          <w:rFonts w:ascii="Times New Roman" w:hAnsi="Times New Roman"/>
          <w:caps w:val="false"/>
          <w:smallCaps w:val="false"/>
          <w:sz w:val="20"/>
        </w:rPr>
        <w:t xml:space="preserve">” has the meaning specified in </w:t>
      </w:r>
      <w:r>
        <w:rPr>
          <w:rFonts w:ascii="Times New Roman" w:hAnsi="Times New Roman"/>
          <w:b/>
          <w:i/>
          <w:caps w:val="false"/>
          <w:smallCaps w:val="false"/>
          <w:sz w:val="20"/>
        </w:rPr>
        <w:t>Section 3.01(f)(ii)(B)(3)</w:t>
      </w:r>
      <w:r>
        <w:rPr>
          <w:rFonts w:ascii="Times New Roman" w:hAnsi="Times New Roman"/>
          <w:caps w:val="false"/>
          <w:smallCaps w:val="false"/>
          <w:sz w:val="20"/>
        </w:rPr>
        <w:t>. “</w:t>
      </w:r>
      <w:r>
        <w:rPr>
          <w:rFonts w:ascii="Times New Roman" w:hAnsi="Times New Roman"/>
          <w:b/>
          <w:i/>
          <w:caps w:val="false"/>
          <w:smallCaps w:val="false"/>
          <w:sz w:val="20"/>
        </w:rPr>
        <w:t>Voting Stock</w:t>
      </w:r>
      <w:r>
        <w:rPr>
          <w:rFonts w:ascii="Times New Roman" w:hAnsi="Times New Roman"/>
          <w:caps w:val="false"/>
          <w:smallCaps w:val="false"/>
          <w:sz w:val="20"/>
        </w:rPr>
        <w:t>” means, with respect to any Person, Equity Interests issued by such Person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holders of which are ordinarily, in the absence of contingencies, entitled to vote for the election of directors (or persons performing similar functions) of such Person, even though the right to so vote has been suspended by the happening of such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Weighted Average Life to Maturity</w:t>
      </w:r>
      <w:r>
        <w:rPr>
          <w:rFonts w:ascii="Times New Roman" w:hAnsi="Times New Roman"/>
          <w:caps w:val="false"/>
          <w:smallCaps w:val="false"/>
          <w:sz w:val="20"/>
        </w:rPr>
        <w:t>”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1/12) that will elapse between such date and the making of such payment; by (b) the then outstanding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 w:hAnsi="Times New Roman"/>
          <w:b/>
          <w:i/>
          <w:caps w:val="false"/>
          <w:smallCaps w:val="false"/>
          <w:sz w:val="20"/>
        </w:rPr>
        <w:t>Withholding Agent</w:t>
      </w:r>
      <w:r>
        <w:rPr>
          <w:rFonts w:ascii="Times New Roman" w:hAnsi="Times New Roman"/>
          <w:caps w:val="false"/>
          <w:smallCaps w:val="false"/>
          <w:sz w:val="20"/>
        </w:rPr>
        <w:t>” means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i/>
          <w:caps w:val="false"/>
          <w:smallCaps w:val="false"/>
          <w:sz w:val="20"/>
        </w:rPr>
        <w:t>Write-Down and Conversion Powers</w:t>
      </w:r>
      <w:r>
        <w:rPr>
          <w:rFonts w:ascii="Times New Roman" w:hAnsi="Times New Roman"/>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b/>
          <w:caps w:val="false"/>
          <w:smallCaps w:val="false"/>
          <w:sz w:val="20"/>
        </w:rPr>
        <w:t>Other Interpretive Provisions</w:t>
      </w:r>
      <w:r>
        <w:rPr>
          <w:rFonts w:ascii="Times New Roman" w:hAnsi="Times New Roman"/>
          <w:caps w:val="false"/>
          <w:smallCaps w:val="false"/>
          <w:sz w:val="20"/>
        </w:rPr>
        <w:t>. With reference to this Agreement and each other Loan Document, unless otherwise specified herein or in such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i/>
          <w:caps w:val="false"/>
          <w:smallCaps w:val="false"/>
          <w:sz w:val="20"/>
        </w:rPr>
        <w:t>include,</w:t>
      </w:r>
      <w:r>
        <w:rPr>
          <w:rFonts w:ascii="Times New Roman" w:hAnsi="Times New Roman"/>
          <w:caps w:val="false"/>
          <w:smallCaps w:val="false"/>
          <w:sz w:val="20"/>
        </w:rPr>
        <w:t>” “</w:t>
      </w:r>
      <w:r>
        <w:rPr>
          <w:rFonts w:ascii="Times New Roman" w:hAnsi="Times New Roman"/>
          <w:i/>
          <w:caps w:val="false"/>
          <w:smallCaps w:val="false"/>
          <w:sz w:val="20"/>
        </w:rPr>
        <w:t>includes</w:t>
      </w:r>
      <w:r>
        <w:rPr>
          <w:rFonts w:ascii="Times New Roman" w:hAnsi="Times New Roman"/>
          <w:caps w:val="false"/>
          <w:smallCaps w:val="false"/>
          <w:sz w:val="20"/>
        </w:rPr>
        <w:t>” and “</w:t>
      </w:r>
      <w:r>
        <w:rPr>
          <w:rFonts w:ascii="Times New Roman" w:hAnsi="Times New Roman"/>
          <w:i/>
          <w:caps w:val="false"/>
          <w:smallCaps w:val="false"/>
          <w:sz w:val="20"/>
        </w:rPr>
        <w:t>including</w:t>
      </w:r>
      <w:r>
        <w:rPr>
          <w:rFonts w:ascii="Times New Roman" w:hAnsi="Times New Roman"/>
          <w:caps w:val="false"/>
          <w:smallCaps w:val="false"/>
          <w:sz w:val="20"/>
        </w:rPr>
        <w:t>” shall be deemed to be followed by the phrase “</w:t>
      </w:r>
      <w:r>
        <w:rPr>
          <w:rFonts w:ascii="Times New Roman" w:hAnsi="Times New Roman"/>
          <w:i/>
          <w:caps w:val="false"/>
          <w:smallCaps w:val="false"/>
          <w:sz w:val="20"/>
        </w:rPr>
        <w:t>without limitation.</w:t>
      </w:r>
      <w:r>
        <w:rPr>
          <w:rFonts w:ascii="Times New Roman" w:hAnsi="Times New Roman"/>
          <w:caps w:val="false"/>
          <w:smallCaps w:val="false"/>
          <w:sz w:val="20"/>
        </w:rPr>
        <w:t>” The word “</w:t>
      </w:r>
      <w:r>
        <w:rPr>
          <w:rFonts w:ascii="Times New Roman" w:hAnsi="Times New Roman"/>
          <w:i/>
          <w:caps w:val="false"/>
          <w:smallCaps w:val="false"/>
          <w:sz w:val="20"/>
        </w:rPr>
        <w:t>will</w:t>
      </w:r>
      <w:r>
        <w:rPr>
          <w:rFonts w:ascii="Times New Roman" w:hAnsi="Times New Roman"/>
          <w:caps w:val="false"/>
          <w:smallCaps w:val="false"/>
          <w:sz w:val="20"/>
        </w:rPr>
        <w:t>” shall be construed to have the same meaning and effect as the word “</w:t>
      </w:r>
      <w:r>
        <w:rPr>
          <w:rFonts w:ascii="Times New Roman" w:hAnsi="Times New Roman"/>
          <w:i/>
          <w:caps w:val="false"/>
          <w:smallCaps w:val="false"/>
          <w:sz w:val="20"/>
        </w:rPr>
        <w:t>shall.</w:t>
      </w:r>
      <w:r>
        <w:rPr>
          <w:rFonts w:ascii="Times New Roman" w:hAnsi="Times New Roman"/>
          <w:caps w:val="false"/>
          <w:smallCaps w:val="false"/>
          <w:sz w:val="20"/>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hAnsi="Times New Roman"/>
          <w:i/>
          <w:caps w:val="false"/>
          <w:smallCaps w:val="false"/>
          <w:sz w:val="20"/>
        </w:rPr>
        <w:t>hereto,</w:t>
      </w:r>
      <w:r>
        <w:rPr>
          <w:rFonts w:ascii="Times New Roman" w:hAnsi="Times New Roman"/>
          <w:caps w:val="false"/>
          <w:smallCaps w:val="false"/>
          <w:sz w:val="20"/>
        </w:rPr>
        <w:t>” “</w:t>
      </w:r>
      <w:r>
        <w:rPr>
          <w:rFonts w:ascii="Times New Roman" w:hAnsi="Times New Roman"/>
          <w:i/>
          <w:caps w:val="false"/>
          <w:smallCaps w:val="false"/>
          <w:sz w:val="20"/>
        </w:rPr>
        <w:t>herein,</w:t>
      </w:r>
      <w:r>
        <w:rPr>
          <w:rFonts w:ascii="Times New Roman" w:hAnsi="Times New Roman"/>
          <w:caps w:val="false"/>
          <w:smallCaps w:val="false"/>
          <w:sz w:val="20"/>
        </w:rPr>
        <w:t>” “</w:t>
      </w:r>
      <w:r>
        <w:rPr>
          <w:rFonts w:ascii="Times New Roman" w:hAnsi="Times New Roman"/>
          <w:i/>
          <w:caps w:val="false"/>
          <w:smallCaps w:val="false"/>
          <w:sz w:val="20"/>
        </w:rPr>
        <w:t>hereof</w:t>
      </w:r>
      <w:r>
        <w:rPr>
          <w:rFonts w:ascii="Times New Roman" w:hAnsi="Times New Roman"/>
          <w:caps w:val="false"/>
          <w:smallCaps w:val="false"/>
          <w:sz w:val="20"/>
        </w:rPr>
        <w:t>” and “</w:t>
      </w:r>
      <w:r>
        <w:rPr>
          <w:rFonts w:ascii="Times New Roman" w:hAnsi="Times New Roman"/>
          <w:i/>
          <w:caps w:val="false"/>
          <w:smallCaps w:val="false"/>
          <w:sz w:val="20"/>
        </w:rPr>
        <w:t>hereunder,</w:t>
      </w:r>
      <w:r>
        <w:rPr>
          <w:rFonts w:ascii="Times New Roman" w:hAnsi="Times New Roman"/>
          <w:caps w:val="false"/>
          <w:smallCaps w:val="false"/>
          <w:sz w:val="20"/>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w:t>
      </w:r>
      <w:r>
        <w:rPr>
          <w:rFonts w:ascii="Times New Roman" w:hAnsi="Times New Roman"/>
          <w:i/>
          <w:caps w:val="false"/>
          <w:smallCaps w:val="false"/>
          <w:sz w:val="20"/>
        </w:rPr>
        <w:t>asset</w:t>
      </w:r>
      <w:r>
        <w:rPr>
          <w:rFonts w:ascii="Times New Roman" w:hAnsi="Times New Roman"/>
          <w:caps w:val="false"/>
          <w:smallCaps w:val="false"/>
          <w:sz w:val="20"/>
        </w:rPr>
        <w:t>” and “</w:t>
      </w:r>
      <w:r>
        <w:rPr>
          <w:rFonts w:ascii="Times New Roman" w:hAnsi="Times New Roman"/>
          <w:i/>
          <w:caps w:val="false"/>
          <w:smallCaps w:val="false"/>
          <w:sz w:val="20"/>
        </w:rPr>
        <w:t>property</w:t>
      </w:r>
      <w:r>
        <w:rPr>
          <w:rFonts w:ascii="Times New Roman" w:hAnsi="Times New Roman"/>
          <w:caps w:val="false"/>
          <w:smallCaps w:val="false"/>
          <w:sz w:val="20"/>
        </w:rPr>
        <w:t>”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In the computation of periods of time from a specified date to a later specified date, the word “</w:t>
      </w:r>
      <w:r>
        <w:rPr>
          <w:rFonts w:ascii="Times New Roman" w:hAnsi="Times New Roman"/>
          <w:b/>
          <w:i/>
          <w:caps w:val="false"/>
          <w:smallCaps w:val="false"/>
          <w:sz w:val="20"/>
        </w:rPr>
        <w:t>from</w:t>
      </w:r>
      <w:r>
        <w:rPr>
          <w:rFonts w:ascii="Times New Roman" w:hAnsi="Times New Roman"/>
          <w:caps w:val="false"/>
          <w:smallCaps w:val="false"/>
          <w:sz w:val="20"/>
        </w:rPr>
        <w:t>” means “from and including;” the words “</w:t>
      </w:r>
      <w:r>
        <w:rPr>
          <w:rFonts w:ascii="Times New Roman" w:hAnsi="Times New Roman"/>
          <w:b/>
          <w:i/>
          <w:caps w:val="false"/>
          <w:smallCaps w:val="false"/>
          <w:sz w:val="20"/>
        </w:rPr>
        <w:t>to</w:t>
      </w:r>
      <w:r>
        <w:rPr>
          <w:rFonts w:ascii="Times New Roman" w:hAnsi="Times New Roman"/>
          <w:caps w:val="false"/>
          <w:smallCaps w:val="false"/>
          <w:sz w:val="20"/>
        </w:rPr>
        <w:t>” and “</w:t>
      </w:r>
      <w:r>
        <w:rPr>
          <w:rFonts w:ascii="Times New Roman" w:hAnsi="Times New Roman"/>
          <w:b/>
          <w:i/>
          <w:caps w:val="false"/>
          <w:smallCaps w:val="false"/>
          <w:sz w:val="20"/>
        </w:rPr>
        <w:t>until</w:t>
      </w:r>
      <w:r>
        <w:rPr>
          <w:rFonts w:ascii="Times New Roman" w:hAnsi="Times New Roman"/>
          <w:caps w:val="false"/>
          <w:smallCaps w:val="false"/>
          <w:sz w:val="20"/>
        </w:rPr>
        <w:t>” each mean “to but excluding;” and the word “</w:t>
      </w:r>
      <w:r>
        <w:rPr>
          <w:rFonts w:ascii="Times New Roman" w:hAnsi="Times New Roman"/>
          <w:b/>
          <w:i/>
          <w:caps w:val="false"/>
          <w:smallCaps w:val="false"/>
          <w:sz w:val="20"/>
        </w:rPr>
        <w:t>through</w:t>
      </w:r>
      <w:r>
        <w:rPr>
          <w:rFonts w:ascii="Times New Roman" w:hAnsi="Times New Roman"/>
          <w:caps w:val="false"/>
          <w:smallCaps w:val="false"/>
          <w:sz w:val="20"/>
        </w:rPr>
        <w:t>”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Section headings herein and in the other Loan Documents are included for convenience of reference only and shall not affect the interpretation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Any reference herein to a merger, transfer, consolidation, amalgamation, assignment, sale, disposition or transfer, or similar term, shall be deemed to apply to a division of or by a limited liability company, or an allocation of assets to a series of 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380"/>
        <w:gridCol w:w="16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Accounting Terms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Generally</w:t>
      </w:r>
      <w:r>
        <w:rPr>
          <w:rFonts w:ascii="Times New Roman" w:hAnsi="Times New Roman"/>
          <w:caps w:val="false"/>
          <w:smallCaps w:val="false"/>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Specified Financial Statements, except as otherwise specifically prescribed herein. Notwithstanding the foregoing, for purposes of determining compliance with any covenant (including the computation of any financial covenant) contained herein, (i) Indebtedness of the Loan Parties and their Subsidiaries shall be deemed to be carried at 100% of the outstanding principal amount thereof, and the effects of FASB ASC 825 and FASB ASC 470-20 on financial liabilities shall be disregarded and (ii) all terms of an accounting or financial nature used herein shall be construed, and all computations of amounts and ratios referred to herein shall be made, without giving effect to any election under FASB ASC Topic 825 “</w:t>
      </w:r>
      <w:r>
        <w:rPr>
          <w:rFonts w:ascii="Times New Roman" w:hAnsi="Times New Roman"/>
          <w:i/>
          <w:caps w:val="false"/>
          <w:smallCaps w:val="false"/>
          <w:sz w:val="20"/>
        </w:rPr>
        <w:t>Financial Instruments</w:t>
      </w:r>
      <w:r>
        <w:rPr>
          <w:rFonts w:ascii="Times New Roman" w:hAnsi="Times New Roman"/>
          <w:caps w:val="false"/>
          <w:smallCaps w:val="false"/>
          <w:sz w:val="20"/>
        </w:rPr>
        <w:t>” (or any other financial accounting standard having a similar result or effect) to value any Indebtedness of any Loan Party or any Subsidiary at “</w:t>
      </w:r>
      <w:r>
        <w:rPr>
          <w:rFonts w:ascii="Times New Roman" w:hAnsi="Times New Roman"/>
          <w:i/>
          <w:caps w:val="false"/>
          <w:smallCaps w:val="false"/>
          <w:sz w:val="20"/>
        </w:rPr>
        <w:t>fair value</w:t>
      </w:r>
      <w:r>
        <w:rPr>
          <w:rFonts w:ascii="Times New Roman" w:hAnsi="Times New Roman"/>
          <w:caps w:val="false"/>
          <w:smallCaps w:val="false"/>
          <w:sz w:val="20"/>
        </w:rPr>
        <w:t>”, as defined therein. For purposes of determining the amount of any outstanding Indebtedness, no effect shall be given to (x) any election by the Borrower to measure an item of Indebtedness using fair value (as permitted by Financial Accounting Standards Board Accounting Standards Codification 825-10-25 (formerly known as FASB 159) or any similar accounting standard) or (y) any change in accounting for leases pursuant to GAAP resulting from the implementation of Financial Accounting Standards Board ASU No. 2016-02, Leases (Topic 842), to the extent such adoption would require recognition of a lease liability where such lease (or similar arrangement) would not have required a lease liability under GAAP as in effect on December 31, 2015.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Changes in GAAP</w:t>
      </w:r>
      <w:r>
        <w:rPr>
          <w:rFonts w:ascii="Times New Roman" w:hAnsi="Times New Roman"/>
          <w:caps w:val="false"/>
          <w:smallCaps w:val="false"/>
          <w:sz w:val="20"/>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i/>
          <w:caps w:val="false"/>
          <w:smallCaps w:val="false"/>
          <w:sz w:val="20"/>
        </w:rPr>
        <w:t xml:space="preserve">provided </w:t>
      </w:r>
      <w:r>
        <w:rPr>
          <w:rFonts w:ascii="Times New Roman" w:hAnsi="Times New Roman"/>
          <w:caps w:val="false"/>
          <w:smallCaps w:val="false"/>
          <w:sz w:val="20"/>
        </w:rPr>
        <w:t>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Consolidation of Variable Interest Entities</w:t>
      </w:r>
      <w:r>
        <w:rPr>
          <w:rFonts w:ascii="Times New Roman" w:hAnsi="Times New Roman"/>
          <w:caps w:val="false"/>
          <w:smallCaps w:val="false"/>
          <w:sz w:val="20"/>
        </w:rPr>
        <w:t>. All references herein to consolidated financial statements of the Loan Party Group Companies or to the determination of any amount for the Loan Party Group Companies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Pro Forma Treatment</w:t>
      </w:r>
      <w:r>
        <w:rPr>
          <w:rFonts w:ascii="Times New Roman" w:hAnsi="Times New Roman"/>
          <w:caps w:val="false"/>
          <w:smallCaps w:val="false"/>
          <w:sz w:val="20"/>
        </w:rPr>
        <w:t xml:space="preserve">. Each Disposition of all or substantially all of a line of business, each Acquisition and the Hemp Contribution, by any Loan Party and its Subsidiaries that is consummated during any four Fiscal Quarter period shall, for purposes of determining compliance with the financial covenants set forth in </w:t>
      </w:r>
      <w:r>
        <w:rPr>
          <w:rFonts w:ascii="Times New Roman" w:hAnsi="Times New Roman"/>
          <w:b/>
          <w:i/>
          <w:caps w:val="false"/>
          <w:smallCaps w:val="false"/>
          <w:sz w:val="20"/>
        </w:rPr>
        <w:t xml:space="preserve">Section 7.04 </w:t>
      </w:r>
      <w:r>
        <w:rPr>
          <w:rFonts w:ascii="Times New Roman" w:hAnsi="Times New Roman"/>
          <w:caps w:val="false"/>
          <w:smallCaps w:val="false"/>
          <w:sz w:val="20"/>
        </w:rPr>
        <w:t>and for purposes of determining the Applicable Rate, be given Pro Forma Effect as of the first day of such four Fiscal 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1.04    </w:t>
      </w:r>
      <w:r>
        <w:rPr>
          <w:rFonts w:ascii="Times New Roman" w:hAnsi="Times New Roman"/>
          <w:b/>
          <w:caps w:val="false"/>
          <w:smallCaps w:val="false"/>
          <w:sz w:val="20"/>
        </w:rPr>
        <w:t>Rounding</w:t>
      </w:r>
      <w:r>
        <w:rPr>
          <w:rFonts w:ascii="Times New Roman" w:hAnsi="Times New Roman"/>
          <w:caps w:val="false"/>
          <w:smallCaps w:val="false"/>
          <w:sz w:val="20"/>
        </w:rPr>
        <w:t>. Any financial ratios required to be maintained by the Borrower pursuant to this Agreement shall be calculated by dividing the appropriate component by the other component, carrying the result to one (1)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1.05    </w:t>
      </w:r>
      <w:r>
        <w:rPr>
          <w:rFonts w:ascii="Times New Roman" w:hAnsi="Times New Roman"/>
          <w:b/>
          <w:caps w:val="false"/>
          <w:smallCaps w:val="false"/>
          <w:sz w:val="20"/>
        </w:rPr>
        <w:t>Times of Day</w:t>
      </w:r>
      <w:r>
        <w:rPr>
          <w:rFonts w:ascii="Times New Roman" w:hAnsi="Times New Roman"/>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1.06    </w:t>
      </w:r>
      <w:r>
        <w:rPr>
          <w:rFonts w:ascii="Times New Roman" w:hAnsi="Times New Roman"/>
          <w:b/>
          <w:caps w:val="false"/>
          <w:smallCaps w:val="false"/>
          <w:sz w:val="20"/>
        </w:rPr>
        <w:t>Letter of Credit Amounts</w:t>
      </w:r>
      <w:r>
        <w:rPr>
          <w:rFonts w:ascii="Times New Roman" w:hAnsi="Times New Roman"/>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with respect to any Letter of Credit that, by its terms or the terms of any Issuer Document related thereto, provides for one (1)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1.07    </w:t>
      </w:r>
      <w:r>
        <w:rPr>
          <w:rFonts w:ascii="Times New Roman" w:hAnsi="Times New Roman"/>
          <w:b/>
          <w:caps w:val="false"/>
          <w:smallCaps w:val="false"/>
          <w:sz w:val="20"/>
        </w:rPr>
        <w:t>UCC Terms</w:t>
      </w:r>
      <w:r>
        <w:rPr>
          <w:rFonts w:ascii="Times New Roman" w:hAnsi="Times New Roman"/>
          <w:caps w:val="false"/>
          <w:smallCaps w:val="false"/>
          <w:sz w:val="20"/>
        </w:rPr>
        <w:t>. Terms defined in the UCC in effect on the Closing Date and not otherwise defined herein shall, unless the context otherwise indicates, have the meanings provided by those definitions. Subject to the foregoing, the term “</w:t>
      </w:r>
      <w:r>
        <w:rPr>
          <w:rFonts w:ascii="Times New Roman" w:hAnsi="Times New Roman"/>
          <w:b/>
          <w:i/>
          <w:caps w:val="false"/>
          <w:smallCaps w:val="false"/>
          <w:sz w:val="20"/>
        </w:rPr>
        <w:t>UCC</w:t>
      </w:r>
      <w:r>
        <w:rPr>
          <w:rFonts w:ascii="Times New Roman" w:hAnsi="Times New Roman"/>
          <w:caps w:val="false"/>
          <w:smallCaps w:val="false"/>
          <w:sz w:val="20"/>
        </w:rPr>
        <w:t>” refers, as of any date of determination, to the UCC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1.08    </w:t>
      </w:r>
      <w:r>
        <w:rPr>
          <w:rFonts w:ascii="Times New Roman" w:hAnsi="Times New Roman"/>
          <w:b/>
          <w:caps w:val="false"/>
          <w:smallCaps w:val="false"/>
          <w:sz w:val="20"/>
        </w:rPr>
        <w:t>Rates</w:t>
      </w:r>
      <w:r>
        <w:rPr>
          <w:rFonts w:ascii="Times New Roman" w:hAnsi="Times New Roman"/>
          <w:caps w:val="false"/>
          <w:smallCaps w:val="false"/>
          <w:sz w:val="20"/>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380"/>
        <w:gridCol w:w="26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1.09</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Limited Condition Acquisition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Notwithstanding anything to the contrary in this Agreement but subject to </w:t>
      </w:r>
      <w:r>
        <w:rPr>
          <w:rFonts w:ascii="Times New Roman" w:hAnsi="Times New Roman"/>
          <w:b/>
          <w:i/>
          <w:caps w:val="false"/>
          <w:smallCaps w:val="false"/>
          <w:sz w:val="20"/>
        </w:rPr>
        <w:t>Section 1.09(c)</w:t>
      </w:r>
      <w:r>
        <w:rPr>
          <w:rFonts w:ascii="Times New Roman" w:hAnsi="Times New Roman"/>
          <w:caps w:val="false"/>
          <w:smallCaps w:val="false"/>
          <w:sz w:val="20"/>
        </w:rPr>
        <w:t>, for purposes of (i) determining compliance with any provision of this Agreement that requires the calculation of the Consolidated Leverage Ratio or the Consolidated Fixed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Coverage Ratio, determining compliance with representations, warranties, defaults or events of default or (ii) testing availability under baskets set forth herein, in each case, in connection with a Permitted Acquisition or Investment by the Loan Parties, in each case whose consummation is not conditioned on the availability of, or on obtaining, third party financing (any such acquisition, a “</w:t>
      </w:r>
      <w:r>
        <w:rPr>
          <w:rFonts w:ascii="Times New Roman" w:hAnsi="Times New Roman"/>
          <w:b/>
          <w:i/>
          <w:caps w:val="false"/>
          <w:smallCaps w:val="false"/>
          <w:sz w:val="20"/>
        </w:rPr>
        <w:t>Limited Condition Acquisition</w:t>
      </w:r>
      <w:r>
        <w:rPr>
          <w:rFonts w:ascii="Times New Roman" w:hAnsi="Times New Roman"/>
          <w:caps w:val="false"/>
          <w:smallCaps w:val="false"/>
          <w:sz w:val="20"/>
        </w:rPr>
        <w:t>”), at the irrevocable option of the Borrower (the Borrower’s election to exercise such option in connection with any Limited Condition Acquisition, an “</w:t>
      </w:r>
      <w:r>
        <w:rPr>
          <w:rFonts w:ascii="Times New Roman" w:hAnsi="Times New Roman"/>
          <w:b/>
          <w:i/>
          <w:caps w:val="false"/>
          <w:smallCaps w:val="false"/>
          <w:sz w:val="20"/>
        </w:rPr>
        <w:t>LCA Election</w:t>
      </w:r>
      <w:r>
        <w:rPr>
          <w:rFonts w:ascii="Times New Roman" w:hAnsi="Times New Roman"/>
          <w:caps w:val="false"/>
          <w:smallCaps w:val="false"/>
          <w:sz w:val="20"/>
        </w:rPr>
        <w:t>”), the date of determination of whether any such Limited Condition Acquisition is permitted hereunder shall be deemed to be the date the definitive agreements for such Limited Condition Acquisition are entered into (the “</w:t>
      </w:r>
      <w:r>
        <w:rPr>
          <w:rFonts w:ascii="Times New Roman" w:hAnsi="Times New Roman"/>
          <w:b/>
          <w:i/>
          <w:caps w:val="false"/>
          <w:smallCaps w:val="false"/>
          <w:sz w:val="20"/>
        </w:rPr>
        <w:t>LCA Test Date</w:t>
      </w:r>
      <w:r>
        <w:rPr>
          <w:rFonts w:ascii="Times New Roman" w:hAnsi="Times New Roman"/>
          <w:caps w:val="false"/>
          <w:smallCaps w:val="false"/>
          <w:sz w:val="20"/>
        </w:rPr>
        <w:t xml:space="preserve">”), and if, after giving </w:t>
      </w:r>
      <w:r>
        <w:rPr>
          <w:rFonts w:ascii="Times New Roman" w:hAnsi="Times New Roman"/>
          <w:i/>
          <w:caps w:val="false"/>
          <w:smallCaps w:val="false"/>
          <w:sz w:val="20"/>
        </w:rPr>
        <w:t xml:space="preserve">pro forma </w:t>
      </w:r>
      <w:r>
        <w:rPr>
          <w:rFonts w:ascii="Times New Roman" w:hAnsi="Times New Roman"/>
          <w:caps w:val="false"/>
          <w:smallCaps w:val="false"/>
          <w:sz w:val="20"/>
        </w:rPr>
        <w:t xml:space="preserve">effect to the Limited Condition Acquisition and the other transactions to be entered into in connection therewith as if they had occurred at the beginning of the most recent Fiscal Quarter ending before the LCA Test Date, the Borrower could have taken such action on the relevant LCA Test Date in compliance with such ratio or basket, such ratio or basket shall be deemed to have been complied with for such Limited Condition Acquisition; </w:t>
      </w:r>
      <w:r>
        <w:rPr>
          <w:rFonts w:ascii="Times New Roman" w:hAnsi="Times New Roman"/>
          <w:i/>
          <w:caps w:val="false"/>
          <w:smallCaps w:val="false"/>
          <w:sz w:val="20"/>
        </w:rPr>
        <w:t xml:space="preserve">provided </w:t>
      </w:r>
      <w:r>
        <w:rPr>
          <w:rFonts w:ascii="Times New Roman" w:hAnsi="Times New Roman"/>
          <w:caps w:val="false"/>
          <w:smallCaps w:val="false"/>
          <w:sz w:val="20"/>
        </w:rPr>
        <w:t>that, no LCA Test Date may occur more than 120 days before consummation of the applicable Limited Condition Acquisition 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Subject to </w:t>
      </w:r>
      <w:r>
        <w:rPr>
          <w:rFonts w:ascii="Times New Roman" w:hAnsi="Times New Roman"/>
          <w:b/>
          <w:i/>
          <w:caps w:val="false"/>
          <w:smallCaps w:val="false"/>
          <w:sz w:val="20"/>
        </w:rPr>
        <w:t>Section 1.09(c)</w:t>
      </w:r>
      <w:r>
        <w:rPr>
          <w:rFonts w:ascii="Times New Roman" w:hAnsi="Times New Roman"/>
          <w:caps w:val="false"/>
          <w:smallCaps w:val="false"/>
          <w:sz w:val="20"/>
        </w:rPr>
        <w:t xml:space="preserve">, to avoid doubt, if the Borrower has made an LCA Election and any of the ratios or baskets for which compliance was determined or tested as of the LCA Test Date (including with respect to the incurrence of any Indebtedness) are exceeded as a result of fluctuations in any such ratio or basket (including due to fluctuations of the target of any Limited Condition Acquisition) at or before consummation of the relevant transaction or action, such ratios or baskets will not be deemed to have been exceeded as a result of such fluctuations. If the Borrower has made an LCA Election for any Limited Condition Acquisition, then in connection with any subsequent calculation of any ratio or basket (other than maintenance testing of the financial covenants in </w:t>
      </w:r>
      <w:r>
        <w:rPr>
          <w:rFonts w:ascii="Times New Roman" w:hAnsi="Times New Roman"/>
          <w:b/>
          <w:i/>
          <w:caps w:val="false"/>
          <w:smallCaps w:val="false"/>
          <w:sz w:val="20"/>
        </w:rPr>
        <w:t>Section 7.04</w:t>
      </w:r>
      <w:r>
        <w:rPr>
          <w:rFonts w:ascii="Times New Roman" w:hAnsi="Times New Roman"/>
          <w:caps w:val="false"/>
          <w:smallCaps w:val="false"/>
          <w:sz w:val="20"/>
        </w:rPr>
        <w:t>) on or following the relevant LCA Test Date and before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(x) calculated on a Pro Forma Basis assuming such Limited Condition Acquisition and other transactions in connection therewith (including any incurrence of debt and the use of proceeds thereof) have been consummated, and (y) calculated (and tested) on a Pro Forma Basis assuming such Limited Condition Acquisition and other transactions in connection therewith (including any incurrence of Indebtedness and the use of proceeds thereof) have not been consummated, as applicable;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(other than solely with respect to the incurrence test under which such Limited Condition Acquisition is being made and the test set forth in the immediately preceding </w:t>
      </w:r>
      <w:r>
        <w:rPr>
          <w:rFonts w:ascii="Times New Roman" w:hAnsi="Times New Roman"/>
          <w:b/>
          <w:i/>
          <w:caps w:val="false"/>
          <w:smallCaps w:val="false"/>
          <w:sz w:val="20"/>
        </w:rPr>
        <w:t>clause (x)</w:t>
      </w:r>
      <w:r>
        <w:rPr>
          <w:rFonts w:ascii="Times New Roman" w:hAnsi="Times New Roman"/>
          <w:caps w:val="false"/>
          <w:smallCaps w:val="false"/>
          <w:sz w:val="20"/>
        </w:rPr>
        <w:t>) Consolidated EBITDA of any target of such Limited Condition Acquisition can only be used in the determination of the relevant ratio and baskets if and when such Limited Condition Acquisition has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Notwithstanding any other provision of this </w:t>
      </w:r>
      <w:r>
        <w:rPr>
          <w:rFonts w:ascii="Times New Roman" w:hAnsi="Times New Roman"/>
          <w:b/>
          <w:i/>
          <w:caps w:val="false"/>
          <w:smallCaps w:val="false"/>
          <w:sz w:val="20"/>
        </w:rPr>
        <w:t>Section 1.09</w:t>
      </w:r>
      <w:r>
        <w:rPr>
          <w:rFonts w:ascii="Times New Roman" w:hAnsi="Times New Roman"/>
          <w:caps w:val="false"/>
          <w:smallCaps w:val="false"/>
          <w:sz w:val="20"/>
        </w:rPr>
        <w:t xml:space="preserve">, (a) the aggregate consideration for (i) each Limited Condition Acquisition may not exceed $5,000,000, and (ii) all Limited Condition Acquisitions in any Fiscal Year of the Borrower may not exceed $5,000,000, and (b) this </w:t>
      </w:r>
      <w:r>
        <w:rPr>
          <w:rFonts w:ascii="Times New Roman" w:hAnsi="Times New Roman"/>
          <w:b/>
          <w:i/>
          <w:caps w:val="false"/>
          <w:smallCaps w:val="false"/>
          <w:sz w:val="20"/>
        </w:rPr>
        <w:t xml:space="preserve">Section 1.09 </w:t>
      </w:r>
      <w:r>
        <w:rPr>
          <w:rFonts w:ascii="Times New Roman" w:hAnsi="Times New Roman"/>
          <w:caps w:val="false"/>
          <w:smallCaps w:val="false"/>
          <w:sz w:val="20"/>
        </w:rPr>
        <w:t xml:space="preserve">is subject to </w:t>
      </w:r>
      <w:r>
        <w:rPr>
          <w:rFonts w:ascii="Times New Roman" w:hAnsi="Times New Roman"/>
          <w:b/>
          <w:i/>
          <w:caps w:val="false"/>
          <w:smallCaps w:val="false"/>
          <w:sz w:val="20"/>
        </w:rPr>
        <w:t>Section 7.11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1.10 </w:t>
      </w:r>
      <w:r>
        <w:rPr>
          <w:rFonts w:ascii="Times New Roman" w:hAnsi="Times New Roman"/>
          <w:b/>
          <w:caps w:val="false"/>
          <w:smallCaps w:val="false"/>
          <w:sz w:val="20"/>
        </w:rPr>
        <w:t>Treatment of Holdings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(i) Holdings shall not be deemed a Loan Party for any purposes of this Agreement or any other Loan Document, (ii) Holdings shall not be deemed to be subject to, or covered by, any of the representations or warranties set forth in Article V hereof, (iii) Holdings shall not be deemed to be subject to, or covered by, any of the covenants set forth on Article VI or VII, and (iv) in no event shall the operations, financial results, liabilities or Indebtedness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Holdings or any of its Subsidiaries (other than the Loan Party Group Companies) be included in the calculations of Consolidated EBITDA, Consolidated Fixed Charge Coverage Ratio, Consolidated Fixed Charges, Consolidated Funded Indebtedness, Consolidated Interest Charges, Consolidated Leverage Ratio, or Consolidated Net Income hereunder. For the avoidance of doubt, any representations, warranties or covenants of Holdings, shall be specifically set forth in the Holdings Guaranty and/or the Holdings Pledge Agreement.</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85"/>
        <w:gridCol w:w="414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COMMITMENTS AND CREDIT EXTENSIONS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60"/>
        <w:gridCol w:w="380"/>
        <w:gridCol w:w="5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w:t>
            </w:r>
          </w:p>
        </w:tc>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Loans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Term A Loan</w:t>
      </w:r>
      <w:r>
        <w:rPr>
          <w:rFonts w:ascii="Times New Roman" w:hAnsi="Times New Roman"/>
          <w:caps w:val="false"/>
          <w:smallCaps w:val="false"/>
          <w:sz w:val="20"/>
        </w:rPr>
        <w:t xml:space="preserve">. Subject to the terms and conditions set forth herein, each Term Lender severally agrees to make a single loan to the Borrower, in Dollars, on the Closing Date in an amount not to exceed such Term Lender’s Applicable Percentage of the Term Facility. Such Borrowing shall consist of Term Loans made simultaneously by the Term Lenders in accordance with their respective Applicable Percentage of the Term Facility. The Term Loan may be repaid or prepaid but may not be reborrowed. Term Loans may be Base Rate Loans or Term SOFR Loans, as further provided 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any Borrowing made on the Closing Date shall be made as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Delayed Draw Term Loan</w:t>
      </w:r>
      <w:r>
        <w:rPr>
          <w:rFonts w:ascii="Times New Roman" w:hAnsi="Times New Roman"/>
          <w:caps w:val="false"/>
          <w:smallCaps w:val="false"/>
          <w:sz w:val="20"/>
        </w:rPr>
        <w:t>. Subject to the terms and conditions set forth herein, each Delayed Draw Term Loan Lender severally agrees to make loans (each such loan, a “</w:t>
      </w:r>
      <w:r>
        <w:rPr>
          <w:rFonts w:ascii="Times New Roman" w:hAnsi="Times New Roman"/>
          <w:b/>
          <w:i/>
          <w:caps w:val="false"/>
          <w:smallCaps w:val="false"/>
          <w:sz w:val="20"/>
        </w:rPr>
        <w:t>Delayed Draw Term Loan</w:t>
      </w:r>
      <w:r>
        <w:rPr>
          <w:rFonts w:ascii="Times New Roman" w:hAnsi="Times New Roman"/>
          <w:caps w:val="false"/>
          <w:smallCaps w:val="false"/>
          <w:sz w:val="20"/>
        </w:rPr>
        <w:t xml:space="preserve">”) to the Borrower, in Dollars, from time to time (but in any event limited to a maximum of four (4) drawings, each in a minimum aggregate principal amount of $5,000,000), on any Business Day during the Delayed Draw Term Loan Availability Period, in an aggregate amount not to exceed at any time outstanding the amount of such Lender’s Delayed Draw Term Loan Commitment;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after giving effect to any such Borrowing, the Total Delayed Draw Term Loan Outstandings shall not exceed the Delayed Draw Term Loan Facility. Once funded, Delayed Draw Term Loans shall be deemed to be an increase to the amount of Term Loans for all purposes hereunder and shall be part of the same Class as, and treated in all respects as, Term Loans. The Delayed Draw Term Loan may be repaid or prepaid but may not be reborrowed. Delayed Draw Term Loan may be Base Rate Loans or Term SOFR Loans, as further provided 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any Borrowings made on the Closing Date shall be made as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Revolving Loans</w:t>
      </w:r>
      <w:r>
        <w:rPr>
          <w:rFonts w:ascii="Times New Roman" w:hAnsi="Times New Roman"/>
          <w:caps w:val="false"/>
          <w:smallCaps w:val="false"/>
          <w:sz w:val="20"/>
        </w:rPr>
        <w:t>. Subject to the terms and conditions set forth herein, each Revolving Lender severally agrees to make loans (each such loan, a “</w:t>
      </w:r>
      <w:r>
        <w:rPr>
          <w:rFonts w:ascii="Times New Roman" w:hAnsi="Times New Roman"/>
          <w:b/>
          <w:i/>
          <w:caps w:val="false"/>
          <w:smallCaps w:val="false"/>
          <w:sz w:val="20"/>
        </w:rPr>
        <w:t>Revolving Loan</w:t>
      </w:r>
      <w:r>
        <w:rPr>
          <w:rFonts w:ascii="Times New Roman" w:hAnsi="Times New Roman"/>
          <w:caps w:val="false"/>
          <w:smallCaps w:val="false"/>
          <w:sz w:val="20"/>
        </w:rPr>
        <w:t xml:space="preserve">”) to the Borrower, in Dollars, from time to time, on any Business Day during the Availability Period, in an aggregate amount not to exceed at any time outstanding the amount of such Lender’s Revolving Commitment;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after giving effect to any such Borrowing, (i) the Total Revolving Outstandings shall not exceed the Aggregate Revolving Commitment,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 w:hAnsi="Times New Roman"/>
          <w:b/>
          <w:i/>
          <w:caps w:val="false"/>
          <w:smallCaps w:val="false"/>
          <w:sz w:val="20"/>
        </w:rPr>
        <w:t>Section 2.05</w:t>
      </w:r>
      <w:r>
        <w:rPr>
          <w:rFonts w:ascii="Times New Roman" w:hAnsi="Times New Roman"/>
          <w:caps w:val="false"/>
          <w:smallCaps w:val="false"/>
          <w:sz w:val="20"/>
        </w:rPr>
        <w:t xml:space="preserve">, and reborrow under this </w:t>
      </w:r>
      <w:r>
        <w:rPr>
          <w:rFonts w:ascii="Times New Roman" w:hAnsi="Times New Roman"/>
          <w:b/>
          <w:i/>
          <w:caps w:val="false"/>
          <w:smallCaps w:val="false"/>
          <w:sz w:val="20"/>
        </w:rPr>
        <w:t>Section 2.01(c)</w:t>
      </w:r>
      <w:r>
        <w:rPr>
          <w:rFonts w:ascii="Times New Roman" w:hAnsi="Times New Roman"/>
          <w:caps w:val="false"/>
          <w:smallCaps w:val="false"/>
          <w:sz w:val="20"/>
        </w:rPr>
        <w:t xml:space="preserve">. Revolving Loans may be Base Rate Loans or Term SOFR Loans, as further provided 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any Borrowings made on the Closing Date shall be made as Base Rate Loans.</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60"/>
        <w:gridCol w:w="380"/>
        <w:gridCol w:w="458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w:t>
            </w:r>
          </w:p>
        </w:tc>
        <w:tc>
          <w:tcPr>
            <w:tcW w:w="4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Borrowings, Conversions and Continuations of Loans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Notice of Borrowing</w:t>
      </w:r>
      <w:r>
        <w:rPr>
          <w:rFonts w:ascii="Times New Roman" w:hAnsi="Times New Roman"/>
          <w:caps w:val="false"/>
          <w:smallCaps w:val="false"/>
          <w:sz w:val="20"/>
        </w:rPr>
        <w:t xml:space="preserve">. Each Borrowing, each conversion of Loans from one (1) Type to the other, and each continuation of Term SOFR Loans shall be made upon the Borrower’s irrevocable notice to the Administrative Agent, which may be given by: (i) telephone or (ii) a Loan Notice;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any telephonic notice must be confirmed immediately by delivery to the Administrative Agent of a Loan Notice. Each such Loan Notice must be received by the Administrative Agent not later than 11:00 a.m. (A) two (2) Business Days prior to the requested date of any Borrowing of, conversion to or continuation of Term SOFR Loans or of any conversion of Term SOFR Loans to Base Rate Loans, and (B) on the requested date of any Borrowing of Base Rate Loans. Each Borrowing of, conversion to or continuation of Term SOFR Loans shall be in a principal amount of $5,000,000 or a whole multiple of $1,000,000 in excess thereof (or, if less, the entire principal thereof then outstanding). Except as provided in </w:t>
      </w:r>
      <w:r>
        <w:rPr>
          <w:rFonts w:ascii="Times New Roman" w:hAnsi="Times New Roman"/>
          <w:b/>
          <w:i/>
          <w:caps w:val="false"/>
          <w:smallCaps w:val="false"/>
          <w:sz w:val="20"/>
        </w:rPr>
        <w:t xml:space="preserve">Sections 2.03(c) </w:t>
      </w:r>
      <w:r>
        <w:rPr>
          <w:rFonts w:ascii="Times New Roman" w:hAnsi="Times New Roman"/>
          <w:caps w:val="false"/>
          <w:smallCaps w:val="false"/>
          <w:sz w:val="20"/>
        </w:rPr>
        <w:t xml:space="preserve">and </w:t>
      </w:r>
      <w:r>
        <w:rPr>
          <w:rFonts w:ascii="Times New Roman" w:hAnsi="Times New Roman"/>
          <w:b/>
          <w:i/>
          <w:caps w:val="false"/>
          <w:smallCaps w:val="false"/>
          <w:sz w:val="20"/>
        </w:rPr>
        <w:t>2.04(c)</w:t>
      </w:r>
      <w:r>
        <w:rPr>
          <w:rFonts w:ascii="Times New Roman" w:hAnsi="Times New Roman"/>
          <w:caps w:val="false"/>
          <w:smallCaps w:val="false"/>
          <w:sz w:val="20"/>
        </w:rPr>
        <w:t>, each Borrowing of or conversion to Base Rate Loans shall be in a principal amount of $500,000 or a whole multiple of $100,000 in excess thereof (or, if less, the entire principal thereof then outstanding). Each Loan Notice and each telephonic notice shall specify (I) the applicable Facility and whether the Borrower is requesting a Borrowing, a conversion of Loans from one (1) Type to the other, or a continuation of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(1)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Advances</w:t>
      </w:r>
      <w:r>
        <w:rPr>
          <w:rFonts w:ascii="Times New Roman" w:hAnsi="Times New Roman"/>
          <w:caps w:val="false"/>
          <w:smallCaps w:val="false"/>
          <w:sz w:val="20"/>
        </w:rPr>
        <w:t xml:space="preserve">. Following receipt of a Loan Notice, the Administrative Agent shall promptly notify each applicable Lender of the amount of its Applicable Percentage of the applicable Loans, and if no timely notice of a conversion or continuation is provided by the Borrower, the Administrative Agent shall notify each applicable Lender of the details of any automatic conversion to Base Rate Loans described in </w:t>
      </w:r>
      <w:r>
        <w:rPr>
          <w:rFonts w:ascii="Times New Roman" w:hAnsi="Times New Roman"/>
          <w:b/>
          <w:i/>
          <w:caps w:val="false"/>
          <w:smallCaps w:val="false"/>
          <w:sz w:val="20"/>
        </w:rPr>
        <w:t>Section 2.02(a)</w:t>
      </w:r>
      <w:r>
        <w:rPr>
          <w:rFonts w:ascii="Times New Roman" w:hAnsi="Times New Roman"/>
          <w:caps w:val="false"/>
          <w:smallCaps w:val="false"/>
          <w:sz w:val="20"/>
        </w:rPr>
        <w:t xml:space="preserve">. In the case of a Borrowing, each applicable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hAnsi="Times New Roman"/>
          <w:b/>
          <w:i/>
          <w:caps w:val="false"/>
          <w:smallCaps w:val="false"/>
          <w:sz w:val="20"/>
        </w:rPr>
        <w:t xml:space="preserve">Section 4.02 </w:t>
      </w:r>
      <w:r>
        <w:rPr>
          <w:rFonts w:ascii="Times New Roman" w:hAnsi="Times New Roman"/>
          <w:caps w:val="false"/>
          <w:smallCaps w:val="false"/>
          <w:sz w:val="20"/>
        </w:rPr>
        <w:t xml:space="preserve">(and, if such Borrowing is the initial Credit Extension, </w:t>
      </w:r>
      <w:r>
        <w:rPr>
          <w:rFonts w:ascii="Times New Roman" w:hAnsi="Times New Roman"/>
          <w:b/>
          <w:i/>
          <w:caps w:val="false"/>
          <w:smallCaps w:val="false"/>
          <w:sz w:val="20"/>
        </w:rPr>
        <w:t>Section 4.01</w:t>
      </w:r>
      <w:r>
        <w:rPr>
          <w:rFonts w:ascii="Times New Roman" w:hAnsi="Times New Roman"/>
          <w:caps w:val="false"/>
          <w:smallCaps w:val="false"/>
          <w:sz w:val="20"/>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on the date a Loan Notice with respect to a Borrowing of Revolving Loans is given by the Borrower, there are L/C Borrowings outstanding, then the proceeds of such Borrowing, first, shall be applied to the payment in full of any such L/C Borrowings, and second, shall be made available to the Borrower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Term SOFR Loans</w:t>
      </w:r>
      <w:r>
        <w:rPr>
          <w:rFonts w:ascii="Times New Roman" w:hAnsi="Times New Roman"/>
          <w:caps w:val="false"/>
          <w:smallCaps w:val="false"/>
          <w:sz w:val="20"/>
        </w:rPr>
        <w:t>. Except as otherwise provided herein, a Term SOFR Loan may be continued or converted only on the last day of an Interest Period for such Term SOFR Loan. During the existence of a Default, no Loans may be requested as, converted to or continued as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20"/>
        <w:jc w:val="left"/>
        <w:rPr>
          <w:rFonts w:ascii="Times New Roman" w:hAnsi="Times New Roman"/>
          <w:caps w:val="false"/>
          <w:smallCaps w:val="false"/>
          <w:sz w:val="20"/>
        </w:rPr>
      </w:pPr>
      <w:r>
        <w:rPr>
          <w:rFonts w:ascii="Times New Roman" w:hAnsi="Times New Roman"/>
          <w:caps w:val="false"/>
          <w:smallCaps w:val="false"/>
          <w:sz w:val="20"/>
        </w:rPr>
        <w:t>SOFR Loans without the consent of the Required Lenders, and the Required Lenders may demand that any or all of the outstanding Term SOFR Loans be converted immediately to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Interest Rates</w:t>
      </w:r>
      <w:r>
        <w:rPr>
          <w:rFonts w:ascii="Times New Roman" w:hAnsi="Times New Roman"/>
          <w:caps w:val="false"/>
          <w:smallCaps w:val="false"/>
          <w:sz w:val="20"/>
        </w:rPr>
        <w:t>. Each determination of an interest rate by the Administrative Agent pursuant to any provision of this Agreement shall be conclusive and binding on the Borrower and the Lenders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Interest Periods</w:t>
      </w:r>
      <w:r>
        <w:rPr>
          <w:rFonts w:ascii="Times New Roman" w:hAnsi="Times New Roman"/>
          <w:caps w:val="false"/>
          <w:smallCaps w:val="false"/>
          <w:sz w:val="20"/>
        </w:rPr>
        <w:t>. After giving effect to all Borrowings, all conversions of Loans from one (1) Type to the other, and all continuations of Loans as the same Type, there shall not be more than eight (8) Interest Periods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Cashless Settlement Mechanism</w:t>
      </w:r>
      <w:r>
        <w:rPr>
          <w:rFonts w:ascii="Times New Roman" w:hAnsi="Times New Roman"/>
          <w:caps w:val="false"/>
          <w:smallCaps w:val="false"/>
          <w:sz w:val="20"/>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SOFR/Term SOFR</w:t>
      </w:r>
      <w:r>
        <w:rPr>
          <w:rFonts w:ascii="Times New Roman" w:hAnsi="Times New Roman"/>
          <w:caps w:val="false"/>
          <w:smallCaps w:val="false"/>
          <w:sz w:val="20"/>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hAnsi="Times New Roman"/>
          <w:i/>
          <w:caps w:val="false"/>
          <w:smallCaps w:val="false"/>
          <w:sz w:val="20"/>
        </w:rPr>
        <w:t xml:space="preserve">provided </w:t>
      </w:r>
      <w:r>
        <w:rPr>
          <w:rFonts w:ascii="Times New Roman" w:hAnsi="Times New Roman"/>
          <w:caps w:val="false"/>
          <w:smallCaps w:val="false"/>
          <w:sz w:val="20"/>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Not Applicable to Swingline Loans</w:t>
      </w:r>
      <w:r>
        <w:rPr>
          <w:rFonts w:ascii="Times New Roman" w:hAnsi="Times New Roman"/>
          <w:caps w:val="false"/>
          <w:smallCaps w:val="false"/>
          <w:sz w:val="20"/>
        </w:rPr>
        <w:t xml:space="preserve">. This </w:t>
      </w:r>
      <w:r>
        <w:rPr>
          <w:rFonts w:ascii="Times New Roman" w:hAnsi="Times New Roman"/>
          <w:b/>
          <w:i/>
          <w:caps w:val="false"/>
          <w:smallCaps w:val="false"/>
          <w:sz w:val="20"/>
        </w:rPr>
        <w:t xml:space="preserve">Section 2.02 </w:t>
      </w:r>
      <w:r>
        <w:rPr>
          <w:rFonts w:ascii="Times New Roman" w:hAnsi="Times New Roman"/>
          <w:caps w:val="false"/>
          <w:smallCaps w:val="false"/>
          <w:sz w:val="20"/>
        </w:rPr>
        <w:t>shall not apply to Swingline Loans.</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60"/>
        <w:gridCol w:w="380"/>
        <w:gridCol w:w="14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w:t>
            </w:r>
          </w:p>
        </w:tc>
        <w:tc>
          <w:tcPr>
            <w:tcW w:w="1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Letters of Credit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The Letter of Credit Commitment</w:t>
      </w:r>
      <w:r>
        <w:rPr>
          <w:rFonts w:ascii="Times New Roman" w:hAnsi="Times New Roman"/>
          <w:caps w:val="false"/>
          <w:smallCaps w:val="false"/>
          <w:sz w:val="20"/>
        </w:rPr>
        <w:t xml:space="preserve">. Subject to the terms and conditions set forth herein, in addition to the Loans provided for in </w:t>
      </w:r>
      <w:r>
        <w:rPr>
          <w:rFonts w:ascii="Times New Roman" w:hAnsi="Times New Roman"/>
          <w:b/>
          <w:i/>
          <w:caps w:val="false"/>
          <w:smallCaps w:val="false"/>
          <w:sz w:val="20"/>
        </w:rPr>
        <w:t>Section 2.01</w:t>
      </w:r>
      <w:r>
        <w:rPr>
          <w:rFonts w:ascii="Times New Roman" w:hAnsi="Times New Roman"/>
          <w:caps w:val="false"/>
          <w:smallCaps w:val="false"/>
          <w:sz w:val="20"/>
        </w:rPr>
        <w:t xml:space="preserve">, the Borrower may request that the L/C Issuer, in reliance on the agreements of the Revolving Lenders set forth in this </w:t>
      </w:r>
      <w:r>
        <w:rPr>
          <w:rFonts w:ascii="Times New Roman" w:hAnsi="Times New Roman"/>
          <w:b/>
          <w:i/>
          <w:caps w:val="false"/>
          <w:smallCaps w:val="false"/>
          <w:sz w:val="20"/>
        </w:rPr>
        <w:t>Section 2.03</w:t>
      </w:r>
      <w:r>
        <w:rPr>
          <w:rFonts w:ascii="Times New Roman" w:hAnsi="Times New Roman"/>
          <w:caps w:val="false"/>
          <w:smallCaps w:val="false"/>
          <w:sz w:val="20"/>
        </w:rPr>
        <w:t>, issue, at any time and from time to time during the Availability Period, Letters of Credit denominated in Dollars for its own account or the account of any of a Loan Party in such form as is acceptable to the L/C Issuer in its reasonable determination. Letters of Credit issued hereunder shall constitute utilization of the Revolving Commitments.</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245"/>
        <w:gridCol w:w="59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 of Issuance, Amendment, Extension, Reinstatement or Renewal</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amendment, extension, reinstatement or renewal (which shall be a Business Day), the date on which such Letter of Credit is to expire (which shall comply with this </w:t>
      </w:r>
      <w:r>
        <w:rPr>
          <w:rFonts w:ascii="Times New Roman" w:hAnsi="Times New Roman"/>
          <w:b/>
          <w:i/>
          <w:caps w:val="false"/>
          <w:smallCaps w:val="false"/>
          <w:sz w:val="20"/>
        </w:rPr>
        <w:t>Section 2.03(d)</w:t>
      </w:r>
      <w:r>
        <w:rPr>
          <w:rFonts w:ascii="Times New Roman" w:hAnsi="Times New Roman"/>
          <w:caps w:val="false"/>
          <w:smallCaps w:val="false"/>
          <w:sz w:val="20"/>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hAnsi="Times New Roman"/>
          <w:b/>
          <w:i/>
          <w:caps w:val="false"/>
          <w:smallCaps w:val="false"/>
          <w:sz w:val="20"/>
        </w:rPr>
        <w:t>Auto-Extension Letter of Credit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any such Auto-Extension Letter of Credit shall permit the L/C Issuer to prevent any such extension at least once in each twelve (12)-month period (commencing with the date of issuance of such Letter of Credit) by giving prior notice to the beneficiary thereof not later than a day (the “</w:t>
      </w:r>
      <w:r>
        <w:rPr>
          <w:rFonts w:ascii="Times New Roman" w:hAnsi="Times New Roman"/>
          <w:b/>
          <w:i/>
          <w:caps w:val="false"/>
          <w:smallCaps w:val="false"/>
          <w:sz w:val="20"/>
        </w:rPr>
        <w:t>Non-Extension Notice Date</w:t>
      </w:r>
      <w:r>
        <w:rPr>
          <w:rFonts w:ascii="Times New Roman" w:hAnsi="Times New Roman"/>
          <w:caps w:val="false"/>
          <w:smallCaps w:val="false"/>
          <w:sz w:val="20"/>
        </w:rPr>
        <w:t xml:space="preserve">”) in each such twelve (12)-month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Times New Roman" w:hAnsi="Times New Roman"/>
          <w:b/>
          <w:i/>
          <w:caps w:val="false"/>
          <w:smallCaps w:val="false"/>
          <w:sz w:val="20"/>
        </w:rPr>
        <w:t>Section 2.03(d)</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Lenders holding a majority of the Revolving Commitments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(1) or more of the applicable conditions set forth in </w:t>
      </w:r>
      <w:r>
        <w:rPr>
          <w:rFonts w:ascii="Times New Roman" w:hAnsi="Times New Roman"/>
          <w:b/>
          <w:i/>
          <w:caps w:val="false"/>
          <w:smallCaps w:val="false"/>
          <w:sz w:val="20"/>
        </w:rPr>
        <w:t xml:space="preserve">Section 4.02 </w:t>
      </w:r>
      <w:r>
        <w:rPr>
          <w:rFonts w:ascii="Times New Roman" w:hAnsi="Times New Roman"/>
          <w:caps w:val="false"/>
          <w:smallCaps w:val="false"/>
          <w:sz w:val="20"/>
        </w:rPr>
        <w:t>is not then satisfied, and in each such case directing the L/C Issuer not to permit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Limitations on Amounts, Issuance and Amendment</w:t>
      </w:r>
      <w:r>
        <w:rPr>
          <w:rFonts w:ascii="Times New Roman" w:hAnsi="Times New Roman"/>
          <w:caps w:val="false"/>
          <w:smallCaps w:val="false"/>
          <w:sz w:val="20"/>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L/C Sublimit, (y) the Revolving Exposure of any Lender shall not exceed its Revolving Commitment and (z) the Total Revolving Exposure shall not exceed the Aggregate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The L/C Issuer shall not be under any obligation to issue any Letter of Credit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(A)    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(B)    the issuance of such Letter of Credit would violate one (1) or more policies of the L/C Issuer applicable to letters of credit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(C)    except as otherwise agreed by the Administrative Agent and the L/C Issuer, the Letter of Credit is in an initial stated amount less than $100,000, in the case of a commercial Letter of Credit, or $500,000, in the case of a standby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hAnsi="Times New Roman"/>
          <w:b/>
          <w:i/>
          <w:caps w:val="false"/>
          <w:smallCaps w:val="false"/>
          <w:sz w:val="20"/>
        </w:rPr>
        <w:t>Section 2.15(a)(iv)</w:t>
      </w:r>
      <w:r>
        <w:rPr>
          <w:rFonts w:ascii="Times New Roman" w:hAnsi="Times New Roman"/>
          <w:caps w:val="false"/>
          <w:smallCaps w:val="false"/>
          <w:sz w:val="20"/>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Expiration Date</w:t>
      </w:r>
      <w:r>
        <w:rPr>
          <w:rFonts w:ascii="Times New Roman" w:hAnsi="Times New Roman"/>
          <w:caps w:val="false"/>
          <w:smallCaps w:val="false"/>
          <w:sz w:val="20"/>
        </w:rPr>
        <w:t>. Each Letter of Credit shall have a stated expiration date no later than the earlier of (i) the date twelve (12) months after the date of the issuance of such Letter of Credit (or, in the case of any extension of the expiration date thereof, whether automatic or by amendment, twelve months after the then current expiration date of such Letter of Credit) and</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(ii) the date that is five (5) Business Days prior to the Maturity Date.</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60"/>
        <w:gridCol w:w="230"/>
        <w:gridCol w:w="12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Participations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Percentage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aggregate amount available to be drawn under such Letter of Credit. Each Revolving Lender acknowledges and agrees that its obligation to acquire participations pursuant to this </w:t>
      </w:r>
      <w:r>
        <w:rPr>
          <w:rFonts w:ascii="Times New Roman" w:hAnsi="Times New Roman"/>
          <w:b/>
          <w:i/>
          <w:caps w:val="false"/>
          <w:smallCaps w:val="false"/>
          <w:sz w:val="20"/>
        </w:rPr>
        <w:t xml:space="preserve">clause (e) </w:t>
      </w:r>
      <w:r>
        <w:rPr>
          <w:rFonts w:ascii="Times New Roman" w:hAnsi="Times New Roman"/>
          <w:caps w:val="false"/>
          <w:smallCaps w:val="false"/>
          <w:sz w:val="20"/>
        </w:rPr>
        <w:t>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In consideration and in furtherance of the foregoing, each Revolving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Revolving Lenders pursuant to </w:t>
      </w:r>
      <w:r>
        <w:rPr>
          <w:rFonts w:ascii="Times New Roman" w:hAnsi="Times New Roman"/>
          <w:b/>
          <w:i/>
          <w:caps w:val="false"/>
          <w:smallCaps w:val="false"/>
          <w:sz w:val="20"/>
        </w:rPr>
        <w:t xml:space="preserve">Section 2.03(f) </w:t>
      </w:r>
      <w:r>
        <w:rPr>
          <w:rFonts w:ascii="Times New Roman" w:hAnsi="Times New Roman"/>
          <w:caps w:val="false"/>
          <w:smallCaps w:val="false"/>
          <w:sz w:val="20"/>
        </w:rPr>
        <w:t xml:space="preserve">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hAnsi="Times New Roman"/>
          <w:b/>
          <w:i/>
          <w:caps w:val="false"/>
          <w:smallCaps w:val="false"/>
          <w:sz w:val="20"/>
        </w:rPr>
        <w:t xml:space="preserve">Section 2.02 </w:t>
      </w:r>
      <w:r>
        <w:rPr>
          <w:rFonts w:ascii="Times New Roman" w:hAnsi="Times New Roman"/>
          <w:caps w:val="false"/>
          <w:smallCaps w:val="false"/>
          <w:sz w:val="20"/>
        </w:rPr>
        <w:t xml:space="preserve">with respect to Loans made by such Lender (and </w:t>
      </w:r>
      <w:r>
        <w:rPr>
          <w:rFonts w:ascii="Times New Roman" w:hAnsi="Times New Roman"/>
          <w:b/>
          <w:i/>
          <w:caps w:val="false"/>
          <w:smallCaps w:val="false"/>
          <w:sz w:val="20"/>
        </w:rPr>
        <w:t xml:space="preserve">Section 2.02 </w:t>
      </w:r>
      <w:r>
        <w:rPr>
          <w:rFonts w:ascii="Times New Roman" w:hAnsi="Times New Roman"/>
          <w:caps w:val="false"/>
          <w:smallCaps w:val="false"/>
          <w:sz w:val="20"/>
        </w:rPr>
        <w:t xml:space="preserve">shall apply,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to the payment obligations of the Revolving Lenders pursuant to this </w:t>
      </w:r>
      <w:r>
        <w:rPr>
          <w:rFonts w:ascii="Times New Roman" w:hAnsi="Times New Roman"/>
          <w:b/>
          <w:i/>
          <w:caps w:val="false"/>
          <w:smallCaps w:val="false"/>
          <w:sz w:val="20"/>
        </w:rPr>
        <w:t>Section 2.03</w:t>
      </w:r>
      <w:r>
        <w:rPr>
          <w:rFonts w:ascii="Times New Roman" w:hAnsi="Times New Roman"/>
          <w:caps w:val="false"/>
          <w:smallCaps w:val="false"/>
          <w:sz w:val="20"/>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hAnsi="Times New Roman"/>
          <w:b/>
          <w:i/>
          <w:caps w:val="false"/>
          <w:smallCaps w:val="false"/>
          <w:sz w:val="20"/>
        </w:rPr>
        <w:t>Section 2.03(f)</w:t>
      </w:r>
      <w:r>
        <w:rPr>
          <w:rFonts w:ascii="Times New Roman" w:hAnsi="Times New Roman"/>
          <w:caps w:val="false"/>
          <w:smallCaps w:val="false"/>
          <w:sz w:val="20"/>
        </w:rPr>
        <w:t xml:space="preserve">, the Administrative Agent shall distribute such payment to the L/C Issuer or, to the extent that the Revolving Lenders have made payments pursuant to this </w:t>
      </w:r>
      <w:r>
        <w:rPr>
          <w:rFonts w:ascii="Times New Roman" w:hAnsi="Times New Roman"/>
          <w:b/>
          <w:i/>
          <w:caps w:val="false"/>
          <w:smallCaps w:val="false"/>
          <w:sz w:val="20"/>
        </w:rPr>
        <w:t xml:space="preserve">clause (e) </w:t>
      </w:r>
      <w:r>
        <w:rPr>
          <w:rFonts w:ascii="Times New Roman" w:hAnsi="Times New Roman"/>
          <w:caps w:val="false"/>
          <w:smallCaps w:val="false"/>
          <w:sz w:val="20"/>
        </w:rPr>
        <w:t xml:space="preserve">to reimburse the L/C Issuer, then to such Lenders and the L/C Issuer as their interests may appear. Any payment made by a Lender pursuant to this </w:t>
      </w:r>
      <w:r>
        <w:rPr>
          <w:rFonts w:ascii="Times New Roman" w:hAnsi="Times New Roman"/>
          <w:b/>
          <w:i/>
          <w:caps w:val="false"/>
          <w:smallCaps w:val="false"/>
          <w:sz w:val="20"/>
        </w:rPr>
        <w:t xml:space="preserve">clause (e) </w:t>
      </w:r>
      <w:r>
        <w:rPr>
          <w:rFonts w:ascii="Times New Roman" w:hAnsi="Times New Roman"/>
          <w:caps w:val="false"/>
          <w:smallCaps w:val="false"/>
          <w:sz w:val="20"/>
        </w:rPr>
        <w:t>to reimburse the L/C Issuer for any L/C Disbursement shall not constitute a Loan and shall not relieve the Borrower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(including pursuant to the operation of </w:t>
      </w:r>
      <w:r>
        <w:rPr>
          <w:rFonts w:ascii="Times New Roman" w:hAnsi="Times New Roman"/>
          <w:b/>
          <w:i/>
          <w:caps w:val="false"/>
          <w:smallCaps w:val="false"/>
          <w:sz w:val="20"/>
        </w:rPr>
        <w:t xml:space="preserve">Sections 2.14 </w:t>
      </w:r>
      <w:r>
        <w:rPr>
          <w:rFonts w:ascii="Times New Roman" w:hAnsi="Times New Roman"/>
          <w:caps w:val="false"/>
          <w:smallCaps w:val="false"/>
          <w:sz w:val="20"/>
        </w:rPr>
        <w:t xml:space="preserve">or </w:t>
      </w:r>
      <w:r>
        <w:rPr>
          <w:rFonts w:ascii="Times New Roman" w:hAnsi="Times New Roman"/>
          <w:b/>
          <w:i/>
          <w:caps w:val="false"/>
          <w:smallCaps w:val="false"/>
          <w:sz w:val="20"/>
        </w:rPr>
        <w:t>2.15</w:t>
      </w:r>
      <w:r>
        <w:rPr>
          <w:rFonts w:ascii="Times New Roman" w:hAnsi="Times New Roman"/>
          <w:caps w:val="false"/>
          <w:smallCaps w:val="false"/>
          <w:sz w:val="20"/>
        </w:rPr>
        <w:t xml:space="preserve">), as a result of an assignment in accordance with </w:t>
      </w:r>
      <w:r>
        <w:rPr>
          <w:rFonts w:ascii="Times New Roman" w:hAnsi="Times New Roman"/>
          <w:b/>
          <w:i/>
          <w:caps w:val="false"/>
          <w:smallCaps w:val="false"/>
          <w:sz w:val="20"/>
        </w:rPr>
        <w:t xml:space="preserve">Section 11.06 </w:t>
      </w:r>
      <w:r>
        <w:rPr>
          <w:rFonts w:ascii="Times New Roman" w:hAnsi="Times New Roman"/>
          <w:caps w:val="false"/>
          <w:smallCaps w:val="false"/>
          <w:sz w:val="20"/>
        </w:rPr>
        <w:t>or otherwise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If any Revolving Lender fails to make available to the Administrative Agent for the account of the L/C Issuer any amount required to be paid by such Lender pursuant to the foregoing provisions of this </w:t>
      </w:r>
      <w:r>
        <w:rPr>
          <w:rFonts w:ascii="Times New Roman" w:hAnsi="Times New Roman"/>
          <w:b/>
          <w:i/>
          <w:caps w:val="false"/>
          <w:smallCaps w:val="false"/>
          <w:sz w:val="20"/>
        </w:rPr>
        <w:t>Section 2.03(e)</w:t>
      </w:r>
      <w:r>
        <w:rPr>
          <w:rFonts w:ascii="Times New Roman" w:hAnsi="Times New Roman"/>
          <w:caps w:val="false"/>
          <w:smallCaps w:val="false"/>
          <w:sz w:val="20"/>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greater of the Federal Funds Rate and a rate determined by the L/C Issuer in accordance with banking industry rules on interbank compensation,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Revolving Lender (through the Administrative Agent) with respect to any amounts owing under this </w:t>
      </w:r>
      <w:r>
        <w:rPr>
          <w:rFonts w:ascii="Times New Roman" w:hAnsi="Times New Roman"/>
          <w:b/>
          <w:i/>
          <w:caps w:val="false"/>
          <w:smallCaps w:val="false"/>
          <w:sz w:val="20"/>
        </w:rPr>
        <w:t xml:space="preserve">clause (e)(iv) </w:t>
      </w:r>
      <w:r>
        <w:rPr>
          <w:rFonts w:ascii="Times New Roman" w:hAnsi="Times New Roman"/>
          <w:caps w:val="false"/>
          <w:smallCaps w:val="false"/>
          <w:sz w:val="20"/>
        </w:rPr>
        <w:t>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Reimbursement</w:t>
      </w:r>
      <w:r>
        <w:rPr>
          <w:rFonts w:ascii="Times New Roman" w:hAnsi="Times New Roman"/>
          <w:caps w:val="false"/>
          <w:smallCaps w:val="false"/>
          <w:sz w:val="20"/>
        </w:rPr>
        <w:t xml:space="preserve">. If the L/C Issuer shall make any L/C Disbursement in respect of a Letter of Credit, the Borrower shall reimburse the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Times New Roman" w:hAnsi="Times New Roman"/>
          <w:b/>
          <w:i/>
          <w:caps w:val="false"/>
          <w:smallCaps w:val="false"/>
          <w:sz w:val="20"/>
        </w:rPr>
        <w:t xml:space="preserve">Section 2.02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Section 2.04 </w:t>
      </w:r>
      <w:r>
        <w:rPr>
          <w:rFonts w:ascii="Times New Roman" w:hAnsi="Times New Roman"/>
          <w:caps w:val="false"/>
          <w:smallCaps w:val="false"/>
          <w:sz w:val="20"/>
        </w:rPr>
        <w:t>that such payment be financed with a Borrowing of Revolving Loans that are Base Rate Loans or a Swingline Loan in an equivalent amount and, to the extent so financed, the Borrower’s obligation to make such payment shall be discharged and replaced by the resulting Borrowing. If the Borrower fails to make such payment when due, the Administrative Agent shall notify each Revolving Lender of the applicable L/C Disbursement, the payment then due from the Borrower in respect thereof (the “</w:t>
      </w:r>
      <w:r>
        <w:rPr>
          <w:rFonts w:ascii="Times New Roman" w:hAnsi="Times New Roman"/>
          <w:b/>
          <w:i/>
          <w:caps w:val="false"/>
          <w:smallCaps w:val="false"/>
          <w:sz w:val="20"/>
        </w:rPr>
        <w:t>Unreimbursed Amount</w:t>
      </w:r>
      <w:r>
        <w:rPr>
          <w:rFonts w:ascii="Times New Roman" w:hAnsi="Times New Roman"/>
          <w:caps w:val="false"/>
          <w:smallCaps w:val="false"/>
          <w:sz w:val="20"/>
        </w:rPr>
        <w:t xml:space="preserve">”) and such Lender’s Applicable Percentage thereof. Promptly upon receipt of such notice, each Revolving Lender shall pay to the Administrative Agent its Applicable Percentage of the Unreimbursed Amount pursuant to </w:t>
      </w:r>
      <w:r>
        <w:rPr>
          <w:rFonts w:ascii="Times New Roman" w:hAnsi="Times New Roman"/>
          <w:b/>
          <w:i/>
          <w:caps w:val="false"/>
          <w:smallCaps w:val="false"/>
          <w:sz w:val="20"/>
        </w:rPr>
        <w:t>Section 2.03(e)(ii)</w:t>
      </w:r>
      <w:r>
        <w:rPr>
          <w:rFonts w:ascii="Times New Roman" w:hAnsi="Times New Roman"/>
          <w:caps w:val="false"/>
          <w:smallCaps w:val="false"/>
          <w:sz w:val="20"/>
        </w:rPr>
        <w:t xml:space="preserve">, subject to the amount of the unutilized portion of the aggregate Revolving Commitments. Any notice given by the L/C Issuer or the Administrative Agent pursuant to this </w:t>
      </w:r>
      <w:r>
        <w:rPr>
          <w:rFonts w:ascii="Times New Roman" w:hAnsi="Times New Roman"/>
          <w:b/>
          <w:i/>
          <w:caps w:val="false"/>
          <w:smallCaps w:val="false"/>
          <w:sz w:val="20"/>
        </w:rPr>
        <w:t xml:space="preserve">Section 2.03(f) </w:t>
      </w:r>
      <w:r>
        <w:rPr>
          <w:rFonts w:ascii="Times New Roman" w:hAnsi="Times New Roman"/>
          <w:caps w:val="false"/>
          <w:smallCaps w:val="false"/>
          <w:sz w:val="20"/>
        </w:rPr>
        <w:t xml:space="preserve">may be given by telephone if immediately confirmed in writing;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lack of such an immediate confirmation shall not affect the conclusiveness or binding effect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Obligations Absolute</w:t>
      </w:r>
      <w:r>
        <w:rPr>
          <w:rFonts w:ascii="Times New Roman" w:hAnsi="Times New Roman"/>
          <w:caps w:val="false"/>
          <w:smallCaps w:val="false"/>
          <w:sz w:val="20"/>
        </w:rPr>
        <w:t xml:space="preserve">. The Borrower’s obligation to reimburse L/C Disbursements as provided in </w:t>
      </w:r>
      <w:r>
        <w:rPr>
          <w:rFonts w:ascii="Times New Roman" w:hAnsi="Times New Roman"/>
          <w:b/>
          <w:i/>
          <w:caps w:val="false"/>
          <w:smallCaps w:val="false"/>
          <w:sz w:val="20"/>
        </w:rPr>
        <w:t xml:space="preserve">Section 2.03(f) </w:t>
      </w:r>
      <w:r>
        <w:rPr>
          <w:rFonts w:ascii="Times New Roman" w:hAnsi="Times New Roman"/>
          <w:caps w:val="false"/>
          <w:smallCaps w:val="false"/>
          <w:sz w:val="20"/>
        </w:rPr>
        <w:t>shall be absolute, unconditional and irrevocable, and shall be performed strictly in accordance with the terms of this Agreement under any and all circumstances whatsoever and irrespective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any lack of validity or enforceability of this Agreement, any other Loan Document or any Letter of Credit, or any term or provision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    honor of a demand for payment presented electronically even if such Letter of Credit requires that demand be in the form of a draft;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    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(vii)    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(viii)    any other event or circumstance whatsoever, whether or not similar to any of the foregoing, that might, but for the provisions of this </w:t>
      </w:r>
      <w:r>
        <w:rPr>
          <w:rFonts w:ascii="Times New Roman" w:hAnsi="Times New Roman"/>
          <w:b/>
          <w:i/>
          <w:caps w:val="false"/>
          <w:smallCaps w:val="false"/>
          <w:sz w:val="20"/>
        </w:rPr>
        <w:t>Section 2.03</w:t>
      </w:r>
      <w:r>
        <w:rPr>
          <w:rFonts w:ascii="Times New Roman" w:hAnsi="Times New Roman"/>
          <w:caps w:val="false"/>
          <w:smallCaps w:val="false"/>
          <w:sz w:val="20"/>
        </w:rPr>
        <w:t>, constitute a legal or equitable discharge of, or provide a right of setoff against, the Borrower’s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Examination</w:t>
      </w:r>
      <w:r>
        <w:rPr>
          <w:rFonts w:ascii="Times New Roman" w:hAnsi="Times New Roman"/>
          <w:caps w:val="false"/>
          <w:smallCaps w:val="false"/>
          <w:sz w:val="20"/>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Liability</w:t>
      </w:r>
      <w:r>
        <w:rPr>
          <w:rFonts w:ascii="Times New Roman" w:hAnsi="Times New Roman"/>
          <w:caps w:val="false"/>
          <w:smallCaps w:val="false"/>
          <w:sz w:val="20"/>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the L/C Issuer may replace a purportedly lost, stolen, or destroyed original Letter of Credit or missing amendment thereto with a certified true copy marked as such or waive a requirement for its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the L/C Issuer shall have the right, in its sole discretion, to decline to accept such documents and to make such payment if such documents are not in strict compliance with the terms of such Letter of Credit;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(C) against documents that are fraudulent, forged, or for other reasons by which that it is entitled not to honor, (D) following the Borrower’s waiver of discrepancies with respect to such documents or request for honor of such documents or</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(E) the L/C Issuer retaining proceeds of a Letter of Credit based on an apparently applicable attachment order, blocking regulation, or third-party claim notified to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Applicability of ISP and UCP</w:t>
      </w:r>
      <w:r>
        <w:rPr>
          <w:rFonts w:ascii="Times New Roman" w:hAnsi="Times New Roman"/>
          <w:caps w:val="false"/>
          <w:smallCaps w:val="false"/>
          <w:sz w:val="20"/>
        </w:rPr>
        <w:t>. Unless otherwise expressly agreed by the L/C Issuer and the Borrower when a Letter of Credit is issued by 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Benefits</w:t>
      </w:r>
      <w:r>
        <w:rPr>
          <w:rFonts w:ascii="Times New Roman" w:hAnsi="Times New Roman"/>
          <w:caps w:val="false"/>
          <w:smallCaps w:val="false"/>
          <w:sz w:val="20"/>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 w:hAnsi="Times New Roman"/>
          <w:b/>
          <w:i/>
          <w:caps w:val="false"/>
          <w:smallCaps w:val="false"/>
          <w:sz w:val="20"/>
        </w:rPr>
        <w:t xml:space="preserve">Article IX </w:t>
      </w:r>
      <w:r>
        <w:rPr>
          <w:rFonts w:ascii="Times New Roman" w:hAnsi="Times New Roman"/>
          <w:caps w:val="false"/>
          <w:smallCaps w:val="false"/>
          <w:sz w:val="20"/>
        </w:rPr>
        <w:t>with respect to any acts taken or omissions suffered by the L/C Issuer in connection with Letters of Credit issued by it or proposed to be issued by it and Issuer Documents pertaining to such Letters of Credit as fully as if the term “</w:t>
      </w:r>
      <w:r>
        <w:rPr>
          <w:rFonts w:ascii="Times New Roman" w:hAnsi="Times New Roman"/>
          <w:i/>
          <w:caps w:val="false"/>
          <w:smallCaps w:val="false"/>
          <w:sz w:val="20"/>
        </w:rPr>
        <w:t>Administrative Agent</w:t>
      </w:r>
      <w:r>
        <w:rPr>
          <w:rFonts w:ascii="Times New Roman" w:hAnsi="Times New Roman"/>
          <w:caps w:val="false"/>
          <w:smallCaps w:val="false"/>
          <w:sz w:val="20"/>
        </w:rPr>
        <w:t xml:space="preserve">” as used in </w:t>
      </w:r>
      <w:r>
        <w:rPr>
          <w:rFonts w:ascii="Times New Roman" w:hAnsi="Times New Roman"/>
          <w:b/>
          <w:i/>
          <w:caps w:val="false"/>
          <w:smallCaps w:val="false"/>
          <w:sz w:val="20"/>
        </w:rPr>
        <w:t xml:space="preserve">Article IX </w:t>
      </w:r>
      <w:r>
        <w:rPr>
          <w:rFonts w:ascii="Times New Roman" w:hAnsi="Times New Roman"/>
          <w:caps w:val="false"/>
          <w:smallCaps w:val="false"/>
          <w:sz w:val="20"/>
        </w:rPr>
        <w:t>included the L/C Issuer with respect to such acts or omissions, and (ii) as additionally provided herein with respect to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Letter of Credit Fees</w:t>
      </w:r>
      <w:r>
        <w:rPr>
          <w:rFonts w:ascii="Times New Roman" w:hAnsi="Times New Roman"/>
          <w:caps w:val="false"/>
          <w:smallCaps w:val="false"/>
          <w:sz w:val="20"/>
        </w:rPr>
        <w:t>. The Borrower shall pay to the Administrative Agent for the account of each Revolving Lender in accordance with its Applicable Percentage a Letter of Credit fee (the “</w:t>
      </w:r>
      <w:r>
        <w:rPr>
          <w:rFonts w:ascii="Times New Roman" w:hAnsi="Times New Roman"/>
          <w:b/>
          <w:i/>
          <w:caps w:val="false"/>
          <w:smallCaps w:val="false"/>
          <w:sz w:val="20"/>
        </w:rPr>
        <w:t>Letter of Credit Fee</w:t>
      </w:r>
      <w:r>
        <w:rPr>
          <w:rFonts w:ascii="Times New Roman" w:hAnsi="Times New Roman"/>
          <w:caps w:val="false"/>
          <w:smallCaps w:val="false"/>
          <w:sz w:val="20"/>
        </w:rPr>
        <w:t xml:space="preserve">”) for each Letter of Credit equal to the Applicable Rate times the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 w:hAnsi="Times New Roman"/>
          <w:b/>
          <w:i/>
          <w:caps w:val="false"/>
          <w:smallCaps w:val="false"/>
          <w:sz w:val="20"/>
        </w:rPr>
        <w:t>Section 1.06</w:t>
      </w:r>
      <w:r>
        <w:rPr>
          <w:rFonts w:ascii="Times New Roman" w:hAnsi="Times New Roman"/>
          <w:caps w:val="false"/>
          <w:smallCaps w:val="false"/>
          <w:sz w:val="20"/>
        </w:rPr>
        <w:t>. Letter of Credit Fees shall be</w:t>
      </w:r>
    </w:p>
    <w:p>
      <w:pPr>
        <w:pStyle w:val="TextBody"/>
        <w:bidi w:val="0"/>
        <w:spacing w:before="0" w:after="0"/>
        <w:ind w:left="1080" w:right="0" w:hanging="20"/>
        <w:jc w:val="both"/>
        <w:rPr>
          <w:rFonts w:ascii="Times New Roman" w:hAnsi="Times New Roman"/>
          <w:caps w:val="false"/>
          <w:smallCaps w:val="false"/>
          <w:sz w:val="20"/>
        </w:rPr>
      </w:pPr>
      <w:r>
        <w:rPr>
          <w:rFonts w:ascii="Times New Roman" w:hAnsi="Times New Roman"/>
          <w:caps w:val="false"/>
          <w:smallCaps w:val="false"/>
          <w:sz w:val="20"/>
        </w:rPr>
        <w:t>(i) payable on the first Business Day following the end of each March, June, September and December, commencing with the first such date to occur after the issuance of such Letter of Credit, on the Maturity Date and thereafter on demand and (ii) accrued through and including the last day of each calendar quarter in arrears. If there is any change in the Applicable Rate during any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Lenders (other than Defaulting Lenders) holding a majority of the Revolving Commitments, while any Event of Default exists, all Letter of Credit Fees shall accrue at the Default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Fronting Fee and Documentary and Processing Charges Payable to L/C Issuer</w:t>
      </w:r>
      <w:r>
        <w:rPr>
          <w:rFonts w:ascii="Times New Roman" w:hAnsi="Times New Roman"/>
          <w:caps w:val="false"/>
          <w:smallCaps w:val="false"/>
          <w:sz w:val="20"/>
        </w:rPr>
        <w:t xml:space="preserve">. The Borrower shall pay directly to the L/C Issuer for its own account a fronting fee with respect to each Letter of Credit, at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percentage separately agreed upon between the Borrower and the L/C Issuer, computed on the daily amount available to be drawn under such Letter of Credit on a quarterly basis in arrears. Such fronting fee shall be due and payable no later than the tenth Business Day after the end of each March, June, September and December in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hAnsi="Times New Roman"/>
          <w:b/>
          <w:i/>
          <w:caps w:val="false"/>
          <w:smallCaps w:val="false"/>
          <w:sz w:val="20"/>
        </w:rPr>
        <w:t>Section 1.06</w:t>
      </w:r>
      <w:r>
        <w:rPr>
          <w:rFonts w:ascii="Times New Roman" w:hAnsi="Times New Roman"/>
          <w:caps w:val="false"/>
          <w:smallCaps w:val="false"/>
          <w:sz w:val="20"/>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rPr>
        <w:t>Disbursement Procedures</w:t>
      </w:r>
      <w:r>
        <w:rPr>
          <w:rFonts w:ascii="Times New Roman" w:hAnsi="Times New Roman"/>
          <w:caps w:val="false"/>
          <w:smallCaps w:val="false"/>
          <w:sz w:val="20"/>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hAnsi="Times New Roman"/>
          <w:i/>
          <w:caps w:val="false"/>
          <w:smallCaps w:val="false"/>
          <w:sz w:val="20"/>
        </w:rPr>
        <w:t xml:space="preserve">provided </w:t>
      </w:r>
      <w:r>
        <w:rPr>
          <w:rFonts w:ascii="Times New Roman" w:hAnsi="Times New Roman"/>
          <w:caps w:val="false"/>
          <w:smallCaps w:val="false"/>
          <w:sz w:val="20"/>
        </w:rPr>
        <w:t>that any failure to give or delay in giving such notice shall not relieve the Borrower of its obligation to reimburse the L/C Issuer and the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rPr>
        <w:t>Interim Interest</w:t>
      </w:r>
      <w:r>
        <w:rPr>
          <w:rFonts w:ascii="Times New Roman" w:hAnsi="Times New Roman"/>
          <w:caps w:val="false"/>
          <w:smallCaps w:val="false"/>
          <w:sz w:val="20"/>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then applicable to Base Rate Loans;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the Borrower fails to reimburse such L/C Disbursement when due pursuant to </w:t>
      </w:r>
      <w:r>
        <w:rPr>
          <w:rFonts w:ascii="Times New Roman" w:hAnsi="Times New Roman"/>
          <w:b/>
          <w:i/>
          <w:caps w:val="false"/>
          <w:smallCaps w:val="false"/>
          <w:sz w:val="20"/>
        </w:rPr>
        <w:t>Section 2.03(f)</w:t>
      </w:r>
      <w:r>
        <w:rPr>
          <w:rFonts w:ascii="Times New Roman" w:hAnsi="Times New Roman"/>
          <w:caps w:val="false"/>
          <w:smallCaps w:val="false"/>
          <w:sz w:val="20"/>
        </w:rPr>
        <w:t xml:space="preserve">, then </w:t>
      </w:r>
      <w:r>
        <w:rPr>
          <w:rFonts w:ascii="Times New Roman" w:hAnsi="Times New Roman"/>
          <w:b/>
          <w:i/>
          <w:caps w:val="false"/>
          <w:smallCaps w:val="false"/>
          <w:sz w:val="20"/>
        </w:rPr>
        <w:t xml:space="preserve">Section 2.08(b) </w:t>
      </w:r>
      <w:r>
        <w:rPr>
          <w:rFonts w:ascii="Times New Roman" w:hAnsi="Times New Roman"/>
          <w:caps w:val="false"/>
          <w:smallCaps w:val="false"/>
          <w:sz w:val="20"/>
        </w:rPr>
        <w:t xml:space="preserve">shall apply. Interest accrued pursuant to this </w:t>
      </w:r>
      <w:r>
        <w:rPr>
          <w:rFonts w:ascii="Times New Roman" w:hAnsi="Times New Roman"/>
          <w:b/>
          <w:i/>
          <w:caps w:val="false"/>
          <w:smallCaps w:val="false"/>
          <w:sz w:val="20"/>
        </w:rPr>
        <w:t xml:space="preserve">subsection </w:t>
      </w:r>
      <w:r>
        <w:rPr>
          <w:rFonts w:ascii="Times New Roman" w:hAnsi="Times New Roman"/>
          <w:caps w:val="false"/>
          <w:smallCaps w:val="false"/>
          <w:sz w:val="20"/>
        </w:rPr>
        <w:t xml:space="preserve">shall be for account of the L/C Issuer, except that interest accrued on and after the date of payment by any Lender pursuant to </w:t>
      </w:r>
      <w:r>
        <w:rPr>
          <w:rFonts w:ascii="Times New Roman" w:hAnsi="Times New Roman"/>
          <w:b/>
          <w:i/>
          <w:caps w:val="false"/>
          <w:smallCaps w:val="false"/>
          <w:sz w:val="20"/>
        </w:rPr>
        <w:t xml:space="preserve">Section 2.03(f) </w:t>
      </w:r>
      <w:r>
        <w:rPr>
          <w:rFonts w:ascii="Times New Roman" w:hAnsi="Times New Roman"/>
          <w:caps w:val="false"/>
          <w:smallCaps w:val="false"/>
          <w:sz w:val="20"/>
        </w:rPr>
        <w:t>to reimburse the L/C Issuer shall be for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rPr>
        <w:t>Replacement of the L/C Issuer</w:t>
      </w:r>
      <w:r>
        <w:rPr>
          <w:rFonts w:ascii="Times New Roman" w:hAnsi="Times New Roman"/>
          <w:caps w:val="false"/>
          <w:smallCaps w:val="false"/>
          <w:sz w:val="20"/>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hAnsi="Times New Roman"/>
          <w:b/>
          <w:i/>
          <w:caps w:val="false"/>
          <w:smallCaps w:val="false"/>
          <w:sz w:val="20"/>
        </w:rPr>
        <w:t>Section 2.03(m)</w:t>
      </w:r>
      <w:r>
        <w:rPr>
          <w:rFonts w:ascii="Times New Roman" w:hAnsi="Times New Roman"/>
          <w:caps w:val="false"/>
          <w:smallCaps w:val="false"/>
          <w:sz w:val="20"/>
        </w:rPr>
        <w:t>. From and after the effective date of any such replacement, (i) the successor L/C Issuer shall have all the rights and obligations of an L/C Issuer under this Agreement with respect to Letters of Credit to be issued by it thereafter and (ii) references herein to the term “</w:t>
      </w:r>
      <w:r>
        <w:rPr>
          <w:rFonts w:ascii="Times New Roman" w:hAnsi="Times New Roman"/>
          <w:i/>
          <w:caps w:val="false"/>
          <w:smallCaps w:val="false"/>
          <w:sz w:val="20"/>
        </w:rPr>
        <w:t>L/C Issuer</w:t>
      </w:r>
      <w:r>
        <w:rPr>
          <w:rFonts w:ascii="Times New Roman" w:hAnsi="Times New Roman"/>
          <w:caps w:val="false"/>
          <w:smallCaps w:val="false"/>
          <w:sz w:val="20"/>
        </w:rPr>
        <w:t>” shall be deemed to include such successor or any previous L/C Issuer, or such successor and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245"/>
        <w:gridCol w:w="19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Collateralization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If any Event of Default shall occur and be continuing, on the Business Day that the Borrower receives notice from the Administrative Agent or the Lenders holding a majority of the Revolving Commitments (or, if the maturity of the Loans has been accelerated, Revolving Lenders with L/C Obligations representing at least 66-2/3% of the total L/C Obligations) demanding the deposit of Cash Collateral pursuant to this </w:t>
      </w:r>
      <w:r>
        <w:rPr>
          <w:rFonts w:ascii="Times New Roman" w:hAnsi="Times New Roman"/>
          <w:b/>
          <w:i/>
          <w:caps w:val="false"/>
          <w:smallCaps w:val="false"/>
          <w:sz w:val="20"/>
        </w:rPr>
        <w:t>subsection</w:t>
      </w:r>
      <w:r>
        <w:rPr>
          <w:rFonts w:ascii="Times New Roman" w:hAnsi="Times New Roman"/>
          <w:caps w:val="false"/>
          <w:smallCaps w:val="false"/>
          <w:sz w:val="20"/>
        </w:rPr>
        <w:t>, the Borrower shall immediately deposit into an account established and maintained on the books and records of the Administrative Agent (the “</w:t>
      </w:r>
      <w:r>
        <w:rPr>
          <w:rFonts w:ascii="Times New Roman" w:hAnsi="Times New Roman"/>
          <w:b/>
          <w:i/>
          <w:caps w:val="false"/>
          <w:smallCaps w:val="false"/>
          <w:sz w:val="20"/>
        </w:rPr>
        <w:t>Collateral Account</w:t>
      </w:r>
      <w:r>
        <w:rPr>
          <w:rFonts w:ascii="Times New Roman" w:hAnsi="Times New Roman"/>
          <w:caps w:val="false"/>
          <w:smallCaps w:val="false"/>
          <w:sz w:val="20"/>
        </w:rPr>
        <w:t xml:space="preserve">”) an amount in cash equal to 105% of the total L/C Obligations as of such date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hAnsi="Times New Roman"/>
          <w:b/>
          <w:i/>
          <w:caps w:val="false"/>
          <w:smallCaps w:val="false"/>
          <w:sz w:val="20"/>
        </w:rPr>
        <w:t>Section 8.01(f)</w:t>
      </w:r>
      <w:r>
        <w:rPr>
          <w:rFonts w:ascii="Times New Roman" w:hAnsi="Times New Roman"/>
          <w:caps w:val="false"/>
          <w:smallCaps w:val="false"/>
          <w:sz w:val="20"/>
        </w:rPr>
        <w:t xml:space="preserve">. Such deposit shall be held by the Administrative Agent as collateral for the payment and performance of the obligations of the Borrower under this Agreement. In addition, and without limiting the foregoing or </w:t>
      </w:r>
      <w:r>
        <w:rPr>
          <w:rFonts w:ascii="Times New Roman" w:hAnsi="Times New Roman"/>
          <w:b/>
          <w:i/>
          <w:caps w:val="false"/>
          <w:smallCaps w:val="false"/>
          <w:sz w:val="20"/>
        </w:rPr>
        <w:t>Section 2.03(d)</w:t>
      </w:r>
      <w:r>
        <w:rPr>
          <w:rFonts w:ascii="Times New Roman" w:hAnsi="Times New Roman"/>
          <w:caps w:val="false"/>
          <w:smallCaps w:val="false"/>
          <w:sz w:val="20"/>
        </w:rPr>
        <w:t xml:space="preserve">, if any L/C Obligations remain outstanding after the expiration date specified in said </w:t>
      </w:r>
      <w:r>
        <w:rPr>
          <w:rFonts w:ascii="Times New Roman" w:hAnsi="Times New Roman"/>
          <w:b/>
          <w:i/>
          <w:caps w:val="false"/>
          <w:smallCaps w:val="false"/>
          <w:sz w:val="20"/>
        </w:rPr>
        <w:t>Section 2.03(d)</w:t>
      </w:r>
      <w:r>
        <w:rPr>
          <w:rFonts w:ascii="Times New Roman" w:hAnsi="Times New Roman"/>
          <w:caps w:val="false"/>
          <w:smallCaps w:val="false"/>
          <w:sz w:val="20"/>
        </w:rPr>
        <w:t xml:space="preserve">, the Borrower shall immediately deposit into the Collateral Account an amount in cash equal to 105% of such L/C Obligations as of such date </w:t>
      </w:r>
      <w:r>
        <w:rPr>
          <w:rFonts w:ascii="Times New Roman" w:hAnsi="Times New Roman"/>
          <w:i/>
          <w:caps w:val="false"/>
          <w:smallCaps w:val="false"/>
          <w:sz w:val="20"/>
        </w:rPr>
        <w:t xml:space="preserve">plus </w:t>
      </w:r>
      <w:r>
        <w:rPr>
          <w:rFonts w:ascii="Times New Roman" w:hAnsi="Times New Roman"/>
          <w:caps w:val="false"/>
          <w:smallCaps w:val="false"/>
          <w:sz w:val="20"/>
        </w:rPr>
        <w:t>any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b/>
          <w:caps w:val="false"/>
          <w:smallCaps w:val="false"/>
          <w:sz w:val="20"/>
        </w:rPr>
        <w:t>Letters of Credit Issued for Subsidiaries</w:t>
      </w:r>
      <w:r>
        <w:rPr>
          <w:rFonts w:ascii="Times New Roman" w:hAnsi="Times New Roman"/>
          <w:caps w:val="false"/>
          <w:smallCaps w:val="false"/>
          <w:sz w:val="20"/>
        </w:rPr>
        <w:t>. Notwithstanding that a Letter of Credit issued or outstanding hereunder is in support of any obligations of, or is for the account of, a Loan Party, the Borrower shall be obligated to reimburse, indemnify and compensate the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acknowledges that the issuance of Letters of Credit for the account of Loan Parties inures to the benefit of the Borrower, and that the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b/>
          <w:caps w:val="false"/>
          <w:smallCaps w:val="false"/>
          <w:sz w:val="20"/>
        </w:rPr>
        <w:t>Conflict with Issuer Documents</w:t>
      </w:r>
      <w:r>
        <w:rPr>
          <w:rFonts w:ascii="Times New Roman" w:hAnsi="Times New Roman"/>
          <w:caps w:val="false"/>
          <w:smallCaps w:val="false"/>
          <w:sz w:val="20"/>
        </w:rPr>
        <w:t>. In the event of any conflict between the terms hereof and the terms of any Issuer Document, the terms hereof shall control.</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60"/>
        <w:gridCol w:w="380"/>
        <w:gridCol w:w="14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2.04</w:t>
            </w:r>
          </w:p>
        </w:tc>
        <w:tc>
          <w:tcPr>
            <w:tcW w:w="1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Swingline Loans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The Swingline</w:t>
      </w:r>
      <w:r>
        <w:rPr>
          <w:rFonts w:ascii="Times New Roman" w:hAnsi="Times New Roman"/>
          <w:caps w:val="false"/>
          <w:smallCaps w:val="false"/>
          <w:sz w:val="20"/>
        </w:rPr>
        <w:t xml:space="preserve">. Subject to the terms and conditions set forth herein, the Swingline Lender, in reliance upon the agreements of the other Lenders set forth in this </w:t>
      </w:r>
      <w:r>
        <w:rPr>
          <w:rFonts w:ascii="Times New Roman" w:hAnsi="Times New Roman"/>
          <w:b/>
          <w:caps w:val="false"/>
          <w:smallCaps w:val="false"/>
          <w:sz w:val="20"/>
        </w:rPr>
        <w:t>Section 2.04</w:t>
      </w:r>
      <w:r>
        <w:rPr>
          <w:rFonts w:ascii="Times New Roman" w:hAnsi="Times New Roman"/>
          <w:caps w:val="false"/>
          <w:smallCaps w:val="false"/>
          <w:sz w:val="20"/>
        </w:rPr>
        <w:t>, may in its sole discretion make loans to the Borrower (each such loan, a “</w:t>
      </w:r>
      <w:r>
        <w:rPr>
          <w:rFonts w:ascii="Times New Roman" w:hAnsi="Times New Roman"/>
          <w:b/>
          <w:i/>
          <w:caps w:val="false"/>
          <w:smallCaps w:val="false"/>
          <w:sz w:val="20"/>
        </w:rPr>
        <w:t>Swingline Loan</w:t>
      </w:r>
      <w:r>
        <w:rPr>
          <w:rFonts w:ascii="Times New Roman" w:hAnsi="Times New Roman"/>
          <w:caps w:val="false"/>
          <w:smallCaps w:val="false"/>
          <w:sz w:val="20"/>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 after giving effect to any Swingline Loan, (A) the Total Revolving Outstandings shall not exceed the Revolving Facility at such time, (B) the Revolving Exposure of any Revolving Lender at such time shall not exceed such Lender’s Revolving Commitment and (C) the aggregate amount of all Swingline Loans outstanding shall not exceed the Swingline Commitment of the Swingline Lender,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hAnsi="Times New Roman"/>
          <w:b/>
          <w:i/>
          <w:caps w:val="false"/>
          <w:smallCaps w:val="false"/>
          <w:sz w:val="20"/>
        </w:rPr>
        <w:t>Section 2.04</w:t>
      </w:r>
      <w:r>
        <w:rPr>
          <w:rFonts w:ascii="Times New Roman" w:hAnsi="Times New Roman"/>
          <w:caps w:val="false"/>
          <w:smallCaps w:val="false"/>
          <w:sz w:val="20"/>
        </w:rPr>
        <w:t xml:space="preserve">, prepay under </w:t>
      </w:r>
      <w:r>
        <w:rPr>
          <w:rFonts w:ascii="Times New Roman" w:hAnsi="Times New Roman"/>
          <w:b/>
          <w:i/>
          <w:caps w:val="false"/>
          <w:smallCaps w:val="false"/>
          <w:sz w:val="20"/>
        </w:rPr>
        <w:t>Section 2.05</w:t>
      </w:r>
      <w:r>
        <w:rPr>
          <w:rFonts w:ascii="Times New Roman" w:hAnsi="Times New Roman"/>
          <w:caps w:val="false"/>
          <w:smallCaps w:val="false"/>
          <w:sz w:val="20"/>
        </w:rPr>
        <w:t xml:space="preserve">, and reborrow under this </w:t>
      </w:r>
      <w:r>
        <w:rPr>
          <w:rFonts w:ascii="Times New Roman" w:hAnsi="Times New Roman"/>
          <w:b/>
          <w:i/>
          <w:caps w:val="false"/>
          <w:smallCaps w:val="false"/>
          <w:sz w:val="20"/>
        </w:rPr>
        <w:t>Section 2.04</w:t>
      </w:r>
      <w:r>
        <w:rPr>
          <w:rFonts w:ascii="Times New Roman" w:hAnsi="Times New Roman"/>
          <w:caps w:val="false"/>
          <w:smallCaps w:val="false"/>
          <w:sz w:val="20"/>
        </w:rPr>
        <w:t xml:space="preserve">. Each Swingline Loan shall bear interest only at a rate based on the Base Rate </w:t>
      </w:r>
      <w:r>
        <w:rPr>
          <w:rFonts w:ascii="Times New Roman" w:hAnsi="Times New Roman"/>
          <w:i/>
          <w:caps w:val="false"/>
          <w:smallCaps w:val="false"/>
          <w:sz w:val="20"/>
        </w:rPr>
        <w:t xml:space="preserve">plus </w:t>
      </w:r>
      <w:r>
        <w:rPr>
          <w:rFonts w:ascii="Times New Roman" w:hAnsi="Times New Roman"/>
          <w:caps w:val="false"/>
          <w:smallCaps w:val="false"/>
          <w:sz w:val="20"/>
        </w:rPr>
        <w:t>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Borrowing Procedures</w:t>
      </w:r>
      <w:r>
        <w:rPr>
          <w:rFonts w:ascii="Times New Roman" w:hAnsi="Times New Roman"/>
          <w:caps w:val="false"/>
          <w:smallCaps w:val="false"/>
          <w:sz w:val="20"/>
        </w:rPr>
        <w:t xml:space="preserve">. Each Borrowing of Swingline Loans shall be made upon the Borrower’s irrevocable notice to the Swingline Lender and the Administrative Agent, which may be given by: (i) telephone or (ii) a Swingline Loan Notice;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rate,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Borrowing (1) directing the Swingline Lender not to make such Swingline Loan as a result of the limitations set forth in the first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to the first sentence of </w:t>
      </w:r>
      <w:r>
        <w:rPr>
          <w:rFonts w:ascii="Times New Roman" w:hAnsi="Times New Roman"/>
          <w:b/>
          <w:i/>
          <w:caps w:val="false"/>
          <w:smallCaps w:val="false"/>
          <w:sz w:val="20"/>
        </w:rPr>
        <w:t>Section 2.04(a)</w:t>
      </w:r>
      <w:r>
        <w:rPr>
          <w:rFonts w:ascii="Times New Roman" w:hAnsi="Times New Roman"/>
          <w:caps w:val="false"/>
          <w:smallCaps w:val="false"/>
          <w:sz w:val="20"/>
        </w:rPr>
        <w:t xml:space="preserve">, or (2) that one (1) or more of the applicable conditions specified in </w:t>
      </w:r>
      <w:r>
        <w:rPr>
          <w:rFonts w:ascii="Times New Roman" w:hAnsi="Times New Roman"/>
          <w:b/>
          <w:i/>
          <w:caps w:val="false"/>
          <w:smallCaps w:val="false"/>
          <w:sz w:val="20"/>
        </w:rPr>
        <w:t xml:space="preserve">Article IV </w:t>
      </w:r>
      <w:r>
        <w:rPr>
          <w:rFonts w:ascii="Times New Roman" w:hAnsi="Times New Roman"/>
          <w:caps w:val="false"/>
          <w:smallCaps w:val="false"/>
          <w:sz w:val="20"/>
        </w:rPr>
        <w:t>is not then satisfied, then, subject to the terms and conditions hereof, the Swingline Lender may, make the amount of its Swingline Loan available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Borrower at its office by crediting the account of the Borrower on the books of the Swingline Lender in immediately available funds.</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
        <w:gridCol w:w="230"/>
        <w:gridCol w:w="27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Refinancing of Swingline Loans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The Swingline Lender at any time in its sole discretion may request, on behalf of the Borrower (which hereby irrevocably authorizes the Swingline Lender to so request on its behalf), that each Revolving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Times New Roman" w:hAnsi="Times New Roman"/>
          <w:b/>
          <w:i/>
          <w:caps w:val="false"/>
          <w:smallCaps w:val="false"/>
          <w:sz w:val="20"/>
        </w:rPr>
        <w:t>Section 2.02</w:t>
      </w:r>
      <w:r>
        <w:rPr>
          <w:rFonts w:ascii="Times New Roman" w:hAnsi="Times New Roman"/>
          <w:caps w:val="false"/>
          <w:smallCaps w:val="false"/>
          <w:sz w:val="20"/>
        </w:rPr>
        <w:t xml:space="preserve">, without regard to the minimum and multiples specified therein for the principal amount of Base Rate Loans, but subject to the unutilized portion of the Revolving Facility and the conditions set forth in </w:t>
      </w:r>
      <w:r>
        <w:rPr>
          <w:rFonts w:ascii="Times New Roman" w:hAnsi="Times New Roman"/>
          <w:b/>
          <w:i/>
          <w:caps w:val="false"/>
          <w:smallCaps w:val="false"/>
          <w:sz w:val="20"/>
        </w:rPr>
        <w:t>Section 4.02</w:t>
      </w:r>
      <w:r>
        <w:rPr>
          <w:rFonts w:ascii="Times New Roman" w:hAnsi="Times New Roman"/>
          <w:caps w:val="false"/>
          <w:smallCaps w:val="false"/>
          <w:sz w:val="20"/>
        </w:rPr>
        <w:t xml:space="preserve">. The Swingline Lender shall furnish the Borrower with a copy of the applicable Loan Notice promptly after delivering such notice to the Administrative Agent. Each Revolving Lender shall make an amount equal to its Applicable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Times New Roman" w:hAnsi="Times New Roman"/>
          <w:b/>
          <w:i/>
          <w:caps w:val="false"/>
          <w:smallCaps w:val="false"/>
          <w:sz w:val="20"/>
        </w:rPr>
        <w:t>Section 2.04(c)(ii)</w:t>
      </w:r>
      <w:r>
        <w:rPr>
          <w:rFonts w:ascii="Times New Roman" w:hAnsi="Times New Roman"/>
          <w:caps w:val="false"/>
          <w:smallCaps w:val="false"/>
          <w:sz w:val="20"/>
        </w:rPr>
        <w:t>, each Revolving Lender that so makes funds available shall be deemed to have made a Base Rate Loan to the Borrower in such amount. The Administrative Agent shall remit the funds so received to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Notwithstanding anything to the contrary in the foregoing, if for any reason any Swingline Loan cannot be refinanced by such a Borrowing of Revolving Loans in accordance with </w:t>
      </w:r>
      <w:r>
        <w:rPr>
          <w:rFonts w:ascii="Times New Roman" w:hAnsi="Times New Roman"/>
          <w:b/>
          <w:i/>
          <w:caps w:val="false"/>
          <w:smallCaps w:val="false"/>
          <w:sz w:val="20"/>
        </w:rPr>
        <w:t xml:space="preserve">Section 2.04(c)(i) </w:t>
      </w:r>
      <w:r>
        <w:rPr>
          <w:rFonts w:ascii="Times New Roman" w:hAnsi="Times New Roman"/>
          <w:caps w:val="false"/>
          <w:smallCaps w:val="false"/>
          <w:sz w:val="20"/>
        </w:rPr>
        <w:t xml:space="preserve">(including, without limitation, the failure to satisfy the conditions set forth in </w:t>
      </w:r>
      <w:r>
        <w:rPr>
          <w:rFonts w:ascii="Times New Roman" w:hAnsi="Times New Roman"/>
          <w:b/>
          <w:i/>
          <w:caps w:val="false"/>
          <w:smallCaps w:val="false"/>
          <w:sz w:val="20"/>
        </w:rPr>
        <w:t>Section 4.02</w:t>
      </w:r>
      <w:r>
        <w:rPr>
          <w:rFonts w:ascii="Times New Roman" w:hAnsi="Times New Roman"/>
          <w:caps w:val="false"/>
          <w:smallCaps w:val="false"/>
          <w:sz w:val="20"/>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hAnsi="Times New Roman"/>
          <w:b/>
          <w:i/>
          <w:caps w:val="false"/>
          <w:smallCaps w:val="false"/>
          <w:sz w:val="20"/>
        </w:rPr>
        <w:t xml:space="preserve">Section 2.04(c)(i) </w:t>
      </w:r>
      <w:r>
        <w:rPr>
          <w:rFonts w:ascii="Times New Roman" w:hAnsi="Times New Roman"/>
          <w:caps w:val="false"/>
          <w:smallCaps w:val="false"/>
          <w:sz w:val="20"/>
        </w:rPr>
        <w:t>shall be deemed payment in respect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If any Revolving Lender fails to make available to the Administrative Agent for the account of the Swingline Lender any amount required to be paid by such Lender pursuant to the foregoing provisions of this </w:t>
      </w:r>
      <w:r>
        <w:rPr>
          <w:rFonts w:ascii="Times New Roman" w:hAnsi="Times New Roman"/>
          <w:b/>
          <w:i/>
          <w:caps w:val="false"/>
          <w:smallCaps w:val="false"/>
          <w:sz w:val="20"/>
        </w:rPr>
        <w:t xml:space="preserve">Section 2.04(c) </w:t>
      </w:r>
      <w:r>
        <w:rPr>
          <w:rFonts w:ascii="Times New Roman" w:hAnsi="Times New Roman"/>
          <w:caps w:val="false"/>
          <w:smallCaps w:val="false"/>
          <w:sz w:val="20"/>
        </w:rPr>
        <w:t xml:space="preserve">by the time specified in </w:t>
      </w:r>
      <w:r>
        <w:rPr>
          <w:rFonts w:ascii="Times New Roman" w:hAnsi="Times New Roman"/>
          <w:b/>
          <w:i/>
          <w:caps w:val="false"/>
          <w:smallCaps w:val="false"/>
          <w:sz w:val="20"/>
        </w:rPr>
        <w:t>Section 2.04(c)(i)</w:t>
      </w:r>
      <w:r>
        <w:rPr>
          <w:rFonts w:ascii="Times New Roman" w:hAnsi="Times New Roman"/>
          <w:caps w:val="false"/>
          <w:smallCaps w:val="false"/>
          <w:sz w:val="20"/>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greater of the Federal Funds Rate and a rate determined by the Swingline Lender in accordance with banking industry rules on interbank compensation,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Borrowing or funded participation in the relevant Swingline Loan, as the case may be. A certificate of the Swingline Lender submitted to any Lender (through the Administrative Agent) with respect to any amounts owing under this </w:t>
      </w:r>
      <w:r>
        <w:rPr>
          <w:rFonts w:ascii="Times New Roman" w:hAnsi="Times New Roman"/>
          <w:b/>
          <w:i/>
          <w:caps w:val="false"/>
          <w:smallCaps w:val="false"/>
          <w:sz w:val="20"/>
        </w:rPr>
        <w:t xml:space="preserve">clause (c)(iii) </w:t>
      </w:r>
      <w:r>
        <w:rPr>
          <w:rFonts w:ascii="Times New Roman" w:hAnsi="Times New Roman"/>
          <w:caps w:val="false"/>
          <w:smallCaps w:val="false"/>
          <w:sz w:val="20"/>
        </w:rPr>
        <w:t>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Each Revolving Lender’s obligation to make Revolving Loans or to purchase and fund risk participations in Swingline Loans pursuant to this </w:t>
      </w:r>
      <w:r>
        <w:rPr>
          <w:rFonts w:ascii="Times New Roman" w:hAnsi="Times New Roman"/>
          <w:b/>
          <w:i/>
          <w:caps w:val="false"/>
          <w:smallCaps w:val="false"/>
          <w:sz w:val="20"/>
        </w:rPr>
        <w:t xml:space="preserve">Section 2.04(c) </w:t>
      </w:r>
      <w:r>
        <w:rPr>
          <w:rFonts w:ascii="Times New Roman" w:hAnsi="Times New Roman"/>
          <w:caps w:val="false"/>
          <w:smallCaps w:val="false"/>
          <w:sz w:val="20"/>
        </w:rPr>
        <w:t xml:space="preserve">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each Revolving Lender’s obligation to make Revolving Loans pursuant to this </w:t>
      </w:r>
      <w:r>
        <w:rPr>
          <w:rFonts w:ascii="Times New Roman" w:hAnsi="Times New Roman"/>
          <w:b/>
          <w:i/>
          <w:caps w:val="false"/>
          <w:smallCaps w:val="false"/>
          <w:sz w:val="20"/>
        </w:rPr>
        <w:t xml:space="preserve">Section 2.04(c) </w:t>
      </w:r>
      <w:r>
        <w:rPr>
          <w:rFonts w:ascii="Times New Roman" w:hAnsi="Times New Roman"/>
          <w:caps w:val="false"/>
          <w:smallCaps w:val="false"/>
          <w:sz w:val="20"/>
        </w:rPr>
        <w:t xml:space="preserve">is subject to the conditions set forth in </w:t>
      </w:r>
      <w:r>
        <w:rPr>
          <w:rFonts w:ascii="Times New Roman" w:hAnsi="Times New Roman"/>
          <w:b/>
          <w:i/>
          <w:caps w:val="false"/>
          <w:smallCaps w:val="false"/>
          <w:sz w:val="20"/>
        </w:rPr>
        <w:t xml:space="preserve">Section 4.02 </w:t>
      </w:r>
      <w:r>
        <w:rPr>
          <w:rFonts w:ascii="Times New Roman" w:hAnsi="Times New Roman"/>
          <w:caps w:val="false"/>
          <w:smallCaps w:val="false"/>
          <w:sz w:val="20"/>
        </w:rPr>
        <w:t>(other than delivery by the Borrower of a Loan Notice). No such funding of risk participations shall relieve or otherwise impair the obligation of the Borrower to repay Swingline Loans, together with interest as provided herein.</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245"/>
        <w:gridCol w:w="24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Repayment of Participations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If any payment received by the Swingline Lender in respect of principal or interest on any Swingline Loan is required to be returned by the Swingline Lender under any of the circumstances described in </w:t>
      </w:r>
      <w:r>
        <w:rPr>
          <w:rFonts w:ascii="Times New Roman" w:hAnsi="Times New Roman"/>
          <w:b/>
          <w:i/>
          <w:caps w:val="false"/>
          <w:smallCaps w:val="false"/>
          <w:sz w:val="20"/>
        </w:rPr>
        <w:t xml:space="preserve">Section 11.05 </w:t>
      </w:r>
      <w:r>
        <w:rPr>
          <w:rFonts w:ascii="Times New Roman" w:hAnsi="Times New Roman"/>
          <w:caps w:val="false"/>
          <w:smallCaps w:val="false"/>
          <w:sz w:val="20"/>
        </w:rPr>
        <w:t xml:space="preserve">(including pursuant to any settlement entered into by the Swingline Lender in its discretion), each Revolving Lender shall pay to the Swingline Lender its Applicable Percentage thereof on demand of the Administrative Agent,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interest thereon from the date of such demand to the date such amount is returned,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Federal Funds Rate. The Administrative Agent will make such demand upon the request of the Swingline Lender. The obligations of the Lenders under this </w:t>
      </w:r>
      <w:r>
        <w:rPr>
          <w:rFonts w:ascii="Times New Roman" w:hAnsi="Times New Roman"/>
          <w:b/>
          <w:i/>
          <w:caps w:val="false"/>
          <w:smallCaps w:val="false"/>
          <w:sz w:val="20"/>
        </w:rPr>
        <w:t xml:space="preserve">clause </w:t>
      </w:r>
      <w:r>
        <w:rPr>
          <w:rFonts w:ascii="Times New Roman" w:hAnsi="Times New Roman"/>
          <w:caps w:val="false"/>
          <w:smallCaps w:val="false"/>
          <w:sz w:val="20"/>
        </w:rPr>
        <w:t>shall survive the payment in full of the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Interest for Account of Swingline Lender</w:t>
      </w:r>
      <w:r>
        <w:rPr>
          <w:rFonts w:ascii="Times New Roman" w:hAnsi="Times New Roman"/>
          <w:caps w:val="false"/>
          <w:smallCaps w:val="false"/>
          <w:sz w:val="20"/>
        </w:rPr>
        <w:t xml:space="preserve">. The Swingline Lender shall be responsible for invoicing the Borrower for interest on the Swingline Loans. Until each Revolving Lender funds its Base Rate Loan or risk participation pursuant to this </w:t>
      </w:r>
      <w:r>
        <w:rPr>
          <w:rFonts w:ascii="Times New Roman" w:hAnsi="Times New Roman"/>
          <w:b/>
          <w:i/>
          <w:caps w:val="false"/>
          <w:smallCaps w:val="false"/>
          <w:sz w:val="20"/>
        </w:rPr>
        <w:t xml:space="preserve">Section 2.04 </w:t>
      </w:r>
      <w:r>
        <w:rPr>
          <w:rFonts w:ascii="Times New Roman" w:hAnsi="Times New Roman"/>
          <w:caps w:val="false"/>
          <w:smallCaps w:val="false"/>
          <w:sz w:val="20"/>
        </w:rPr>
        <w:t>to refinance such Revolving Lender’s Applicable Percentage of any Swingline Loan, interest in respect of such Applicable Percentage shall be solely for the account of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Payments Directly to Swingline Lender</w:t>
      </w:r>
      <w:r>
        <w:rPr>
          <w:rFonts w:ascii="Times New Roman" w:hAnsi="Times New Roman"/>
          <w:caps w:val="false"/>
          <w:smallCaps w:val="false"/>
          <w:sz w:val="20"/>
        </w:rPr>
        <w:t>. The Borrower shall make all payments of principal and interest in respect of the Swingline Loans directly to the Swingline Lender.</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380"/>
        <w:gridCol w:w="11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2.05</w:t>
            </w:r>
          </w:p>
        </w:tc>
        <w:tc>
          <w:tcPr>
            <w:tcW w:w="1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Prepayments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60"/>
        <w:gridCol w:w="230"/>
        <w:gridCol w:w="8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Optional</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Revolving Loans and Term Loans</w:t>
      </w:r>
      <w:r>
        <w:rPr>
          <w:rFonts w:ascii="Times New Roman" w:hAnsi="Times New Roman"/>
          <w:caps w:val="false"/>
          <w:smallCaps w:val="false"/>
          <w:sz w:val="20"/>
        </w:rPr>
        <w:t xml:space="preserve">. The Borrower may, upon notice to the Administrative Agent pursuant to delivery to the Administrative Agent of a Notice of Loan Prepayment, at any time or from time to time voluntarily prepay Term Loans and Revolving Loans in whole or in part without premium or penalty subject to </w:t>
      </w:r>
      <w:r>
        <w:rPr>
          <w:rFonts w:ascii="Times New Roman" w:hAnsi="Times New Roman"/>
          <w:b/>
          <w:i/>
          <w:caps w:val="false"/>
          <w:smallCaps w:val="false"/>
          <w:sz w:val="20"/>
        </w:rPr>
        <w:t>Section 3.05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unless otherwise agreed by the Administrative Agent, (A) such notice must be received by the Administrative Agent not later than 11:00 a.m. (1) two (2)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Days prior to any date of prepayment of Term SOFR Loans and (2) on the date of prepayment of Base Rate Loans; (B) any prepayment of Term SOFR Loans shall be in a principal amount of $5,000,000 or a whole multiple of $1,000,000 in excess thereof; and</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 any prepayment of Base Rate Loans shall be in a principal amount of $500,000 or a whole multiple of $100,000 in excess thereof or, in each case, if less, the entire principal amount thereof then outstanding; provided that notwithstanding the foregoing, any optional prepayment made after the Sixth Amendment Effective Date and on or before November 30, 2026 shall be not less than $10,000,000.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hAnsi="Times New Roman"/>
          <w:b/>
          <w:i/>
          <w:caps w:val="false"/>
          <w:smallCaps w:val="false"/>
          <w:sz w:val="20"/>
        </w:rPr>
        <w:t>Section 3.05</w:t>
      </w:r>
      <w:r>
        <w:rPr>
          <w:rFonts w:ascii="Times New Roman" w:hAnsi="Times New Roman"/>
          <w:caps w:val="false"/>
          <w:smallCaps w:val="false"/>
          <w:sz w:val="20"/>
        </w:rPr>
        <w:t xml:space="preserve">. Each prepayment of the outstanding Term Loans pursuant to this </w:t>
      </w:r>
      <w:r>
        <w:rPr>
          <w:rFonts w:ascii="Times New Roman" w:hAnsi="Times New Roman"/>
          <w:b/>
          <w:i/>
          <w:caps w:val="false"/>
          <w:smallCaps w:val="false"/>
          <w:sz w:val="20"/>
        </w:rPr>
        <w:t xml:space="preserve">Section 2.05(a) </w:t>
      </w:r>
      <w:r>
        <w:rPr>
          <w:rFonts w:ascii="Times New Roman" w:hAnsi="Times New Roman"/>
          <w:caps w:val="false"/>
          <w:smallCaps w:val="false"/>
          <w:sz w:val="20"/>
        </w:rPr>
        <w:t xml:space="preserve">shall be applied to the principal repayment installments thereof in inverse order of maturity (including the required payment on the Maturity Date). Subject to </w:t>
      </w:r>
      <w:r>
        <w:rPr>
          <w:rFonts w:ascii="Times New Roman" w:hAnsi="Times New Roman"/>
          <w:b/>
          <w:i/>
          <w:caps w:val="false"/>
          <w:smallCaps w:val="false"/>
          <w:sz w:val="20"/>
        </w:rPr>
        <w:t>Section 2.15</w:t>
      </w:r>
      <w:r>
        <w:rPr>
          <w:rFonts w:ascii="Times New Roman" w:hAnsi="Times New Roman"/>
          <w:caps w:val="false"/>
          <w:smallCaps w:val="false"/>
          <w:sz w:val="20"/>
        </w:rPr>
        <w:t>, such prepayments shall be paid to the Lenders in accordance with their respective Applicable Percentages in respect of each of the relevant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Swingline Loans</w:t>
      </w:r>
      <w:r>
        <w:rPr>
          <w:rFonts w:ascii="Times New Roman" w:hAnsi="Times New Roman"/>
          <w:caps w:val="false"/>
          <w:smallCaps w:val="false"/>
          <w:sz w:val="20"/>
        </w:rPr>
        <w:t xml:space="preserve">. 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hAnsi="Times New Roman"/>
          <w:i/>
          <w:caps w:val="false"/>
          <w:smallCaps w:val="false"/>
          <w:sz w:val="20"/>
        </w:rPr>
        <w:t xml:space="preserve">provided </w:t>
      </w:r>
      <w:r>
        <w:rPr>
          <w:rFonts w:ascii="Times New Roman" w:hAnsi="Times New Roman"/>
          <w:caps w:val="false"/>
          <w:smallCaps w:val="false"/>
          <w:sz w:val="20"/>
        </w:rPr>
        <w:t>that, unless otherwise agreed by the Swingline Lender, (A) such notice must be received by the Swingline Lender and the Administrative Agent not later than 1:00 p.m. on the date of the prepayment, and (B) any such prepayment shall be in a minimum principal amount of</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
        <w:gridCol w:w="245"/>
        <w:gridCol w:w="10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Mandatory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200"/>
        <w:gridCol w:w="9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Dispositions and Recovery Events</w:t>
      </w:r>
      <w:r>
        <w:rPr>
          <w:rFonts w:ascii="Times New Roman" w:hAnsi="Times New Roman"/>
          <w:caps w:val="false"/>
          <w:smallCaps w:val="false"/>
          <w:sz w:val="20"/>
        </w:rPr>
        <w:t xml:space="preserve">. The Borrower shall prepay the Loans and/or Cash Collateralize the L/C Obligations as hereinafter provided in an aggregate amount equal to 100% of the Net Cash Proceeds received by any Loan Party or any Subsidiary from all Dispositions (other than Permitted Transfers) and Recovery Events within five (5) Business Days of the date of such Disposition or Recovery Event; </w:t>
      </w:r>
      <w:r>
        <w:rPr>
          <w:rFonts w:ascii="Times New Roman" w:hAnsi="Times New Roman"/>
          <w:i/>
          <w:caps w:val="false"/>
          <w:smallCaps w:val="false"/>
          <w:sz w:val="20"/>
        </w:rPr>
        <w:t>provided</w:t>
      </w:r>
      <w:r>
        <w:rPr>
          <w:rFonts w:ascii="Times New Roman" w:hAnsi="Times New Roman"/>
          <w:caps w:val="false"/>
          <w:smallCaps w:val="false"/>
          <w:sz w:val="20"/>
        </w:rPr>
        <w:t>, however, that so long as no Default shall have occurred and be continuing, such Net Cash Proceeds shall not be required to be so applied (A) until the aggregate amount of the Net Cash Proceeds derived from all such Dispositions and Recovery Events received by any Loan Party or any Subsidiary from and after the Sixth Amendment Effective Date is equal to or greater than $5,000,000, so long as, with respect to any individual Disposition or Recovery Event having Net Cash Proceeds in excess of $50,000, the Borrower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delivered to the Administrative Agent prior to any such Disposition a schedule reasonably satisfactory to the Administrative Agent detailing the source, amount, and intended use of such Net Cash Proceeds, including the aggregate amount of Net Cash Proceeds retained under this </w:t>
      </w:r>
      <w:r>
        <w:rPr>
          <w:rFonts w:ascii="Times New Roman" w:hAnsi="Times New Roman"/>
          <w:b/>
          <w:i/>
          <w:caps w:val="false"/>
          <w:smallCaps w:val="false"/>
          <w:sz w:val="20"/>
        </w:rPr>
        <w:t xml:space="preserve">Section 2.05(b)(ii)(A) </w:t>
      </w:r>
      <w:r>
        <w:rPr>
          <w:rFonts w:ascii="Times New Roman" w:hAnsi="Times New Roman"/>
          <w:caps w:val="false"/>
          <w:smallCaps w:val="false"/>
          <w:sz w:val="20"/>
        </w:rPr>
        <w:t xml:space="preserve">after giving effect to such retention, and (B) at the election of the Borrower (as notified by the Borrower to the Administrative Agent) to the extent such Loan Party or such Subsidiary reinvests all or any portion of such Net Cash Proceeds in operating assets (but specifically excluding current assets as classified by GAAP) within one hundred eighty (180) days after the receipt of such Net Cash Proceeds and, if committed to be reinvested within such one hundred eighty (180) day period, actually reinvested in assets (excluding current assets as classified in accordance with GAAP) within three hundred sixty-five (365) days (or such longer period as the Required Lenders may agree in writing) after the date of receipt of such Net Cash Proceeds;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such Net Cash Proceeds shall have not been so reinvested, such Net Cash Proceeds shall be immediately applied to prepay the Loans and/or Cash Collateralize the L/C Obligations.</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320"/>
        <w:gridCol w:w="96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Debt Issuance</w:t>
      </w:r>
      <w:r>
        <w:rPr>
          <w:rFonts w:ascii="Times New Roman" w:hAnsi="Times New Roman"/>
          <w:caps w:val="false"/>
          <w:smallCaps w:val="false"/>
          <w:sz w:val="20"/>
        </w:rPr>
        <w:t>. Immediately upon the receipt by any Loan Party or any Subsidiary of the Net Cash Proceeds of any Debt Issuance, the Borrower shall prepay the Loans and/or Cash Collateralize the L/C Obligations as hereinafter provided in an aggregate amount equal to 100% of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Extraordinary Receipts</w:t>
      </w:r>
      <w:r>
        <w:rPr>
          <w:rFonts w:ascii="Times New Roman" w:hAnsi="Times New Roman"/>
          <w:caps w:val="false"/>
          <w:smallCaps w:val="false"/>
          <w:sz w:val="20"/>
        </w:rPr>
        <w:t xml:space="preserve">. Immediately upon receipt by any Loan Party or any Subsidiary of any Extraordinary Receipt received by or paid to or for the account of any Loan Party or any of its Subsidiaries, and not otherwise included in </w:t>
      </w:r>
      <w:r>
        <w:rPr>
          <w:rFonts w:ascii="Times New Roman" w:hAnsi="Times New Roman"/>
          <w:b/>
          <w:i/>
          <w:caps w:val="false"/>
          <w:smallCaps w:val="false"/>
          <w:sz w:val="20"/>
        </w:rPr>
        <w:t xml:space="preserve">clause (ii)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2.05(b)</w:t>
      </w:r>
      <w:r>
        <w:rPr>
          <w:rFonts w:ascii="Times New Roman" w:hAnsi="Times New Roman"/>
          <w:caps w:val="false"/>
          <w:smallCaps w:val="false"/>
          <w:sz w:val="20"/>
        </w:rPr>
        <w:t>, the Borrower shall prepay the Loans and/or Cash Collateralize the L/C Obligations as hereinafter provided in an aggregate principal amount equal to 100% of all Net Cash Proceeds received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b/>
          <w:caps w:val="false"/>
          <w:smallCaps w:val="false"/>
          <w:sz w:val="20"/>
        </w:rPr>
        <w:t>Application of Payments</w:t>
      </w:r>
      <w:r>
        <w:rPr>
          <w:rFonts w:ascii="Times New Roman" w:hAnsi="Times New Roman"/>
          <w:caps w:val="false"/>
          <w:smallCaps w:val="false"/>
          <w:sz w:val="20"/>
        </w:rPr>
        <w:t xml:space="preserve">. Each prepayment of Loans pursuant to the foregoing provisions of </w:t>
      </w:r>
      <w:r>
        <w:rPr>
          <w:rFonts w:ascii="Times New Roman" w:hAnsi="Times New Roman"/>
          <w:b/>
          <w:i/>
          <w:caps w:val="false"/>
          <w:smallCaps w:val="false"/>
          <w:sz w:val="20"/>
        </w:rPr>
        <w:t xml:space="preserve">clauses (i) </w:t>
      </w:r>
      <w:r>
        <w:rPr>
          <w:rFonts w:ascii="Times New Roman" w:hAnsi="Times New Roman"/>
          <w:caps w:val="false"/>
          <w:smallCaps w:val="false"/>
          <w:sz w:val="20"/>
        </w:rPr>
        <w:t xml:space="preserve">through </w:t>
      </w:r>
      <w:r>
        <w:rPr>
          <w:rFonts w:ascii="Times New Roman" w:hAnsi="Times New Roman"/>
          <w:b/>
          <w:i/>
          <w:caps w:val="false"/>
          <w:smallCaps w:val="false"/>
          <w:sz w:val="20"/>
        </w:rPr>
        <w:t xml:space="preserve">(v)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2.05(b) </w:t>
      </w:r>
      <w:r>
        <w:rPr>
          <w:rFonts w:ascii="Times New Roman" w:hAnsi="Times New Roman"/>
          <w:caps w:val="false"/>
          <w:smallCaps w:val="false"/>
          <w:sz w:val="20"/>
        </w:rPr>
        <w:t xml:space="preserve">shall be applied, first, to the principal repayment installments of the Term Loan in inverse order of maturity for all such principal repayment installments, including, without limitation, the final principal repayment installment on the Maturity Date and, second, to the Revolving Facility in the manner set forth in </w:t>
      </w:r>
      <w:r>
        <w:rPr>
          <w:rFonts w:ascii="Times New Roman" w:hAnsi="Times New Roman"/>
          <w:b/>
          <w:i/>
          <w:caps w:val="false"/>
          <w:smallCaps w:val="false"/>
          <w:sz w:val="20"/>
        </w:rPr>
        <w:t xml:space="preserve">clause (viii)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2.05(b)</w:t>
      </w:r>
      <w:r>
        <w:rPr>
          <w:rFonts w:ascii="Times New Roman" w:hAnsi="Times New Roman"/>
          <w:caps w:val="false"/>
          <w:smallCaps w:val="false"/>
          <w:sz w:val="20"/>
        </w:rPr>
        <w:t xml:space="preserve">. Subject to </w:t>
      </w:r>
      <w:r>
        <w:rPr>
          <w:rFonts w:ascii="Times New Roman" w:hAnsi="Times New Roman"/>
          <w:b/>
          <w:i/>
          <w:caps w:val="false"/>
          <w:smallCaps w:val="false"/>
          <w:sz w:val="20"/>
        </w:rPr>
        <w:t>Section 2.15</w:t>
      </w:r>
      <w:r>
        <w:rPr>
          <w:rFonts w:ascii="Times New Roman" w:hAnsi="Times New Roman"/>
          <w:caps w:val="false"/>
          <w:smallCaps w:val="false"/>
          <w:sz w:val="20"/>
        </w:rPr>
        <w:t>, such prepayments shall be paid to the Lenders in accordance with their respective Applicable Percentages in respect of the relevant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b/>
          <w:caps w:val="false"/>
          <w:smallCaps w:val="false"/>
          <w:sz w:val="20"/>
        </w:rPr>
        <w:t>Revolving Outstandings</w:t>
      </w:r>
      <w:r>
        <w:rPr>
          <w:rFonts w:ascii="Times New Roman" w:hAnsi="Times New Roman"/>
          <w:caps w:val="false"/>
          <w:smallCaps w:val="false"/>
          <w:sz w:val="20"/>
        </w:rPr>
        <w:t xml:space="preserve">. If for any reason the Total Revolving Outstandings at any time exceed the Aggregate Revolving Commitments at such time, the Borrower shall immediately prepay Revolving Loans, Swingline Loans and L/C Borrowings and/or Cash Collateralize the L/C Obligations in an aggregate amount equal to such excess;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Borrower shall not be required to Cash Collateralize the L/C Obligations pursuant to this </w:t>
      </w:r>
      <w:r>
        <w:rPr>
          <w:rFonts w:ascii="Times New Roman" w:hAnsi="Times New Roman"/>
          <w:b/>
          <w:i/>
          <w:caps w:val="false"/>
          <w:smallCaps w:val="false"/>
          <w:sz w:val="20"/>
        </w:rPr>
        <w:t xml:space="preserve">Section 2.05(b)(vii) </w:t>
      </w:r>
      <w:r>
        <w:rPr>
          <w:rFonts w:ascii="Times New Roman" w:hAnsi="Times New Roman"/>
          <w:caps w:val="false"/>
          <w:smallCaps w:val="false"/>
          <w:sz w:val="20"/>
        </w:rPr>
        <w:t>unless, after the prepayment of the Revolving Loans and Swingline Loans, the Total Revolving Outstandings exceed the Aggregate Revolving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b/>
          <w:caps w:val="false"/>
          <w:smallCaps w:val="false"/>
          <w:sz w:val="20"/>
        </w:rPr>
        <w:t>Application of Other Payments</w:t>
      </w:r>
      <w:r>
        <w:rPr>
          <w:rFonts w:ascii="Times New Roman" w:hAnsi="Times New Roman"/>
          <w:caps w:val="false"/>
          <w:smallCaps w:val="false"/>
          <w:sz w:val="20"/>
        </w:rPr>
        <w:t xml:space="preserve">. Except as otherwise provided in </w:t>
      </w:r>
      <w:r>
        <w:rPr>
          <w:rFonts w:ascii="Times New Roman" w:hAnsi="Times New Roman"/>
          <w:b/>
          <w:i/>
          <w:caps w:val="false"/>
          <w:smallCaps w:val="false"/>
          <w:sz w:val="20"/>
        </w:rPr>
        <w:t>Section 2.15</w:t>
      </w:r>
      <w:r>
        <w:rPr>
          <w:rFonts w:ascii="Times New Roman" w:hAnsi="Times New Roman"/>
          <w:caps w:val="false"/>
          <w:smallCaps w:val="false"/>
          <w:sz w:val="20"/>
        </w:rPr>
        <w:t xml:space="preserve">, prepayments of the Revolving Facility made pursuant to this </w:t>
      </w:r>
      <w:r>
        <w:rPr>
          <w:rFonts w:ascii="Times New Roman" w:hAnsi="Times New Roman"/>
          <w:b/>
          <w:i/>
          <w:caps w:val="false"/>
          <w:smallCaps w:val="false"/>
          <w:sz w:val="20"/>
        </w:rPr>
        <w:t>Section 2.05(b)</w:t>
      </w:r>
      <w:r>
        <w:rPr>
          <w:rFonts w:ascii="Times New Roman" w:hAnsi="Times New Roman"/>
          <w:caps w:val="false"/>
          <w:smallCaps w:val="false"/>
          <w:sz w:val="20"/>
        </w:rPr>
        <w:t>, first, shall be applied ratably to the L/C Borrowings and the Swingline Loans, second,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be applied to the outstanding Revolving Loans, and, third, shall be used to Cash Collateralize the remaining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Within the parameters of the applications set forth above, prepayments pursuant to this </w:t>
      </w:r>
      <w:r>
        <w:rPr>
          <w:rFonts w:ascii="Times New Roman" w:hAnsi="Times New Roman"/>
          <w:b/>
          <w:i/>
          <w:caps w:val="false"/>
          <w:smallCaps w:val="false"/>
          <w:sz w:val="20"/>
        </w:rPr>
        <w:t xml:space="preserve">Section 2.05(b) </w:t>
      </w:r>
      <w:r>
        <w:rPr>
          <w:rFonts w:ascii="Times New Roman" w:hAnsi="Times New Roman"/>
          <w:caps w:val="false"/>
          <w:smallCaps w:val="false"/>
          <w:sz w:val="20"/>
        </w:rPr>
        <w:t xml:space="preserve">shall be applied first to Base Rate Loans and then to Term SOFR Loans in direct order of Interest Period maturities. All prepayments under this </w:t>
      </w:r>
      <w:r>
        <w:rPr>
          <w:rFonts w:ascii="Times New Roman" w:hAnsi="Times New Roman"/>
          <w:b/>
          <w:i/>
          <w:caps w:val="false"/>
          <w:smallCaps w:val="false"/>
          <w:sz w:val="20"/>
        </w:rPr>
        <w:t xml:space="preserve">Section 2.05(b) </w:t>
      </w:r>
      <w:r>
        <w:rPr>
          <w:rFonts w:ascii="Times New Roman" w:hAnsi="Times New Roman"/>
          <w:caps w:val="false"/>
          <w:smallCaps w:val="false"/>
          <w:sz w:val="20"/>
        </w:rPr>
        <w:t xml:space="preserve">shall be subject to </w:t>
      </w:r>
      <w:r>
        <w:rPr>
          <w:rFonts w:ascii="Times New Roman" w:hAnsi="Times New Roman"/>
          <w:b/>
          <w:i/>
          <w:caps w:val="false"/>
          <w:smallCaps w:val="false"/>
          <w:sz w:val="20"/>
        </w:rPr>
        <w:t>Section 3.05</w:t>
      </w:r>
      <w:r>
        <w:rPr>
          <w:rFonts w:ascii="Times New Roman" w:hAnsi="Times New Roman"/>
          <w:caps w:val="false"/>
          <w:smallCaps w:val="false"/>
          <w:sz w:val="20"/>
        </w:rPr>
        <w:t>, but otherwise without premium or penalty, and shall be accompanied by interest on the principal amount prepaid through the date of prepayment.</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380"/>
        <w:gridCol w:w="37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2.06</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Termination or Reduction of Commitments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Optional</w:t>
      </w:r>
      <w:r>
        <w:rPr>
          <w:rFonts w:ascii="Times New Roman" w:hAnsi="Times New Roman"/>
          <w:caps w:val="false"/>
          <w:smallCaps w:val="false"/>
          <w:sz w:val="20"/>
        </w:rPr>
        <w:t xml:space="preserve">. The Borrower may, upon notice to the Administrative Agent, terminate the Delayed Draw Term Loan Commitments, the Aggregate Revolving Commitments, the Letter of Credit Sublimit or the Swingline Sublimit, or from time to time permanently reduce the Aggregate Revolving Commitments, the Letter of Credit Sublimit or the Swingline Sublimit; </w:t>
      </w:r>
      <w:r>
        <w:rPr>
          <w:rFonts w:ascii="Times New Roman" w:hAnsi="Times New Roman"/>
          <w:i/>
          <w:caps w:val="false"/>
          <w:smallCaps w:val="false"/>
          <w:sz w:val="20"/>
        </w:rPr>
        <w:t xml:space="preserve">provided </w:t>
      </w:r>
      <w:r>
        <w:rPr>
          <w:rFonts w:ascii="Times New Roman" w:hAnsi="Times New Roman"/>
          <w:caps w:val="false"/>
          <w:smallCaps w:val="false"/>
          <w:sz w:val="20"/>
        </w:rPr>
        <w:t>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(A) the Aggregate Revolving Commitments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60"/>
        <w:gridCol w:w="245"/>
        <w:gridCol w:w="10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Mandatory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The aggregate Term Commitments shall be automatically and permanently reduced to zero (0) on the date of the Borrowing of the Term Loan. The portion of Delayed Draw Term Loan Commitments of any Delayed Draw Term Loan Lender shall automatically and permanently terminate upon the funding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If after giving effect to any reduction or termination of Revolving Commitments under this </w:t>
      </w:r>
      <w:r>
        <w:rPr>
          <w:rFonts w:ascii="Times New Roman" w:hAnsi="Times New Roman"/>
          <w:b/>
          <w:i/>
          <w:caps w:val="false"/>
          <w:smallCaps w:val="false"/>
          <w:sz w:val="20"/>
        </w:rPr>
        <w:t>Section 2.06</w:t>
      </w:r>
      <w:r>
        <w:rPr>
          <w:rFonts w:ascii="Times New Roman" w:hAnsi="Times New Roman"/>
          <w:caps w:val="false"/>
          <w:smallCaps w:val="false"/>
          <w:sz w:val="20"/>
        </w:rPr>
        <w:t>, the Letter of Credit Sublimit or the Swingline Sublimit exceeds the Aggregate Revolving Commitments at such time, the Letter of Credit Sublimit or the Swingline Sublimit, as the case may be, shall be automatically reduced by the amount of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Application of Commitment Reductions; Payment of Fees</w:t>
      </w:r>
      <w:r>
        <w:rPr>
          <w:rFonts w:ascii="Times New Roman" w:hAnsi="Times New Roman"/>
          <w:caps w:val="false"/>
          <w:smallCaps w:val="false"/>
          <w:sz w:val="20"/>
        </w:rPr>
        <w:t xml:space="preserve">. The Administrative Agent will promptly notify the Lenders of any termination or reduction of the Letter of Credit Sublimit, Swingline Sublimit, the Aggregate Revolving Commitments or the Aggregate Delayed Draw Term Loan Commitments under this </w:t>
      </w:r>
      <w:r>
        <w:rPr>
          <w:rFonts w:ascii="Times New Roman" w:hAnsi="Times New Roman"/>
          <w:b/>
          <w:i/>
          <w:caps w:val="false"/>
          <w:smallCaps w:val="false"/>
          <w:sz w:val="20"/>
        </w:rPr>
        <w:t>Section 2.06</w:t>
      </w:r>
      <w:r>
        <w:rPr>
          <w:rFonts w:ascii="Times New Roman" w:hAnsi="Times New Roman"/>
          <w:caps w:val="false"/>
          <w:smallCaps w:val="false"/>
          <w:sz w:val="20"/>
        </w:rPr>
        <w:t>. Upon any reduction of the Aggregate Revolving Commitments, the Revolving Commitment of each Revolving Lender shall be reduced by such Lender’s Applicable Percentage of such reduction. All fees in respect of the Revolving Facility accrued until the effective date of any termination of the Aggregate Revolving Commitments shall be paid on the effective date of such termination. Upon any reduction of the Aggregate Delayed Draw Term Loan Commitments, the Delayed Draw Term Loan Commitment of each Delayed Draw Term Loan Lender shall be reduced by such Lender’s Applicable Percentage of such reduction. All fees in respect of the Delayed Draw Term Loan Facility accrued until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effective date of any termination of the Aggregate Delayed Draw Term Loan Commitments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380"/>
        <w:gridCol w:w="18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2.07</w:t>
            </w:r>
          </w:p>
        </w:tc>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Repayment of Loans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Term Loans</w:t>
      </w:r>
      <w:r>
        <w:rPr>
          <w:rFonts w:ascii="Times New Roman" w:hAnsi="Times New Roman"/>
          <w:caps w:val="false"/>
          <w:smallCaps w:val="false"/>
          <w:sz w:val="20"/>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 w:hAnsi="Times New Roman"/>
          <w:b/>
          <w:i/>
          <w:caps w:val="false"/>
          <w:smallCaps w:val="false"/>
          <w:sz w:val="20"/>
        </w:rPr>
        <w:t xml:space="preserve">Section 2.05 </w:t>
      </w:r>
      <w:r>
        <w:rPr>
          <w:rFonts w:ascii="Times New Roman" w:hAnsi="Times New Roman"/>
          <w:caps w:val="false"/>
          <w:smallCaps w:val="false"/>
          <w:sz w:val="20"/>
        </w:rPr>
        <w:t xml:space="preserve">and increased with respect to any increase to such Term Loan pursuant to </w:t>
      </w:r>
      <w:r>
        <w:rPr>
          <w:rFonts w:ascii="Times New Roman" w:hAnsi="Times New Roman"/>
          <w:b/>
          <w:i/>
          <w:caps w:val="false"/>
          <w:smallCaps w:val="false"/>
          <w:sz w:val="20"/>
        </w:rPr>
        <w:t xml:space="preserve">Section 2.01(b) </w:t>
      </w:r>
      <w:r>
        <w:rPr>
          <w:rFonts w:ascii="Times New Roman" w:hAnsi="Times New Roman"/>
          <w:caps w:val="false"/>
          <w:smallCaps w:val="false"/>
          <w:sz w:val="20"/>
        </w:rPr>
        <w:t xml:space="preserve">and </w:t>
      </w:r>
      <w:r>
        <w:rPr>
          <w:rFonts w:ascii="Times New Roman" w:hAnsi="Times New Roman"/>
          <w:b/>
          <w:i/>
          <w:caps w:val="false"/>
          <w:smallCaps w:val="false"/>
          <w:sz w:val="20"/>
        </w:rPr>
        <w:t>Section 2.15</w:t>
      </w:r>
      <w:r>
        <w:rPr>
          <w:rFonts w:ascii="Times New Roman" w:hAnsi="Times New Roman"/>
          <w:caps w:val="false"/>
          <w:smallCaps w:val="false"/>
          <w:sz w:val="20"/>
        </w:rPr>
        <w:t xml:space="preserve">), unless accelerated sooner pursuant to </w:t>
      </w:r>
      <w:r>
        <w:rPr>
          <w:rFonts w:ascii="Times New Roman" w:hAnsi="Times New Roman"/>
          <w:b/>
          <w:i/>
          <w:caps w:val="false"/>
          <w:smallCaps w:val="false"/>
          <w:sz w:val="20"/>
        </w:rPr>
        <w:t>Section 8.02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28" w:type="dxa"/>
          <w:right w:w="0" w:type="dxa"/>
        </w:tblCellMar>
      </w:tblPr>
      <w:tblGrid>
        <w:gridCol w:w="1640"/>
        <w:gridCol w:w="2900"/>
      </w:tblGrid>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Payment Dates</w:t>
            </w:r>
          </w:p>
        </w:tc>
        <w:tc>
          <w:tcPr>
            <w:tcW w:w="2900" w:type="dxa"/>
            <w:tcBorders>
              <w:bottom w:val="single" w:sz="2" w:space="0" w:color="000000"/>
            </w:tcBorders>
            <w:vAlign w:val="center"/>
          </w:tcPr>
          <w:p>
            <w:pPr>
              <w:pStyle w:val="TableContents"/>
              <w:bidi w:val="0"/>
              <w:spacing w:before="0" w:after="0"/>
              <w:ind w:left="900" w:right="0" w:hanging="400"/>
              <w:jc w:val="left"/>
              <w:rPr>
                <w:rFonts w:ascii="Times New Roman" w:hAnsi="Times New Roman"/>
                <w:b/>
                <w:caps w:val="false"/>
                <w:smallCaps w:val="false"/>
                <w:sz w:val="20"/>
              </w:rPr>
            </w:pPr>
            <w:r>
              <w:rPr>
                <w:rFonts w:ascii="Times New Roman" w:hAnsi="Times New Roman"/>
                <w:b/>
                <w:caps w:val="false"/>
                <w:smallCaps w:val="false"/>
                <w:sz w:val="20"/>
              </w:rPr>
              <w:t>Principal Repayment Installments</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2023</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2023</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March 31, 2024</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June 30, 2024</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$875,000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2024</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2024</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March 31, 2025</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June 30, 2025</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2025</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March 31, 2026</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$1,312,500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2026</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March 31, 2027</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June 30, 2027</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2027</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2027</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March 31, 2028</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$1,500,000</w:t>
            </w:r>
          </w:p>
        </w:tc>
      </w:tr>
      <w:tr>
        <w:trPr/>
        <w:tc>
          <w:tcPr>
            <w:tcW w:w="164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Maturity Date</w:t>
            </w:r>
          </w:p>
        </w:tc>
        <w:tc>
          <w:tcPr>
            <w:tcW w:w="29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Remaining Principal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provided however </w:t>
      </w:r>
      <w:r>
        <w:rPr>
          <w:rFonts w:ascii="Times New Roman" w:hAnsi="Times New Roman"/>
          <w:caps w:val="false"/>
          <w:smallCaps w:val="false"/>
          <w:sz w:val="20"/>
        </w:rPr>
        <w:t xml:space="preserve">that the amount of any such payment on the installment dates set forth in the table above shall be automatically adjusted to account for the making of any Delayed Draw Term Loans as follows: from and after the making of any Delayed Draw Term Loan, the Borrower shall make payments on the Term Loans (as increased by such Delayed Draw Term Loans) resulting in quarterly scheduled amortization payments that represent the same percentage as the amortization, expressed as a percentage, that is applicable to the Term Loans (without giving effect to the impact of any mandatory or voluntary prepayments on such scheduled amortization) immediately prior to such Borrowing of Delayed Draw Term Loans (it being understood that, for the avoidance of doubt, no such making of any Delayed Draw Term Loans shall result in a decrease in the amortization applicable to any Term Loans outstanding immediately prior to such Borrowing of Delayed Draw Term Loans), it being understood and agreed that the automatic increase to the installments described in this </w:t>
      </w:r>
      <w:r>
        <w:rPr>
          <w:rFonts w:ascii="Times New Roman" w:hAnsi="Times New Roman"/>
          <w:i/>
          <w:caps w:val="false"/>
          <w:smallCaps w:val="false"/>
          <w:sz w:val="20"/>
        </w:rPr>
        <w:t xml:space="preserve">proviso </w:t>
      </w:r>
      <w:r>
        <w:rPr>
          <w:rFonts w:ascii="Times New Roman" w:hAnsi="Times New Roman"/>
          <w:caps w:val="false"/>
          <w:smallCaps w:val="false"/>
          <w:sz w:val="20"/>
        </w:rPr>
        <w:t>shall not occur until the installment date representing the last day of the first full Fiscal Quarter after the Borrowing of such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i/>
          <w:caps w:val="false"/>
          <w:smallCaps w:val="false"/>
          <w:sz w:val="20"/>
        </w:rPr>
        <w:t>provided further</w:t>
      </w:r>
      <w:r>
        <w:rPr>
          <w:rFonts w:ascii="Times New Roman" w:hAnsi="Times New Roman"/>
          <w:caps w:val="false"/>
          <w:smallCaps w:val="false"/>
          <w:sz w:val="20"/>
        </w:rPr>
        <w:t>, that (i) the final principal repayment installment of the Term Loans shall be repaid on the Maturity Date and in any event shall be in an amount equal to the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of all Term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i/>
          <w:caps w:val="false"/>
          <w:smallCaps w:val="false"/>
          <w:sz w:val="20"/>
        </w:rPr>
        <w:t>provided further</w:t>
      </w:r>
      <w:r>
        <w:rPr>
          <w:rFonts w:ascii="Times New Roman" w:hAnsi="Times New Roman"/>
          <w:caps w:val="false"/>
          <w:smallCaps w:val="false"/>
          <w:sz w:val="20"/>
        </w:rPr>
        <w:t>, that, notwithstanding anything to the contrary contained herein, the parties acknowledge and agree that on June 30, 2026, the Borrower made a payment of $375,000 on account of the scheduled principal repayment installment due on such date, and the portion of such payment in excess of the scheduled principal repayment installment was applied to reduce the outstanding principal amount of the Term Loans in inverse order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i/>
          <w:caps w:val="false"/>
          <w:smallCaps w:val="false"/>
          <w:sz w:val="20"/>
        </w:rPr>
        <w:t>provided further</w:t>
      </w:r>
      <w:r>
        <w:rPr>
          <w:rFonts w:ascii="Times New Roman" w:hAnsi="Times New Roman"/>
          <w:caps w:val="false"/>
          <w:smallCaps w:val="false"/>
          <w:sz w:val="20"/>
        </w:rPr>
        <w:t>, that, notwithstanding anything to the contrary contained herein, commencing on the Sixth Amendment Effective Date, each installment payment set forth in the table above shall be allocated as follows: (a) $1,250,000 to the Term Loan and $250,000 to the Delayed Draw Term Loan until the Delayed Draw Term Loan has been repaid in full, and (b) thereafter, $1,500,000 to the Term Loan, in each case continuing through and including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Revolving Loans</w:t>
      </w:r>
      <w:r>
        <w:rPr>
          <w:rFonts w:ascii="Times New Roman" w:hAnsi="Times New Roman"/>
          <w:caps w:val="false"/>
          <w:smallCaps w:val="false"/>
          <w:sz w:val="20"/>
        </w:rPr>
        <w:t>. The Borrower shall repay to the Revolving Lenders on the Maturity Date the aggregate principal amount of all Revolving Loans outstanding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Swingline Loans</w:t>
      </w:r>
      <w:r>
        <w:rPr>
          <w:rFonts w:ascii="Times New Roman" w:hAnsi="Times New Roman"/>
          <w:caps w:val="false"/>
          <w:smallCaps w:val="false"/>
          <w:sz w:val="20"/>
        </w:rPr>
        <w:t>. The Borrower shall repay each Swingline Loan on the earlier to occur of (i) the date ten (10) Business Days after such Loan is made and (ii) the Maturity Date.</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380"/>
        <w:gridCol w:w="21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2.08</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Interest and Default Rate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Interest</w:t>
      </w:r>
      <w:r>
        <w:rPr>
          <w:rFonts w:ascii="Times New Roman" w:hAnsi="Times New Roman"/>
          <w:caps w:val="false"/>
          <w:smallCaps w:val="false"/>
          <w:sz w:val="20"/>
        </w:rPr>
        <w:t xml:space="preserve">. Subject to the provisions of </w:t>
      </w:r>
      <w:r>
        <w:rPr>
          <w:rFonts w:ascii="Times New Roman" w:hAnsi="Times New Roman"/>
          <w:b/>
          <w:i/>
          <w:caps w:val="false"/>
          <w:smallCaps w:val="false"/>
          <w:sz w:val="20"/>
        </w:rPr>
        <w:t>Section 2.08(b)</w:t>
      </w:r>
      <w:r>
        <w:rPr>
          <w:rFonts w:ascii="Times New Roman" w:hAnsi="Times New Roman"/>
          <w:caps w:val="false"/>
          <w:smallCaps w:val="false"/>
          <w:sz w:val="20"/>
        </w:rPr>
        <w:t xml:space="preserve">, (i) each Term SOFR Loan shall bear interest on the outstanding principal amount thereof for each Interest Period from the applicable borrowing date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Term SOFR for such Interest Period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the Applicable Rate; (ii) each Base Rate Loan (other than a Swingline Loan) shall bear interest on the outstanding principal amount thereof from the applicable borrowing date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Base Rate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the Applicable Rate; and (iii) each Swingline Loan shall bear interest on the outstanding principal amount thereof from the applicable borrowing date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Base Rate </w:t>
      </w:r>
      <w:r>
        <w:rPr>
          <w:rFonts w:ascii="Times New Roman" w:hAnsi="Times New Roman"/>
          <w:i/>
          <w:caps w:val="false"/>
          <w:smallCaps w:val="false"/>
          <w:sz w:val="20"/>
        </w:rPr>
        <w:t xml:space="preserve">plus </w:t>
      </w:r>
      <w:r>
        <w:rPr>
          <w:rFonts w:ascii="Times New Roman" w:hAnsi="Times New Roman"/>
          <w:caps w:val="false"/>
          <w:smallCaps w:val="false"/>
          <w:sz w:val="20"/>
        </w:rPr>
        <w:t>the Applicable Rate for the Revolving Facility. To the extent that any calculation of interest or any fee required to be paid under this Agreement shall be based on (or result in) a calculation that is less than zero (0), such calculation shall be deemed zero (0) for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0"/>
        <w:gridCol w:w="245"/>
        <w:gridCol w:w="11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 Rate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hAnsi="Times New Roman"/>
          <w:i/>
          <w:caps w:val="false"/>
          <w:smallCaps w:val="false"/>
          <w:sz w:val="20"/>
        </w:rPr>
        <w:t xml:space="preserve">per annum </w:t>
      </w:r>
      <w:r>
        <w:rPr>
          <w:rFonts w:ascii="Times New Roman" w:hAnsi="Times New Roman"/>
          <w:caps w:val="false"/>
          <w:smallCaps w:val="false"/>
          <w:sz w:val="20"/>
        </w:rPr>
        <w:t>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w:t>
      </w:r>
      <w:r>
        <w:rPr>
          <w:rFonts w:ascii="Times New Roman" w:hAnsi="Times New Roman"/>
          <w:i/>
          <w:caps w:val="false"/>
          <w:smallCaps w:val="false"/>
          <w:sz w:val="20"/>
        </w:rPr>
        <w:t xml:space="preserve">per annum </w:t>
      </w:r>
      <w:r>
        <w:rPr>
          <w:rFonts w:ascii="Times New Roman" w:hAnsi="Times New Roman"/>
          <w:caps w:val="false"/>
          <w:smallCaps w:val="false"/>
          <w:sz w:val="20"/>
        </w:rPr>
        <w:t>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Upon the request of the Required Lenders, while any Event of Default exists (including a payment default), all outstanding Obligations (including Letter of Credit Fees) shall accrue at a fluctuating interest rate </w:t>
      </w:r>
      <w:r>
        <w:rPr>
          <w:rFonts w:ascii="Times New Roman" w:hAnsi="Times New Roman"/>
          <w:i/>
          <w:caps w:val="false"/>
          <w:smallCaps w:val="false"/>
          <w:sz w:val="20"/>
        </w:rPr>
        <w:t xml:space="preserve">per annum </w:t>
      </w:r>
      <w:r>
        <w:rPr>
          <w:rFonts w:ascii="Times New Roman" w:hAnsi="Times New Roman"/>
          <w:caps w:val="false"/>
          <w:smallCaps w:val="false"/>
          <w:sz w:val="20"/>
        </w:rPr>
        <w:t>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Accrued and unpaid interest on past due amounts (including interest on past due interest) shall be due and payable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Interest Payments</w:t>
      </w:r>
      <w:r>
        <w:rPr>
          <w:rFonts w:ascii="Times New Roman" w:hAnsi="Times New Roman"/>
          <w:caps w:val="false"/>
          <w:smallCaps w:val="false"/>
          <w:sz w:val="20"/>
        </w:rPr>
        <w:t>. Interest on each Loan shall be due and payable in arrears on each Interest Payment Date applicable thereto, on each date of payment of principal in respect of the Loans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60"/>
        <w:gridCol w:w="380"/>
        <w:gridCol w:w="64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2.09</w:t>
            </w:r>
          </w:p>
        </w:tc>
        <w:tc>
          <w:tcPr>
            <w:tcW w:w="6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Fees</w:t>
            </w:r>
            <w:r>
              <w:rPr>
                <w:rFonts w:ascii="Times New Roman" w:hAnsi="Times New Roman"/>
                <w:caps w:val="false"/>
                <w:smallCaps w:val="false"/>
                <w:sz w:val="20"/>
              </w:rPr>
              <w:t xml:space="preserve">. In addition to certain fees described in </w:t>
            </w:r>
            <w:r>
              <w:rPr>
                <w:rFonts w:ascii="Times New Roman" w:hAnsi="Times New Roman"/>
                <w:b/>
                <w:i/>
                <w:caps w:val="false"/>
                <w:smallCaps w:val="false"/>
                <w:sz w:val="20"/>
              </w:rPr>
              <w:t xml:space="preserve">clauses (l)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(m) </w:t>
            </w:r>
            <w:r>
              <w:rPr>
                <w:rFonts w:ascii="Times New Roman" w:hAnsi="Times New Roman"/>
                <w:caps w:val="false"/>
                <w:smallCaps w:val="false"/>
                <w:sz w:val="20"/>
              </w:rPr>
              <w:t xml:space="preserve">of </w:t>
            </w:r>
            <w:r>
              <w:rPr>
                <w:rFonts w:ascii="Times New Roman" w:hAnsi="Times New Roman"/>
                <w:b/>
                <w:i/>
                <w:caps w:val="false"/>
                <w:smallCaps w:val="false"/>
                <w:sz w:val="20"/>
              </w:rPr>
              <w:t>Section 2.03</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Commitment Fee</w:t>
      </w:r>
      <w:r>
        <w:rPr>
          <w:rFonts w:ascii="Times New Roman" w:hAnsi="Times New Roman"/>
          <w:caps w:val="false"/>
          <w:smallCaps w:val="false"/>
          <w:sz w:val="20"/>
        </w:rPr>
        <w:t xml:space="preserve">. The Borrower shall pay to the Administrative Agent for the account of each Revolving Lender in accordance with its Applicable Percentage, a commitment fee equal to the Applicable Rate times the actual daily amount by which the Aggregate Revolving Commitments exceeds the sum of (i) the Outstanding Amount of Revolving Loans and (ii) the Outstanding Amount of L/C Obligations, subject to adjustment as provided in </w:t>
      </w:r>
      <w:r>
        <w:rPr>
          <w:rFonts w:ascii="Times New Roman" w:hAnsi="Times New Roman"/>
          <w:b/>
          <w:i/>
          <w:caps w:val="false"/>
          <w:smallCaps w:val="false"/>
          <w:sz w:val="20"/>
        </w:rPr>
        <w:t xml:space="preserve">Section 2.15 </w:t>
      </w:r>
      <w:r>
        <w:rPr>
          <w:rFonts w:ascii="Times New Roman" w:hAnsi="Times New Roman"/>
          <w:caps w:val="false"/>
          <w:smallCaps w:val="false"/>
          <w:sz w:val="20"/>
        </w:rPr>
        <w:t>(the “</w:t>
      </w:r>
      <w:r>
        <w:rPr>
          <w:rFonts w:ascii="Times New Roman" w:hAnsi="Times New Roman"/>
          <w:b/>
          <w:i/>
          <w:caps w:val="false"/>
          <w:smallCaps w:val="false"/>
          <w:sz w:val="20"/>
        </w:rPr>
        <w:t>Commitment Fee</w:t>
      </w:r>
      <w:r>
        <w:rPr>
          <w:rFonts w:ascii="Times New Roman" w:hAnsi="Times New Roman"/>
          <w:caps w:val="false"/>
          <w:smallCaps w:val="false"/>
          <w:sz w:val="20"/>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(1) or more of the conditions in </w:t>
      </w:r>
      <w:r>
        <w:rPr>
          <w:rFonts w:ascii="Times New Roman" w:hAnsi="Times New Roman"/>
          <w:b/>
          <w:i/>
          <w:caps w:val="false"/>
          <w:smallCaps w:val="false"/>
          <w:sz w:val="20"/>
        </w:rPr>
        <w:t xml:space="preserve">Article IV </w:t>
      </w:r>
      <w:r>
        <w:rPr>
          <w:rFonts w:ascii="Times New Roman" w:hAnsi="Times New Roman"/>
          <w:caps w:val="false"/>
          <w:smallCaps w:val="false"/>
          <w:sz w:val="20"/>
        </w:rPr>
        <w:t>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Ticking Fee</w:t>
      </w:r>
      <w:r>
        <w:rPr>
          <w:rFonts w:ascii="Times New Roman" w:hAnsi="Times New Roman"/>
          <w:caps w:val="false"/>
          <w:smallCaps w:val="false"/>
          <w:sz w:val="20"/>
        </w:rPr>
        <w:t>. The Borrower shall pay to the Administrative Agent for the account of each Delayed Draw Term Loan Lender in accordance with its Applicable Percentage, a ticking fee equal to the Applicable Rate times the actual daily amount by which the Aggregate Delayed Draw Term Loan Commitments exceeds the Outstanding Amount of Delayed Draw Term Loans (the “</w:t>
      </w:r>
      <w:r>
        <w:rPr>
          <w:rFonts w:ascii="Times New Roman" w:hAnsi="Times New Roman"/>
          <w:b/>
          <w:i/>
          <w:caps w:val="false"/>
          <w:smallCaps w:val="false"/>
          <w:sz w:val="20"/>
        </w:rPr>
        <w:t>Ticking Fee</w:t>
      </w:r>
      <w:r>
        <w:rPr>
          <w:rFonts w:ascii="Times New Roman" w:hAnsi="Times New Roman"/>
          <w:caps w:val="false"/>
          <w:smallCaps w:val="false"/>
          <w:sz w:val="20"/>
        </w:rPr>
        <w:t xml:space="preserve">”). The Ticking Fee shall accrue at all times during the Delayed Draw Term Loan Availability Period, including at any time during which one (1) or more of the conditions in </w:t>
      </w:r>
      <w:r>
        <w:rPr>
          <w:rFonts w:ascii="Times New Roman" w:hAnsi="Times New Roman"/>
          <w:b/>
          <w:i/>
          <w:caps w:val="false"/>
          <w:smallCaps w:val="false"/>
          <w:sz w:val="20"/>
        </w:rPr>
        <w:t xml:space="preserve">Article IV </w:t>
      </w:r>
      <w:r>
        <w:rPr>
          <w:rFonts w:ascii="Times New Roman" w:hAnsi="Times New Roman"/>
          <w:caps w:val="false"/>
          <w:smallCaps w:val="false"/>
          <w:sz w:val="20"/>
        </w:rPr>
        <w:t>is not met, and shall be due and payable quarterly in arrears on the last Business Day of each March, June, September and December, commencing with the first such date to occur after the Closing Date, and on the last day of the Delayed Draw Term Loan Availability Period. The Ticking Fee shall be calculated quarterly in arrears, and if there is any change in the Applicable Rate during any quarter, the actual daily amount shall be computed and multiplied by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Applicable Rate separately for each period during such quarter that such Applicable Rate was in effect.</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230"/>
        <w:gridCol w:w="9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Other Fees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The Borrower shall pay to the Administrative Agent and the Arranger for its own account fees in the amounts and at the times specified in the Fee Letter.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The Borrower shall pay to the Lenders such fees as shall have been separately agreed upon in writing in the amounts and at the times so specified.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380"/>
        <w:gridCol w:w="66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2.10</w:t>
            </w:r>
          </w:p>
        </w:tc>
        <w:tc>
          <w:tcPr>
            <w:tcW w:w="6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Computation of Interest and Fees; Retroactive Adjustments of Applicable Rate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Computation of Interest and Fees</w:t>
      </w:r>
      <w:r>
        <w:rPr>
          <w:rFonts w:ascii="Times New Roman" w:hAnsi="Times New Roman"/>
          <w:caps w:val="false"/>
          <w:smallCaps w:val="false"/>
          <w:sz w:val="20"/>
        </w:rPr>
        <w:t xml:space="preserve">. All computations of interest for Base Rate Loans (including Base Rate Loans determined by reference to Term SOFR) shall be made on the basis of a year of three hundred sixty-five (365) or three hundred sixty-six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three hundred sixty-five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hAnsi="Times New Roman"/>
          <w:b/>
          <w:i/>
          <w:caps w:val="false"/>
          <w:smallCaps w:val="false"/>
          <w:sz w:val="20"/>
        </w:rPr>
        <w:t>Section 2.12(a)</w:t>
      </w:r>
      <w:r>
        <w:rPr>
          <w:rFonts w:ascii="Times New Roman" w:hAnsi="Times New Roman"/>
          <w:caps w:val="false"/>
          <w:smallCaps w:val="false"/>
          <w:sz w:val="20"/>
        </w:rPr>
        <w:t>, bear interest for one (1) day. Each determination by the Administrative Agent of an interest rate or fee hereunder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Financial Statement Adjustments or Restatements</w:t>
      </w:r>
      <w:r>
        <w:rPr>
          <w:rFonts w:ascii="Times New Roman" w:hAnsi="Times New Roman"/>
          <w:caps w:val="false"/>
          <w:smallCaps w:val="false"/>
          <w:sz w:val="20"/>
        </w:rPr>
        <w:t xml:space="preserve">. 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shall not limit the rights of the Administrative Agent, any Lender or the L/C Issuer, as the case may be, under any provision of this Agreement to payment of any Obligations hereunder at the Default Rate or under </w:t>
      </w:r>
      <w:r>
        <w:rPr>
          <w:rFonts w:ascii="Times New Roman" w:hAnsi="Times New Roman"/>
          <w:b/>
          <w:i/>
          <w:caps w:val="false"/>
          <w:smallCaps w:val="false"/>
          <w:sz w:val="20"/>
        </w:rPr>
        <w:t>Article VIII</w:t>
      </w:r>
      <w:r>
        <w:rPr>
          <w:rFonts w:ascii="Times New Roman" w:hAnsi="Times New Roman"/>
          <w:caps w:val="false"/>
          <w:smallCaps w:val="false"/>
          <w:sz w:val="20"/>
        </w:rPr>
        <w:t xml:space="preserve">. The Borrower’s obligations under this </w:t>
      </w:r>
      <w:r>
        <w:rPr>
          <w:rFonts w:ascii="Times New Roman" w:hAnsi="Times New Roman"/>
          <w:b/>
          <w:i/>
          <w:caps w:val="false"/>
          <w:smallCaps w:val="false"/>
          <w:sz w:val="20"/>
        </w:rPr>
        <w:t xml:space="preserve">clause (b) </w:t>
      </w:r>
      <w:r>
        <w:rPr>
          <w:rFonts w:ascii="Times New Roman" w:hAnsi="Times New Roman"/>
          <w:caps w:val="false"/>
          <w:smallCaps w:val="false"/>
          <w:sz w:val="20"/>
        </w:rPr>
        <w:t>shall survive the termination of all Commitments and the repayment of all other Obligations hereunder.</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60"/>
        <w:gridCol w:w="380"/>
        <w:gridCol w:w="14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2.11</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Evidence of Debt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Maintenance of Accounts</w:t>
      </w:r>
      <w:r>
        <w:rPr>
          <w:rFonts w:ascii="Times New Roman" w:hAnsi="Times New Roman"/>
          <w:caps w:val="false"/>
          <w:smallCaps w:val="false"/>
          <w:sz w:val="20"/>
        </w:rPr>
        <w:t xml:space="preserve">. The Credit Extensions made by each Lender shall be evidenced by one (1) or more accounts or records maintained by such Lender in the ordinary course of business. The Administrative Agent shall maintain the Register in accordance with </w:t>
      </w:r>
      <w:r>
        <w:rPr>
          <w:rFonts w:ascii="Times New Roman" w:hAnsi="Times New Roman"/>
          <w:b/>
          <w:i/>
          <w:caps w:val="false"/>
          <w:smallCaps w:val="false"/>
          <w:sz w:val="20"/>
        </w:rPr>
        <w:t>Section 11.06(c)</w:t>
      </w:r>
      <w:r>
        <w:rPr>
          <w:rFonts w:ascii="Times New Roman" w:hAnsi="Times New Roman"/>
          <w:caps w:val="false"/>
          <w:smallCaps w:val="false"/>
          <w:sz w:val="20"/>
        </w:rPr>
        <w:t>. The accounts or records maintained by each Lender shall be conclusive absent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in the form of </w:t>
      </w:r>
      <w:r>
        <w:rPr>
          <w:rFonts w:ascii="Times New Roman" w:hAnsi="Times New Roman"/>
          <w:b/>
          <w:i/>
          <w:caps w:val="false"/>
          <w:smallCaps w:val="false"/>
          <w:sz w:val="20"/>
        </w:rPr>
        <w:t xml:space="preserve">Exhibit 2.11(a) </w:t>
      </w:r>
      <w:r>
        <w:rPr>
          <w:rFonts w:ascii="Times New Roman" w:hAnsi="Times New Roman"/>
          <w:caps w:val="false"/>
          <w:smallCaps w:val="false"/>
          <w:sz w:val="20"/>
        </w:rPr>
        <w:t>(a “</w:t>
      </w:r>
      <w:r>
        <w:rPr>
          <w:rFonts w:ascii="Times New Roman" w:hAnsi="Times New Roman"/>
          <w:b/>
          <w:i/>
          <w:caps w:val="false"/>
          <w:smallCaps w:val="false"/>
          <w:sz w:val="20"/>
        </w:rPr>
        <w:t>Note</w:t>
      </w:r>
      <w:r>
        <w:rPr>
          <w:rFonts w:ascii="Times New Roman" w:hAnsi="Times New Roman"/>
          <w:caps w:val="false"/>
          <w:smallCaps w:val="false"/>
          <w:sz w:val="20"/>
        </w:rPr>
        <w:t>”), which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Maintenance of Records</w:t>
      </w:r>
      <w:r>
        <w:rPr>
          <w:rFonts w:ascii="Times New Roman" w:hAnsi="Times New Roman"/>
          <w:caps w:val="false"/>
          <w:smallCaps w:val="false"/>
          <w:sz w:val="20"/>
        </w:rPr>
        <w:t xml:space="preserve">. In addition to the accounts and records referred to in </w:t>
      </w:r>
      <w:r>
        <w:rPr>
          <w:rFonts w:ascii="Times New Roman" w:hAnsi="Times New Roman"/>
          <w:b/>
          <w:i/>
          <w:caps w:val="false"/>
          <w:smallCaps w:val="false"/>
          <w:sz w:val="20"/>
        </w:rPr>
        <w:t>Section 2.11(a)</w:t>
      </w:r>
      <w:r>
        <w:rPr>
          <w:rFonts w:ascii="Times New Roman" w:hAnsi="Times New Roman"/>
          <w:caps w:val="false"/>
          <w:smallCaps w:val="false"/>
          <w:sz w:val="20"/>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380"/>
        <w:gridCol w:w="47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2.12</w:t>
            </w:r>
          </w:p>
        </w:tc>
        <w:tc>
          <w:tcPr>
            <w:tcW w:w="4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Generally; Administrative Agent</w:t>
            </w:r>
            <w:r>
              <w:rPr>
                <w:rFonts w:ascii="Times New Roman" w:hAnsi="Times New Roman"/>
                <w:caps w:val="false"/>
                <w:smallCaps w:val="false"/>
                <w:sz w:val="20"/>
              </w:rPr>
              <w:t>’</w:t>
            </w:r>
            <w:r>
              <w:rPr>
                <w:rFonts w:ascii="Times New Roman" w:hAnsi="Times New Roman"/>
                <w:b/>
                <w:caps w:val="false"/>
                <w:smallCaps w:val="false"/>
                <w:sz w:val="20"/>
              </w:rPr>
              <w:t>s Clawback</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General</w:t>
      </w:r>
      <w:r>
        <w:rPr>
          <w:rFonts w:ascii="Times New Roman" w:hAnsi="Times New Roman"/>
          <w:caps w:val="false"/>
          <w:smallCaps w:val="false"/>
          <w:sz w:val="20"/>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Times New Roman" w:hAnsi="Times New Roman"/>
          <w:b/>
          <w:i/>
          <w:caps w:val="false"/>
          <w:smallCaps w:val="false"/>
          <w:sz w:val="20"/>
        </w:rPr>
        <w:t xml:space="preserve">Section 2.07(a) </w:t>
      </w:r>
      <w:r>
        <w:rPr>
          <w:rFonts w:ascii="Times New Roman" w:hAnsi="Times New Roman"/>
          <w:caps w:val="false"/>
          <w:smallCaps w:val="false"/>
          <w:sz w:val="20"/>
        </w:rPr>
        <w:t>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Funding by Lenders; Presumption by Administrative Agent</w:t>
      </w:r>
      <w:r>
        <w:rPr>
          <w:rFonts w:ascii="Times New Roman" w:hAnsi="Times New Roman"/>
          <w:caps w:val="false"/>
          <w:smallCaps w:val="false"/>
          <w:sz w:val="20"/>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b/>
          <w:i/>
          <w:caps w:val="false"/>
          <w:smallCaps w:val="false"/>
          <w:sz w:val="20"/>
        </w:rPr>
        <w:t xml:space="preserve">Section 2.02 </w:t>
      </w:r>
      <w:r>
        <w:rPr>
          <w:rFonts w:ascii="Times New Roman" w:hAnsi="Times New Roman"/>
          <w:caps w:val="false"/>
          <w:smallCaps w:val="false"/>
          <w:sz w:val="20"/>
        </w:rPr>
        <w:t xml:space="preserve">(or, in the case of a Borrowing of Base Rate Loans, that such Lender has made such share available in accordance with and at the time required by </w:t>
      </w:r>
      <w:r>
        <w:rPr>
          <w:rFonts w:ascii="Times New Roman" w:hAnsi="Times New Roman"/>
          <w:b/>
          <w:i/>
          <w:caps w:val="false"/>
          <w:smallCaps w:val="false"/>
          <w:sz w:val="20"/>
        </w:rPr>
        <w:t>Section 2.02</w:t>
      </w:r>
      <w:r>
        <w:rPr>
          <w:rFonts w:ascii="Times New Roman" w:hAnsi="Times New Roman"/>
          <w:caps w:val="false"/>
          <w:smallCaps w:val="false"/>
          <w:sz w:val="20"/>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the Administrative Agent in accordance with banking industry rules on interbank compensation, </w:t>
      </w:r>
      <w:r>
        <w:rPr>
          <w:rFonts w:ascii="Times New Roman" w:hAnsi="Times New Roman"/>
          <w:i/>
          <w:caps w:val="false"/>
          <w:smallCaps w:val="false"/>
          <w:sz w:val="20"/>
        </w:rPr>
        <w:t xml:space="preserve">plus </w:t>
      </w:r>
      <w:r>
        <w:rPr>
          <w:rFonts w:ascii="Times New Roman" w:hAnsi="Times New Roman"/>
          <w:caps w:val="false"/>
          <w:smallCaps w:val="false"/>
          <w:sz w:val="20"/>
        </w:rPr>
        <w:t>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Payments by Borrower; Presumptions by Administrative Agent</w:t>
      </w:r>
      <w:r>
        <w:rPr>
          <w:rFonts w:ascii="Times New Roman" w:hAnsi="Times New Roman"/>
          <w:caps w:val="false"/>
          <w:smallCaps w:val="false"/>
          <w:sz w:val="20"/>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hAnsi="Times New Roman"/>
          <w:b/>
          <w:i/>
          <w:caps w:val="false"/>
          <w:smallCaps w:val="false"/>
          <w:sz w:val="20"/>
        </w:rPr>
        <w:t>Rescindable Amount</w:t>
      </w:r>
      <w:r>
        <w:rPr>
          <w:rFonts w:ascii="Times New Roman" w:hAnsi="Times New Roman"/>
          <w:caps w:val="false"/>
          <w:smallCaps w:val="false"/>
          <w:sz w:val="20"/>
        </w:rPr>
        <w:t>”) :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A notice of the Administrative Agent to any Lender or the Borrower with respect to any amount owing under this </w:t>
      </w:r>
      <w:r>
        <w:rPr>
          <w:rFonts w:ascii="Times New Roman" w:hAnsi="Times New Roman"/>
          <w:b/>
          <w:i/>
          <w:caps w:val="false"/>
          <w:smallCaps w:val="false"/>
          <w:sz w:val="20"/>
        </w:rPr>
        <w:t xml:space="preserve">clause (b) </w:t>
      </w:r>
      <w:r>
        <w:rPr>
          <w:rFonts w:ascii="Times New Roman" w:hAnsi="Times New Roman"/>
          <w:caps w:val="false"/>
          <w:smallCaps w:val="false"/>
          <w:sz w:val="20"/>
        </w:rPr>
        <w:t>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Failure to Satisfy Conditions Precedent</w:t>
      </w:r>
      <w:r>
        <w:rPr>
          <w:rFonts w:ascii="Times New Roman" w:hAnsi="Times New Roman"/>
          <w:caps w:val="false"/>
          <w:smallCaps w:val="false"/>
          <w:sz w:val="20"/>
        </w:rPr>
        <w:t xml:space="preserve">. If any Lender makes available to the Administrative Agent funds for any Loan to be made by such Lender as provided in the foregoing provisions of this </w:t>
      </w:r>
      <w:r>
        <w:rPr>
          <w:rFonts w:ascii="Times New Roman" w:hAnsi="Times New Roman"/>
          <w:b/>
          <w:i/>
          <w:caps w:val="false"/>
          <w:smallCaps w:val="false"/>
          <w:sz w:val="20"/>
        </w:rPr>
        <w:t>Article II</w:t>
      </w:r>
      <w:r>
        <w:rPr>
          <w:rFonts w:ascii="Times New Roman" w:hAnsi="Times New Roman"/>
          <w:caps w:val="false"/>
          <w:smallCaps w:val="false"/>
          <w:sz w:val="20"/>
        </w:rPr>
        <w:t xml:space="preserve">, and such funds are not made available to the Borrower by the Administrative Agent because the conditions to the applicable Credit Extension set forth in </w:t>
      </w:r>
      <w:r>
        <w:rPr>
          <w:rFonts w:ascii="Times New Roman" w:hAnsi="Times New Roman"/>
          <w:b/>
          <w:i/>
          <w:caps w:val="false"/>
          <w:smallCaps w:val="false"/>
          <w:sz w:val="20"/>
        </w:rPr>
        <w:t xml:space="preserve">Article IV </w:t>
      </w:r>
      <w:r>
        <w:rPr>
          <w:rFonts w:ascii="Times New Roman" w:hAnsi="Times New Roman"/>
          <w:caps w:val="false"/>
          <w:smallCaps w:val="false"/>
          <w:sz w:val="20"/>
        </w:rPr>
        <w:t>are not satisfied or waived in accordance with the terms hereof, the Administrative Agent shall return such funds (in like funds as received from such Lender) to such Lender,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Obligations of Lenders Several</w:t>
      </w:r>
      <w:r>
        <w:rPr>
          <w:rFonts w:ascii="Times New Roman" w:hAnsi="Times New Roman"/>
          <w:caps w:val="false"/>
          <w:smallCaps w:val="false"/>
          <w:sz w:val="20"/>
        </w:rPr>
        <w:t xml:space="preserve">. The obligations of the Lenders hereunder to make Loans, to fund participations in Letters of Credit and Swingline Loans and to make payments pursuant to </w:t>
      </w:r>
      <w:r>
        <w:rPr>
          <w:rFonts w:ascii="Times New Roman" w:hAnsi="Times New Roman"/>
          <w:b/>
          <w:i/>
          <w:caps w:val="false"/>
          <w:smallCaps w:val="false"/>
          <w:sz w:val="20"/>
        </w:rPr>
        <w:t xml:space="preserve">Section 11.04(c) </w:t>
      </w:r>
      <w:r>
        <w:rPr>
          <w:rFonts w:ascii="Times New Roman" w:hAnsi="Times New Roman"/>
          <w:caps w:val="false"/>
          <w:smallCaps w:val="false"/>
          <w:sz w:val="20"/>
        </w:rPr>
        <w:t xml:space="preserve">are several and not joint. The failure of any Lender to make any Loan, to fund any such participation or to make any payment under </w:t>
      </w:r>
      <w:r>
        <w:rPr>
          <w:rFonts w:ascii="Times New Roman" w:hAnsi="Times New Roman"/>
          <w:b/>
          <w:i/>
          <w:caps w:val="false"/>
          <w:smallCaps w:val="false"/>
          <w:sz w:val="20"/>
        </w:rPr>
        <w:t xml:space="preserve">Section 11.04(c) </w:t>
      </w:r>
      <w:r>
        <w:rPr>
          <w:rFonts w:ascii="Times New Roman" w:hAnsi="Times New Roman"/>
          <w:caps w:val="false"/>
          <w:smallCaps w:val="false"/>
          <w:sz w:val="20"/>
        </w:rPr>
        <w:t>on any date required hereunder shall not relieve any other Lender of its corresponding obligation to do so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and no Lender shall be responsible for the failure of any other Lender to so make its Loan, to purchase its participation or to make its payment under </w:t>
      </w:r>
      <w:r>
        <w:rPr>
          <w:rFonts w:ascii="Times New Roman" w:hAnsi="Times New Roman"/>
          <w:b/>
          <w:i/>
          <w:caps w:val="false"/>
          <w:smallCaps w:val="false"/>
          <w:sz w:val="20"/>
        </w:rPr>
        <w:t>Section 11.04(c)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Funding Source</w:t>
      </w:r>
      <w:r>
        <w:rPr>
          <w:rFonts w:ascii="Times New Roman" w:hAnsi="Times New Roman"/>
          <w:caps w:val="false"/>
          <w:smallCaps w:val="false"/>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2.13    </w:t>
      </w:r>
      <w:r>
        <w:rPr>
          <w:rFonts w:ascii="Times New Roman" w:hAnsi="Times New Roman"/>
          <w:b/>
          <w:caps w:val="false"/>
          <w:smallCaps w:val="false"/>
          <w:sz w:val="20"/>
        </w:rPr>
        <w:t>Sharing of Payments by Lenders</w:t>
      </w:r>
      <w:r>
        <w:rPr>
          <w:rFonts w:ascii="Times New Roman" w:hAnsi="Times New Roman"/>
          <w:caps w:val="false"/>
          <w:smallCaps w:val="false"/>
          <w:sz w:val="20"/>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above, the Lender receiving such greater proportion shall (A) notify the Administrative Agent of such fact, and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260"/>
        <w:gridCol w:w="555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55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provisions of this </w:t>
            </w:r>
            <w:r>
              <w:rPr>
                <w:rFonts w:ascii="Times New Roman" w:hAnsi="Times New Roman"/>
                <w:b/>
                <w:i/>
                <w:caps w:val="false"/>
                <w:smallCaps w:val="false"/>
                <w:sz w:val="20"/>
              </w:rPr>
              <w:t xml:space="preserve">Section 2.13 </w:t>
            </w:r>
            <w:r>
              <w:rPr>
                <w:rFonts w:ascii="Times New Roman" w:hAnsi="Times New Roman"/>
                <w:caps w:val="false"/>
                <w:smallCaps w:val="false"/>
                <w:sz w:val="20"/>
              </w:rPr>
              <w:t>shall not be construed to apply to</w:t>
            </w:r>
          </w:p>
        </w:tc>
      </w:tr>
    </w:tbl>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Times New Roman" w:hAnsi="Times New Roman"/>
          <w:b/>
          <w:i/>
          <w:caps w:val="false"/>
          <w:smallCaps w:val="false"/>
          <w:sz w:val="20"/>
        </w:rPr>
        <w:t>Section 2.14</w:t>
      </w:r>
      <w:r>
        <w:rPr>
          <w:rFonts w:ascii="Times New Roman" w:hAnsi="Times New Roman"/>
          <w:caps w:val="false"/>
          <w:smallCaps w:val="false"/>
          <w:sz w:val="20"/>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hAnsi="Times New Roman"/>
          <w:b/>
          <w:i/>
          <w:caps w:val="false"/>
          <w:smallCaps w:val="false"/>
          <w:sz w:val="20"/>
        </w:rPr>
        <w:t xml:space="preserve">Section 2.13 </w:t>
      </w:r>
      <w:r>
        <w:rPr>
          <w:rFonts w:ascii="Times New Roman" w:hAnsi="Times New Roman"/>
          <w:caps w:val="false"/>
          <w:smallCaps w:val="false"/>
          <w:sz w:val="20"/>
        </w:rPr>
        <w:t>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if any Lender (each, an “</w:t>
      </w:r>
      <w:r>
        <w:rPr>
          <w:rFonts w:ascii="Times New Roman" w:hAnsi="Times New Roman"/>
          <w:b/>
          <w:i/>
          <w:caps w:val="false"/>
          <w:smallCaps w:val="false"/>
          <w:sz w:val="20"/>
        </w:rPr>
        <w:t>Impacted Lender</w:t>
      </w:r>
      <w:r>
        <w:rPr>
          <w:rFonts w:ascii="Times New Roman" w:hAnsi="Times New Roman"/>
          <w:caps w:val="false"/>
          <w:smallCaps w:val="false"/>
          <w:sz w:val="20"/>
        </w:rPr>
        <w:t xml:space="preserve">”) determines (in its sole and absolute discretion) that the application of the foregoing provisions of this </w:t>
      </w:r>
      <w:r>
        <w:rPr>
          <w:rFonts w:ascii="Times New Roman" w:hAnsi="Times New Roman"/>
          <w:b/>
          <w:i/>
          <w:caps w:val="false"/>
          <w:smallCaps w:val="false"/>
          <w:sz w:val="20"/>
        </w:rPr>
        <w:t xml:space="preserve">Section 2.13 </w:t>
      </w:r>
      <w:r>
        <w:rPr>
          <w:rFonts w:ascii="Times New Roman" w:hAnsi="Times New Roman"/>
          <w:caps w:val="false"/>
          <w:smallCaps w:val="false"/>
          <w:sz w:val="20"/>
        </w:rPr>
        <w:t xml:space="preserve">in respect of any payment received by another Lender would cause such Impacted Lender to violate, or would result in such Impacted Lender (including in its capacities as a potential Cash Management Bank and a potential Hedge Bank) to be in violation of, any federal or state Laws regarding the restricted activities set forth in </w:t>
      </w:r>
      <w:r>
        <w:rPr>
          <w:rFonts w:ascii="Times New Roman" w:hAnsi="Times New Roman"/>
          <w:b/>
          <w:i/>
          <w:caps w:val="false"/>
          <w:smallCaps w:val="false"/>
          <w:sz w:val="20"/>
        </w:rPr>
        <w:t xml:space="preserve">Section 7.05 </w:t>
      </w:r>
      <w:r>
        <w:rPr>
          <w:rFonts w:ascii="Times New Roman" w:hAnsi="Times New Roman"/>
          <w:caps w:val="false"/>
          <w:smallCaps w:val="false"/>
          <w:sz w:val="20"/>
        </w:rPr>
        <w:t>(each, an “</w:t>
      </w:r>
      <w:r>
        <w:rPr>
          <w:rFonts w:ascii="Times New Roman" w:hAnsi="Times New Roman"/>
          <w:b/>
          <w:i/>
          <w:caps w:val="false"/>
          <w:smallCaps w:val="false"/>
          <w:sz w:val="20"/>
        </w:rPr>
        <w:t>Impacted Payment</w:t>
      </w:r>
      <w:r>
        <w:rPr>
          <w:rFonts w:ascii="Times New Roman" w:hAnsi="Times New Roman"/>
          <w:caps w:val="false"/>
          <w:smallCaps w:val="false"/>
          <w:sz w:val="20"/>
        </w:rPr>
        <w:t xml:space="preserve">”), then the foregoing provisions of this </w:t>
      </w:r>
      <w:r>
        <w:rPr>
          <w:rFonts w:ascii="Times New Roman" w:hAnsi="Times New Roman"/>
          <w:b/>
          <w:i/>
          <w:caps w:val="false"/>
          <w:smallCaps w:val="false"/>
          <w:sz w:val="20"/>
        </w:rPr>
        <w:t xml:space="preserve">Section 2.13 </w:t>
      </w:r>
      <w:r>
        <w:rPr>
          <w:rFonts w:ascii="Times New Roman" w:hAnsi="Times New Roman"/>
          <w:caps w:val="false"/>
          <w:smallCaps w:val="false"/>
          <w:sz w:val="20"/>
        </w:rPr>
        <w:t>in respect of such Impacted Payment shall not apply to such Impacted Lender without its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60"/>
        <w:gridCol w:w="380"/>
        <w:gridCol w:w="14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2.14</w:t>
            </w:r>
          </w:p>
        </w:tc>
        <w:tc>
          <w:tcPr>
            <w:tcW w:w="1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Collateral</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Obligation to Cash Collateralize</w:t>
      </w:r>
      <w:r>
        <w:rPr>
          <w:rFonts w:ascii="Times New Roman" w:hAnsi="Times New Roman"/>
          <w:caps w:val="false"/>
          <w:smallCaps w:val="false"/>
          <w:sz w:val="20"/>
        </w:rPr>
        <w:t xml:space="preserve">. At any time there shall exist a Defaulting Lender, within one (1)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hAnsi="Times New Roman"/>
          <w:b/>
          <w:i/>
          <w:caps w:val="false"/>
          <w:smallCaps w:val="false"/>
          <w:sz w:val="20"/>
        </w:rPr>
        <w:t xml:space="preserve">Section 2.15(a)(iv) </w:t>
      </w:r>
      <w:r>
        <w:rPr>
          <w:rFonts w:ascii="Times New Roman" w:hAnsi="Times New Roman"/>
          <w:caps w:val="false"/>
          <w:smallCaps w:val="false"/>
          <w:sz w:val="20"/>
        </w:rPr>
        <w:t>and any Cash Collateral provided by such Defaulting Lender) in an amount not less than the Minimum Collateral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Grant of Security Interest</w:t>
      </w:r>
      <w:r>
        <w:rPr>
          <w:rFonts w:ascii="Times New Roman" w:hAnsi="Times New Roman"/>
          <w:caps w:val="false"/>
          <w:smallCaps w:val="false"/>
          <w:sz w:val="20"/>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b/>
          <w:i/>
          <w:caps w:val="false"/>
          <w:smallCaps w:val="false"/>
          <w:sz w:val="20"/>
        </w:rPr>
        <w:t>Section 2.14(c)</w:t>
      </w:r>
      <w:r>
        <w:rPr>
          <w:rFonts w:ascii="Times New Roman" w:hAnsi="Times New Roman"/>
          <w:caps w:val="false"/>
          <w:smallCaps w:val="false"/>
          <w:sz w:val="20"/>
        </w:rPr>
        <w:t xml:space="preserve">. If at any time the Administrative Agent determines that Cash Collateral is subject to any right or claim of any Person other than the Administrative Agent or the L/C Issuer as herein provided, other than </w:t>
      </w:r>
      <w:r>
        <w:rPr>
          <w:rFonts w:ascii="Times New Roman" w:hAnsi="Times New Roman"/>
          <w:b/>
          <w:i/>
          <w:caps w:val="false"/>
          <w:smallCaps w:val="false"/>
          <w:sz w:val="20"/>
        </w:rPr>
        <w:t>Section 7.01(j)</w:t>
      </w:r>
      <w:r>
        <w:rPr>
          <w:rFonts w:ascii="Times New Roman" w:hAnsi="Times New Roman"/>
          <w:caps w:val="false"/>
          <w:smallCaps w:val="false"/>
          <w:sz w:val="20"/>
        </w:rPr>
        <w:t xml:space="preserve">,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hAnsi="Times New Roman"/>
          <w:b/>
          <w:i/>
          <w:caps w:val="false"/>
          <w:smallCaps w:val="false"/>
          <w:sz w:val="20"/>
        </w:rPr>
        <w:t>Section 2.15(a)(v)</w:t>
      </w:r>
      <w:r>
        <w:rPr>
          <w:rFonts w:ascii="Times New Roman" w:hAnsi="Times New Roman"/>
          <w:caps w:val="false"/>
          <w:smallCaps w:val="false"/>
          <w:sz w:val="20"/>
        </w:rPr>
        <w:t xml:space="preserve">, after giving effect to </w:t>
      </w:r>
      <w:r>
        <w:rPr>
          <w:rFonts w:ascii="Times New Roman" w:hAnsi="Times New Roman"/>
          <w:b/>
          <w:i/>
          <w:caps w:val="false"/>
          <w:smallCaps w:val="false"/>
          <w:sz w:val="20"/>
        </w:rPr>
        <w:t xml:space="preserve">Section 2.15(a)(v) </w:t>
      </w:r>
      <w:r>
        <w:rPr>
          <w:rFonts w:ascii="Times New Roman" w:hAnsi="Times New Roman"/>
          <w:caps w:val="false"/>
          <w:smallCaps w:val="false"/>
          <w:sz w:val="20"/>
        </w:rPr>
        <w:t>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Application</w:t>
      </w:r>
      <w:r>
        <w:rPr>
          <w:rFonts w:ascii="Times New Roman" w:hAnsi="Times New Roman"/>
          <w:caps w:val="false"/>
          <w:smallCaps w:val="false"/>
          <w:sz w:val="20"/>
        </w:rPr>
        <w:t xml:space="preserve">. Notwithstanding anything to the contrary contained in this Agreement, Cash Collateral provided under any of this </w:t>
      </w:r>
      <w:r>
        <w:rPr>
          <w:rFonts w:ascii="Times New Roman" w:hAnsi="Times New Roman"/>
          <w:b/>
          <w:i/>
          <w:caps w:val="false"/>
          <w:smallCaps w:val="false"/>
          <w:sz w:val="20"/>
        </w:rPr>
        <w:t xml:space="preserve">Section 2.14 </w:t>
      </w:r>
      <w:r>
        <w:rPr>
          <w:rFonts w:ascii="Times New Roman" w:hAnsi="Times New Roman"/>
          <w:caps w:val="false"/>
          <w:smallCaps w:val="false"/>
          <w:sz w:val="20"/>
        </w:rPr>
        <w:t xml:space="preserve">or </w:t>
      </w:r>
      <w:r>
        <w:rPr>
          <w:rFonts w:ascii="Times New Roman" w:hAnsi="Times New Roman"/>
          <w:b/>
          <w:i/>
          <w:caps w:val="false"/>
          <w:smallCaps w:val="false"/>
          <w:sz w:val="20"/>
        </w:rPr>
        <w:t>Sections 2.03</w:t>
      </w:r>
      <w:r>
        <w:rPr>
          <w:rFonts w:ascii="Times New Roman" w:hAnsi="Times New Roman"/>
          <w:caps w:val="false"/>
          <w:smallCaps w:val="false"/>
          <w:sz w:val="20"/>
        </w:rPr>
        <w:t xml:space="preserve">, </w:t>
      </w:r>
      <w:r>
        <w:rPr>
          <w:rFonts w:ascii="Times New Roman" w:hAnsi="Times New Roman"/>
          <w:b/>
          <w:i/>
          <w:caps w:val="false"/>
          <w:smallCaps w:val="false"/>
          <w:sz w:val="20"/>
        </w:rPr>
        <w:t>2.05</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2.15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8.02 </w:t>
      </w:r>
      <w:r>
        <w:rPr>
          <w:rFonts w:ascii="Times New Roman" w:hAnsi="Times New Roman"/>
          <w:caps w:val="false"/>
          <w:smallCaps w:val="false"/>
          <w:sz w:val="20"/>
        </w:rPr>
        <w:t>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Release</w:t>
      </w:r>
      <w:r>
        <w:rPr>
          <w:rFonts w:ascii="Times New Roman" w:hAnsi="Times New Roman"/>
          <w:caps w:val="false"/>
          <w:smallCaps w:val="false"/>
          <w:sz w:val="20"/>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 w:hAnsi="Times New Roman"/>
          <w:b/>
          <w:i/>
          <w:caps w:val="false"/>
          <w:smallCaps w:val="false"/>
          <w:sz w:val="20"/>
        </w:rPr>
        <w:t>Section 11.06(b)(vi)</w:t>
      </w:r>
      <w:r>
        <w:rPr>
          <w:rFonts w:ascii="Times New Roman" w:hAnsi="Times New Roman"/>
          <w:caps w:val="false"/>
          <w:smallCaps w:val="false"/>
          <w:sz w:val="20"/>
        </w:rPr>
        <w:t xml:space="preserve">)) or (ii) the determination by the Administrative Agent and the L/C Issuer that there exists excess Cash Collateral;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(A) any such release shall be without prejudice to, and any disbursement or other transfer of Cash Collateral shall be and remain subject to, any other Lien conferred under the Loan Documents and the other applicable provisions of the Loan Documents, and (B) the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providing Cash Collateral and the L/C Issuer may agree that Cash Collateral shall not be released but instead held to support future anticipated Fronting Exposure or other obligations.</w:t>
      </w:r>
    </w:p>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380"/>
        <w:gridCol w:w="16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2.15</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Defaulting Lenders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Adjustments</w:t>
      </w:r>
      <w:r>
        <w:rPr>
          <w:rFonts w:ascii="Times New Roman" w:hAnsi="Times New Roman"/>
          <w:caps w:val="false"/>
          <w:smallCaps w:val="false"/>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Waivers and Amendments</w:t>
      </w:r>
      <w:r>
        <w:rPr>
          <w:rFonts w:ascii="Times New Roman" w:hAnsi="Times New Roman"/>
          <w:caps w:val="false"/>
          <w:smallCaps w:val="false"/>
          <w:sz w:val="20"/>
        </w:rPr>
        <w:t>. Such Defaulting Lender’s right to approve or disapprove any amendment, waiver or consent with respect to this Agreement shall be restricted as set forth in the definition of “</w:t>
      </w:r>
      <w:r>
        <w:rPr>
          <w:rFonts w:ascii="Times New Roman" w:hAnsi="Times New Roman"/>
          <w:i/>
          <w:caps w:val="false"/>
          <w:smallCaps w:val="false"/>
          <w:sz w:val="20"/>
        </w:rPr>
        <w:t>Required Lenders</w:t>
      </w:r>
      <w:r>
        <w:rPr>
          <w:rFonts w:ascii="Times New Roman" w:hAnsi="Times New Roman"/>
          <w:caps w:val="false"/>
          <w:smallCaps w:val="false"/>
          <w:sz w:val="20"/>
        </w:rPr>
        <w:t xml:space="preserve">” and </w:t>
      </w:r>
      <w:r>
        <w:rPr>
          <w:rFonts w:ascii="Times New Roman" w:hAnsi="Times New Roman"/>
          <w:b/>
          <w:i/>
          <w:caps w:val="false"/>
          <w:smallCaps w:val="false"/>
          <w:sz w:val="20"/>
        </w:rPr>
        <w:t>Section 11.01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Defaulting Lender Waterfall</w:t>
      </w:r>
      <w:r>
        <w:rPr>
          <w:rFonts w:ascii="Times New Roman" w:hAnsi="Times New Roman"/>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b/>
          <w:i/>
          <w:caps w:val="false"/>
          <w:smallCaps w:val="false"/>
          <w:sz w:val="20"/>
        </w:rPr>
        <w:t xml:space="preserve">Article VIII </w:t>
      </w:r>
      <w:r>
        <w:rPr>
          <w:rFonts w:ascii="Times New Roman" w:hAnsi="Times New Roman"/>
          <w:caps w:val="false"/>
          <w:smallCaps w:val="false"/>
          <w:sz w:val="20"/>
        </w:rPr>
        <w:t xml:space="preserve">or otherwise) or received by the Administrative Agent from a Defaulting Lender pursuant to </w:t>
      </w:r>
      <w:r>
        <w:rPr>
          <w:rFonts w:ascii="Times New Roman" w:hAnsi="Times New Roman"/>
          <w:b/>
          <w:i/>
          <w:caps w:val="false"/>
          <w:smallCaps w:val="false"/>
          <w:sz w:val="20"/>
        </w:rPr>
        <w:t xml:space="preserve">Section 11.08 </w:t>
      </w:r>
      <w:r>
        <w:rPr>
          <w:rFonts w:ascii="Times New Roman" w:hAnsi="Times New Roman"/>
          <w:caps w:val="false"/>
          <w:smallCaps w:val="false"/>
          <w:sz w:val="20"/>
        </w:rPr>
        <w:t xml:space="preserve">shall be applied at such time or times as may be determined by the Administrative Agent as follows: </w:t>
      </w:r>
      <w:r>
        <w:rPr>
          <w:rFonts w:ascii="Times New Roman" w:hAnsi="Times New Roman"/>
          <w:i/>
          <w:caps w:val="false"/>
          <w:smallCaps w:val="false"/>
          <w:sz w:val="20"/>
        </w:rPr>
        <w:t>first</w:t>
      </w:r>
      <w:r>
        <w:rPr>
          <w:rFonts w:ascii="Times New Roman" w:hAnsi="Times New Roman"/>
          <w:caps w:val="false"/>
          <w:smallCaps w:val="false"/>
          <w:sz w:val="20"/>
        </w:rPr>
        <w:t xml:space="preserve">, to the payment of any amounts owing by such Defaulting Lender to the Administrative Agent hereunder; </w:t>
      </w:r>
      <w:r>
        <w:rPr>
          <w:rFonts w:ascii="Times New Roman" w:hAnsi="Times New Roman"/>
          <w:i/>
          <w:caps w:val="false"/>
          <w:smallCaps w:val="false"/>
          <w:sz w:val="20"/>
        </w:rPr>
        <w:t>second</w:t>
      </w:r>
      <w:r>
        <w:rPr>
          <w:rFonts w:ascii="Times New Roman" w:hAnsi="Times New Roman"/>
          <w:caps w:val="false"/>
          <w:smallCaps w:val="false"/>
          <w:sz w:val="20"/>
        </w:rPr>
        <w:t xml:space="preserve">, to the payment on a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basis of any amounts owing by such Defaulting Lender to the L/C Issuer or the Swingline Lender hereunder; </w:t>
      </w:r>
      <w:r>
        <w:rPr>
          <w:rFonts w:ascii="Times New Roman" w:hAnsi="Times New Roman"/>
          <w:i/>
          <w:caps w:val="false"/>
          <w:smallCaps w:val="false"/>
          <w:sz w:val="20"/>
        </w:rPr>
        <w:t>third</w:t>
      </w:r>
      <w:r>
        <w:rPr>
          <w:rFonts w:ascii="Times New Roman" w:hAnsi="Times New Roman"/>
          <w:caps w:val="false"/>
          <w:smallCaps w:val="false"/>
          <w:sz w:val="20"/>
        </w:rPr>
        <w:t xml:space="preserve">, to Cash Collateralize the L/C Issuer’s Fronting Exposure with respect to such Defaulting Lender in accordance with </w:t>
      </w:r>
      <w:r>
        <w:rPr>
          <w:rFonts w:ascii="Times New Roman" w:hAnsi="Times New Roman"/>
          <w:b/>
          <w:i/>
          <w:caps w:val="false"/>
          <w:smallCaps w:val="false"/>
          <w:sz w:val="20"/>
        </w:rPr>
        <w:t>Section 2.14</w:t>
      </w:r>
      <w:r>
        <w:rPr>
          <w:rFonts w:ascii="Times New Roman" w:hAnsi="Times New Roman"/>
          <w:caps w:val="false"/>
          <w:smallCaps w:val="false"/>
          <w:sz w:val="20"/>
        </w:rPr>
        <w:t xml:space="preserve">; </w:t>
      </w:r>
      <w:r>
        <w:rPr>
          <w:rFonts w:ascii="Times New Roman" w:hAnsi="Times New Roman"/>
          <w:i/>
          <w:caps w:val="false"/>
          <w:smallCaps w:val="false"/>
          <w:sz w:val="20"/>
        </w:rPr>
        <w:t>fourth</w:t>
      </w:r>
      <w:r>
        <w:rPr>
          <w:rFonts w:ascii="Times New Roman" w:hAnsi="Times New Roman"/>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caps w:val="false"/>
          <w:smallCaps w:val="false"/>
          <w:sz w:val="20"/>
        </w:rPr>
        <w:t>fifth</w:t>
      </w:r>
      <w:r>
        <w:rPr>
          <w:rFonts w:ascii="Times New Roman" w:hAnsi="Times New Roman"/>
          <w:caps w:val="false"/>
          <w:smallCaps w:val="false"/>
          <w:sz w:val="20"/>
        </w:rPr>
        <w:t xml:space="preserve">, if so determined by the Administrative Agent and the Borrower, to be held in a deposit account and released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hAnsi="Times New Roman"/>
          <w:b/>
          <w:i/>
          <w:caps w:val="false"/>
          <w:smallCaps w:val="false"/>
          <w:sz w:val="20"/>
        </w:rPr>
        <w:t>Section 2.14</w:t>
      </w:r>
      <w:r>
        <w:rPr>
          <w:rFonts w:ascii="Times New Roman" w:hAnsi="Times New Roman"/>
          <w:caps w:val="false"/>
          <w:smallCaps w:val="false"/>
          <w:sz w:val="20"/>
        </w:rPr>
        <w:t xml:space="preserve">; </w:t>
      </w:r>
      <w:r>
        <w:rPr>
          <w:rFonts w:ascii="Times New Roman" w:hAnsi="Times New Roman"/>
          <w:i/>
          <w:caps w:val="false"/>
          <w:smallCaps w:val="false"/>
          <w:sz w:val="20"/>
        </w:rPr>
        <w:t>sixth</w:t>
      </w:r>
      <w:r>
        <w:rPr>
          <w:rFonts w:ascii="Times New Roman" w:hAnsi="Times New Roman"/>
          <w:caps w:val="false"/>
          <w:smallCaps w:val="false"/>
          <w:sz w:val="20"/>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hAnsi="Times New Roman"/>
          <w:i/>
          <w:caps w:val="false"/>
          <w:smallCaps w:val="false"/>
          <w:sz w:val="20"/>
        </w:rPr>
        <w:t>seventh</w:t>
      </w:r>
      <w:r>
        <w:rPr>
          <w:rFonts w:ascii="Times New Roman" w:hAnsi="Times New Roman"/>
          <w:caps w:val="false"/>
          <w:smallCaps w:val="false"/>
          <w:sz w:val="20"/>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caps w:val="false"/>
          <w:smallCaps w:val="false"/>
          <w:sz w:val="20"/>
        </w:rPr>
        <w:t>eighth</w:t>
      </w:r>
      <w:r>
        <w:rPr>
          <w:rFonts w:ascii="Times New Roman" w:hAnsi="Times New Roman"/>
          <w:caps w:val="false"/>
          <w:smallCaps w:val="false"/>
          <w:sz w:val="20"/>
        </w:rPr>
        <w:t xml:space="preserve">, to such Defaulting Lender or as otherwise as may be required under the Loan Documents in connection with any Lien conferred thereunder or directed by a court of competent jurisdiction; </w:t>
      </w:r>
      <w:r>
        <w:rPr>
          <w:rFonts w:ascii="Times New Roman" w:hAnsi="Times New Roman"/>
          <w:i/>
          <w:caps w:val="false"/>
          <w:smallCaps w:val="false"/>
          <w:sz w:val="20"/>
        </w:rPr>
        <w:t xml:space="preserve">provided </w:t>
      </w:r>
      <w:r>
        <w:rPr>
          <w:rFonts w:ascii="Times New Roman" w:hAnsi="Times New Roman"/>
          <w:caps w:val="false"/>
          <w:smallCaps w:val="false"/>
          <w:sz w:val="20"/>
        </w:rPr>
        <w:t>that if</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(x) such payment is a payment of the principal amount of any Loans or L/C Borrowings in respect of which such Defaulting Lender has not fully funded its appropriate share,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(y) such Loans were made or the related Letters of Credit were issued at a time when the conditions set forth in </w:t>
      </w:r>
      <w:r>
        <w:rPr>
          <w:rFonts w:ascii="Times New Roman" w:hAnsi="Times New Roman"/>
          <w:b/>
          <w:i/>
          <w:caps w:val="false"/>
          <w:smallCaps w:val="false"/>
          <w:sz w:val="20"/>
        </w:rPr>
        <w:t xml:space="preserve">Section 4.02 </w:t>
      </w:r>
      <w:r>
        <w:rPr>
          <w:rFonts w:ascii="Times New Roman" w:hAnsi="Times New Roman"/>
          <w:caps w:val="false"/>
          <w:smallCaps w:val="false"/>
          <w:sz w:val="20"/>
        </w:rPr>
        <w:t xml:space="preserve">were satisfied or waived, such payment shall be applied solely to pay the Loans of, and L/C Obligations owed to, all Non-Defaulting Lenders on a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in accordance with the Commitments hereunder without giving effect to </w:t>
      </w:r>
      <w:r>
        <w:rPr>
          <w:rFonts w:ascii="Times New Roman" w:hAnsi="Times New Roman"/>
          <w:b/>
          <w:i/>
          <w:caps w:val="false"/>
          <w:smallCaps w:val="false"/>
          <w:sz w:val="20"/>
        </w:rPr>
        <w:t>Section 2.15(a)(iv)</w:t>
      </w:r>
      <w:r>
        <w:rPr>
          <w:rFonts w:ascii="Times New Roman" w:hAnsi="Times New Roman"/>
          <w:caps w:val="false"/>
          <w:smallCaps w:val="false"/>
          <w:sz w:val="20"/>
        </w:rPr>
        <w:t>. Any payments, prepayments or other amounts paid or payable to a Defaulting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are applied (or held) to pay amounts owed by a Defaulting Lender or to post Cash Collateral pursuant to this </w:t>
      </w:r>
      <w:r>
        <w:rPr>
          <w:rFonts w:ascii="Times New Roman" w:hAnsi="Times New Roman"/>
          <w:b/>
          <w:i/>
          <w:caps w:val="false"/>
          <w:smallCaps w:val="false"/>
          <w:sz w:val="20"/>
        </w:rPr>
        <w:t xml:space="preserve">Section 2.15(a)(ii) </w:t>
      </w:r>
      <w:r>
        <w:rPr>
          <w:rFonts w:ascii="Times New Roman" w:hAnsi="Times New Roman"/>
          <w:caps w:val="false"/>
          <w:smallCaps w:val="false"/>
          <w:sz w:val="20"/>
        </w:rPr>
        <w:t>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320"/>
        <w:gridCol w:w="113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Fees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Fees</w:t>
      </w:r>
      <w:r>
        <w:rPr>
          <w:rFonts w:ascii="Times New Roman" w:hAnsi="Times New Roman"/>
          <w:caps w:val="false"/>
          <w:smallCaps w:val="false"/>
          <w:sz w:val="20"/>
        </w:rPr>
        <w:t xml:space="preserve">. No Defaulting Lender shall be entitled to receive any fee payable under </w:t>
      </w:r>
      <w:r>
        <w:rPr>
          <w:rFonts w:ascii="Times New Roman" w:hAnsi="Times New Roman"/>
          <w:b/>
          <w:i/>
          <w:caps w:val="false"/>
          <w:smallCaps w:val="false"/>
          <w:sz w:val="20"/>
        </w:rPr>
        <w:t xml:space="preserve">Section 2.09(a)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Letter of Credit Fees</w:t>
      </w:r>
      <w:r>
        <w:rPr>
          <w:rFonts w:ascii="Times New Roman" w:hAnsi="Times New Roman"/>
          <w:caps w:val="false"/>
          <w:smallCaps w:val="false"/>
          <w:sz w:val="20"/>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hAnsi="Times New Roman"/>
          <w:b/>
          <w:i/>
          <w:caps w:val="false"/>
          <w:smallCaps w:val="false"/>
          <w:sz w:val="20"/>
        </w:rPr>
        <w:t>Section 2.14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Defaulting Lender Fees</w:t>
      </w:r>
      <w:r>
        <w:rPr>
          <w:rFonts w:ascii="Times New Roman" w:hAnsi="Times New Roman"/>
          <w:caps w:val="false"/>
          <w:smallCaps w:val="false"/>
          <w:sz w:val="20"/>
        </w:rPr>
        <w:t xml:space="preserve">. With respect to any Letter of Credit Fee not required to be paid to any Defaulting Lender pursuant to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hAnsi="Times New Roman"/>
          <w:b/>
          <w:i/>
          <w:caps w:val="false"/>
          <w:smallCaps w:val="false"/>
          <w:sz w:val="20"/>
        </w:rPr>
        <w:t xml:space="preserve">clause (iv) </w:t>
      </w:r>
      <w:r>
        <w:rPr>
          <w:rFonts w:ascii="Times New Roman" w:hAnsi="Times New Roman"/>
          <w:caps w:val="false"/>
          <w:smallCaps w:val="false"/>
          <w:sz w:val="20"/>
        </w:rPr>
        <w:t>below, (2) pay to the L/C Issuer the amount of any such fee otherwise payable to such Defaulting Lender to the extent allocable to such L/C Issuer’s Fronting Exposure to such Defaulting Lender, and</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(3)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Reallocation of Applicable Percentages to Reduce Fronting Exposure</w:t>
      </w:r>
      <w:r>
        <w:rPr>
          <w:rFonts w:ascii="Times New Roman" w:hAnsi="Times New Roman"/>
          <w:caps w:val="false"/>
          <w:smallCaps w:val="false"/>
          <w:sz w:val="20"/>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hAnsi="Times New Roman"/>
          <w:b/>
          <w:i/>
          <w:caps w:val="false"/>
          <w:smallCaps w:val="false"/>
          <w:sz w:val="20"/>
        </w:rPr>
        <w:t>Section 11.20</w:t>
      </w:r>
      <w:r>
        <w:rPr>
          <w:rFonts w:ascii="Times New Roman" w:hAnsi="Times New Roman"/>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rPr>
        <w:t>Cash Collateral, Repayment of Swingline Loans</w:t>
      </w:r>
      <w:r>
        <w:rPr>
          <w:rFonts w:ascii="Times New Roman" w:hAnsi="Times New Roman"/>
          <w:caps w:val="false"/>
          <w:smallCaps w:val="false"/>
          <w:sz w:val="20"/>
        </w:rPr>
        <w:t xml:space="preserve">. If the reallocation described in </w:t>
      </w:r>
      <w:r>
        <w:rPr>
          <w:rFonts w:ascii="Times New Roman" w:hAnsi="Times New Roman"/>
          <w:b/>
          <w:i/>
          <w:caps w:val="false"/>
          <w:smallCaps w:val="false"/>
          <w:sz w:val="20"/>
        </w:rPr>
        <w:t xml:space="preserve">clause (a)(v) </w:t>
      </w:r>
      <w:r>
        <w:rPr>
          <w:rFonts w:ascii="Times New Roman" w:hAnsi="Times New Roman"/>
          <w:caps w:val="false"/>
          <w:smallCaps w:val="false"/>
          <w:sz w:val="20"/>
        </w:rPr>
        <w:t xml:space="preserve">above cannot, or can only partially, be effected, the Borrower shall, without prejudice to any right or remedy available to it hereunder or under Applicable Law, (A) </w:t>
      </w:r>
      <w:r>
        <w:rPr>
          <w:rFonts w:ascii="Times New Roman" w:hAnsi="Times New Roman"/>
          <w:i/>
          <w:caps w:val="false"/>
          <w:smallCaps w:val="false"/>
          <w:sz w:val="20"/>
        </w:rPr>
        <w:t>first</w:t>
      </w:r>
      <w:r>
        <w:rPr>
          <w:rFonts w:ascii="Times New Roman" w:hAnsi="Times New Roman"/>
          <w:caps w:val="false"/>
          <w:smallCaps w:val="false"/>
          <w:sz w:val="20"/>
        </w:rPr>
        <w:t xml:space="preserve">, prepay Swingline Loans in an amount equal to the Swingline Lender’s Fronting Exposure and (B) </w:t>
      </w:r>
      <w:r>
        <w:rPr>
          <w:rFonts w:ascii="Times New Roman" w:hAnsi="Times New Roman"/>
          <w:i/>
          <w:caps w:val="false"/>
          <w:smallCaps w:val="false"/>
          <w:sz w:val="20"/>
        </w:rPr>
        <w:t>second</w:t>
      </w:r>
      <w:r>
        <w:rPr>
          <w:rFonts w:ascii="Times New Roman" w:hAnsi="Times New Roman"/>
          <w:caps w:val="false"/>
          <w:smallCaps w:val="false"/>
          <w:sz w:val="20"/>
        </w:rPr>
        <w:t xml:space="preserve">, Cash Collateralize the L/C Issuer’s Fronting Exposure in accordance with the procedures set forth in </w:t>
      </w:r>
      <w:r>
        <w:rPr>
          <w:rFonts w:ascii="Times New Roman" w:hAnsi="Times New Roman"/>
          <w:b/>
          <w:i/>
          <w:caps w:val="false"/>
          <w:smallCaps w:val="false"/>
          <w:sz w:val="20"/>
        </w:rPr>
        <w:t>Section 2.14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Defaulting Lender Cure</w:t>
      </w:r>
      <w:r>
        <w:rPr>
          <w:rFonts w:ascii="Times New Roman" w:hAnsi="Times New Roman"/>
          <w:caps w:val="false"/>
          <w:smallCaps w:val="false"/>
          <w:sz w:val="20"/>
        </w:rPr>
        <w:t>.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by the Lenders in accordance with their Revolving Commitments (without giving effect to </w:t>
      </w:r>
      <w:r>
        <w:rPr>
          <w:rFonts w:ascii="Times New Roman" w:hAnsi="Times New Roman"/>
          <w:b/>
          <w:i/>
          <w:caps w:val="false"/>
          <w:smallCaps w:val="false"/>
          <w:sz w:val="20"/>
        </w:rPr>
        <w:t>Section 2.15(a)(iv)</w:t>
      </w:r>
      <w:r>
        <w:rPr>
          <w:rFonts w:ascii="Times New Roman" w:hAnsi="Times New Roman"/>
          <w:caps w:val="false"/>
          <w:smallCaps w:val="false"/>
          <w:sz w:val="20"/>
        </w:rPr>
        <w:t xml:space="preserve">), whereupon such Lender will cease to be a Defaulting Lender;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 adjustments will be made retroactively with respect to fees accrued or payments made by or on behalf of the Borrower while that Lender was a Defaulting Lender;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New Swingline Loans/Letters of Credit</w:t>
      </w:r>
      <w:r>
        <w:rPr>
          <w:rFonts w:ascii="Times New Roman" w:hAnsi="Times New Roman"/>
          <w:caps w:val="false"/>
          <w:smallCaps w:val="false"/>
          <w:sz w:val="20"/>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60"/>
        <w:gridCol w:w="245"/>
        <w:gridCol w:w="45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 YIELD PROTECTION AND ILLEGALITY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380"/>
        <w:gridCol w:w="5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3.01</w:t>
            </w:r>
          </w:p>
        </w:tc>
        <w:tc>
          <w:tcPr>
            <w:tcW w:w="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Defined Terms</w:t>
      </w:r>
      <w:r>
        <w:rPr>
          <w:rFonts w:ascii="Times New Roman" w:hAnsi="Times New Roman"/>
          <w:caps w:val="false"/>
          <w:smallCaps w:val="false"/>
          <w:sz w:val="20"/>
        </w:rPr>
        <w:t xml:space="preserve">. For purposes of this </w:t>
      </w:r>
      <w:r>
        <w:rPr>
          <w:rFonts w:ascii="Times New Roman" w:hAnsi="Times New Roman"/>
          <w:b/>
          <w:i/>
          <w:caps w:val="false"/>
          <w:smallCaps w:val="false"/>
          <w:sz w:val="20"/>
        </w:rPr>
        <w:t>Section 3.01</w:t>
      </w:r>
      <w:r>
        <w:rPr>
          <w:rFonts w:ascii="Times New Roman" w:hAnsi="Times New Roman"/>
          <w:caps w:val="false"/>
          <w:smallCaps w:val="false"/>
          <w:sz w:val="20"/>
        </w:rPr>
        <w:t>, the term “</w:t>
      </w:r>
      <w:r>
        <w:rPr>
          <w:rFonts w:ascii="Times New Roman" w:hAnsi="Times New Roman"/>
          <w:i/>
          <w:caps w:val="false"/>
          <w:smallCaps w:val="false"/>
          <w:sz w:val="20"/>
        </w:rPr>
        <w:t>Applicable Law</w:t>
      </w:r>
      <w:r>
        <w:rPr>
          <w:rFonts w:ascii="Times New Roman" w:hAnsi="Times New Roman"/>
          <w:caps w:val="false"/>
          <w:smallCaps w:val="false"/>
          <w:sz w:val="20"/>
        </w:rPr>
        <w:t>” includes FATCA and the term “</w:t>
      </w:r>
      <w:r>
        <w:rPr>
          <w:rFonts w:ascii="Times New Roman" w:hAnsi="Times New Roman"/>
          <w:i/>
          <w:caps w:val="false"/>
          <w:smallCaps w:val="false"/>
          <w:sz w:val="20"/>
        </w:rPr>
        <w:t>Lender</w:t>
      </w:r>
      <w:r>
        <w:rPr>
          <w:rFonts w:ascii="Times New Roman" w:hAnsi="Times New Roman"/>
          <w:caps w:val="false"/>
          <w:smallCaps w:val="false"/>
          <w:sz w:val="20"/>
        </w:rPr>
        <w:t>” includes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Payments Free of Taxes; Obligation to Withhold; Payments on Account of Taxes</w:t>
      </w:r>
      <w:r>
        <w:rPr>
          <w:rFonts w:ascii="Times New Roman" w:hAnsi="Times New Roman"/>
          <w:caps w:val="false"/>
          <w:smallCaps w:val="false"/>
          <w:sz w:val="20"/>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b/>
          <w:i/>
          <w:caps w:val="false"/>
          <w:smallCaps w:val="false"/>
          <w:sz w:val="20"/>
        </w:rPr>
        <w:t>Section 3.01</w:t>
      </w:r>
      <w:r>
        <w:rPr>
          <w:rFonts w:ascii="Times New Roman" w:hAnsi="Times New Roman"/>
          <w:caps w:val="false"/>
          <w:smallCaps w:val="false"/>
          <w:sz w:val="20"/>
        </w:rPr>
        <w:t>) the applicable Recipient receives an amount equal to the sum it would have received had no such withholding or deduction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Payment of Other Taxes by the Loan Parties</w:t>
      </w:r>
      <w:r>
        <w:rPr>
          <w:rFonts w:ascii="Times New Roman" w:hAnsi="Times New Roman"/>
          <w:caps w:val="false"/>
          <w:smallCaps w:val="false"/>
          <w:sz w:val="20"/>
        </w:rPr>
        <w:t>.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
        <w:gridCol w:w="245"/>
        <w:gridCol w:w="18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 Indemnifications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hAnsi="Times New Roman"/>
          <w:b/>
          <w:i/>
          <w:caps w:val="false"/>
          <w:smallCaps w:val="false"/>
          <w:sz w:val="20"/>
        </w:rPr>
        <w:t>Section 3.01</w:t>
      </w:r>
      <w:r>
        <w:rPr>
          <w:rFonts w:ascii="Times New Roman" w:hAnsi="Times New Roman"/>
          <w:caps w:val="false"/>
          <w:smallCaps w:val="false"/>
          <w:sz w:val="20"/>
        </w:rPr>
        <w:t>) payable or paid by such Recipient or required to be withheld or deducted from a payment to such Recipient, and any penalties, interest and reasonable expenses arising therefrom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Each Lender shall, and does hereby, severally indemnify and shall make payment in respect thereof within ten (10) days after demand therefor, the Administrative Agent against (A) any Indemnified Taxes attributable to such Lender, (B) any Taxes attributable to such Lender’s failure to comply with the provisions of </w:t>
      </w:r>
      <w:r>
        <w:rPr>
          <w:rFonts w:ascii="Times New Roman" w:hAnsi="Times New Roman"/>
          <w:b/>
          <w:i/>
          <w:caps w:val="false"/>
          <w:smallCaps w:val="false"/>
          <w:sz w:val="20"/>
        </w:rPr>
        <w:t xml:space="preserve">Section 11.06(d) </w:t>
      </w:r>
      <w:r>
        <w:rPr>
          <w:rFonts w:ascii="Times New Roman" w:hAnsi="Times New Roman"/>
          <w:caps w:val="false"/>
          <w:smallCaps w:val="false"/>
          <w:sz w:val="20"/>
        </w:rPr>
        <w:t xml:space="preserve">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b/>
          <w:i/>
          <w:caps w:val="false"/>
          <w:smallCaps w:val="false"/>
          <w:sz w:val="20"/>
        </w:rPr>
        <w:t>clause (d)(ii)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Evidence of Payments</w:t>
      </w:r>
      <w:r>
        <w:rPr>
          <w:rFonts w:ascii="Times New Roman" w:hAnsi="Times New Roman"/>
          <w:caps w:val="false"/>
          <w:smallCaps w:val="false"/>
          <w:sz w:val="20"/>
        </w:rPr>
        <w:t xml:space="preserve">. As soon as practicable after any payment of Taxes by any Loan Party to a Governmental Authority, as provided in this </w:t>
      </w:r>
      <w:r>
        <w:rPr>
          <w:rFonts w:ascii="Times New Roman" w:hAnsi="Times New Roman"/>
          <w:b/>
          <w:i/>
          <w:caps w:val="false"/>
          <w:smallCaps w:val="false"/>
          <w:sz w:val="20"/>
        </w:rPr>
        <w:t>Section 3.01</w:t>
      </w:r>
      <w:r>
        <w:rPr>
          <w:rFonts w:ascii="Times New Roman" w:hAnsi="Times New Roman"/>
          <w:caps w:val="false"/>
          <w:smallCaps w:val="false"/>
          <w:sz w:val="20"/>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200"/>
        <w:gridCol w:w="33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Status of Lenders; Tax Documentation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any Lender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 w:hAnsi="Times New Roman"/>
          <w:b/>
          <w:i/>
          <w:caps w:val="false"/>
          <w:smallCaps w:val="false"/>
          <w:sz w:val="20"/>
        </w:rPr>
        <w:t>Section 3.01(f)(ii)(A)</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(ii)(B)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(ii)(D) </w:t>
      </w:r>
      <w:r>
        <w:rPr>
          <w:rFonts w:ascii="Times New Roman" w:hAnsi="Times New Roman"/>
          <w:caps w:val="false"/>
          <w:smallCaps w:val="false"/>
          <w:sz w:val="20"/>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firstLine="720"/>
        <w:jc w:val="left"/>
        <w:rPr>
          <w:rFonts w:ascii="Times New Roman" w:hAnsi="Times New Roman"/>
          <w:caps w:val="false"/>
          <w:smallCaps w:val="false"/>
          <w:sz w:val="20"/>
        </w:rPr>
      </w:pPr>
      <w:r>
        <w:rPr>
          <w:rFonts w:ascii="Times New Roman" w:hAnsi="Times New Roman"/>
          <w:caps w:val="false"/>
          <w:smallCaps w:val="false"/>
          <w:sz w:val="20"/>
        </w:rPr>
        <w:t>(1)    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w:t>
      </w:r>
      <w:r>
        <w:rPr>
          <w:rFonts w:ascii="Times New Roman" w:hAnsi="Times New Roman"/>
          <w:i/>
          <w:caps w:val="false"/>
          <w:smallCaps w:val="false"/>
          <w:sz w:val="20"/>
        </w:rPr>
        <w:t>interest</w:t>
      </w:r>
      <w:r>
        <w:rPr>
          <w:rFonts w:ascii="Times New Roman" w:hAnsi="Times New Roman"/>
          <w:caps w:val="false"/>
          <w:smallCaps w:val="false"/>
          <w:sz w:val="20"/>
        </w:rPr>
        <w:t>” article of such tax treaty and (y) with respect to any other applicable payments under any Loan Document, IRS Form W-8BEN-E (or W-8BEN, as applicable) establishing an exemption from, or reduction of, U.S. federal withholding Tax pursuant to the “</w:t>
      </w:r>
      <w:r>
        <w:rPr>
          <w:rFonts w:ascii="Times New Roman" w:hAnsi="Times New Roman"/>
          <w:i/>
          <w:caps w:val="false"/>
          <w:smallCaps w:val="false"/>
          <w:sz w:val="20"/>
        </w:rPr>
        <w:t>business profits</w:t>
      </w:r>
      <w:r>
        <w:rPr>
          <w:rFonts w:ascii="Times New Roman" w:hAnsi="Times New Roman"/>
          <w:caps w:val="false"/>
          <w:smallCaps w:val="false"/>
          <w:sz w:val="20"/>
        </w:rPr>
        <w:t>” or “</w:t>
      </w:r>
      <w:r>
        <w:rPr>
          <w:rFonts w:ascii="Times New Roman" w:hAnsi="Times New Roman"/>
          <w:i/>
          <w:caps w:val="false"/>
          <w:smallCaps w:val="false"/>
          <w:sz w:val="20"/>
        </w:rPr>
        <w:t>other income</w:t>
      </w:r>
      <w:r>
        <w:rPr>
          <w:rFonts w:ascii="Times New Roman" w:hAnsi="Times New Roman"/>
          <w:caps w:val="false"/>
          <w:smallCaps w:val="false"/>
          <w:sz w:val="20"/>
        </w:rPr>
        <w:t>” article of such tax treaty;</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245"/>
        <w:gridCol w:w="31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3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executed copies of IRS Form W-8ECI;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(3)    in the case of a Foreign Lender claiming the benefits of the exemption for portfolio interest under </w:t>
      </w:r>
      <w:r>
        <w:rPr>
          <w:rFonts w:ascii="Times New Roman" w:hAnsi="Times New Roman"/>
          <w:i/>
          <w:caps w:val="false"/>
          <w:smallCaps w:val="false"/>
          <w:sz w:val="20"/>
        </w:rPr>
        <w:t xml:space="preserve">Section 881(c) </w:t>
      </w:r>
      <w:r>
        <w:rPr>
          <w:rFonts w:ascii="Times New Roman" w:hAnsi="Times New Roman"/>
          <w:caps w:val="false"/>
          <w:smallCaps w:val="false"/>
          <w:sz w:val="20"/>
        </w:rPr>
        <w:t xml:space="preserve">of the Code, (x) a certificate substantially in the form of </w:t>
      </w:r>
      <w:r>
        <w:rPr>
          <w:rFonts w:ascii="Times New Roman" w:hAnsi="Times New Roman"/>
          <w:b/>
          <w:i/>
          <w:caps w:val="false"/>
          <w:smallCaps w:val="false"/>
          <w:sz w:val="20"/>
        </w:rPr>
        <w:t xml:space="preserve">Exhibit 3.01-1 </w:t>
      </w:r>
      <w:r>
        <w:rPr>
          <w:rFonts w:ascii="Times New Roman" w:hAnsi="Times New Roman"/>
          <w:caps w:val="false"/>
          <w:smallCaps w:val="false"/>
          <w:sz w:val="20"/>
        </w:rPr>
        <w:t>to the effect that such Foreign Lender is not a “</w:t>
      </w:r>
      <w:r>
        <w:rPr>
          <w:rFonts w:ascii="Times New Roman" w:hAnsi="Times New Roman"/>
          <w:i/>
          <w:caps w:val="false"/>
          <w:smallCaps w:val="false"/>
          <w:sz w:val="20"/>
        </w:rPr>
        <w:t>bank</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 xml:space="preserve">Section 881(c)(3)(A) </w:t>
      </w:r>
      <w:r>
        <w:rPr>
          <w:rFonts w:ascii="Times New Roman" w:hAnsi="Times New Roman"/>
          <w:caps w:val="false"/>
          <w:smallCaps w:val="false"/>
          <w:sz w:val="20"/>
        </w:rPr>
        <w:t>of the Code, a “</w:t>
      </w:r>
      <w:r>
        <w:rPr>
          <w:rFonts w:ascii="Times New Roman" w:hAnsi="Times New Roman"/>
          <w:i/>
          <w:caps w:val="false"/>
          <w:smallCaps w:val="false"/>
          <w:sz w:val="20"/>
        </w:rPr>
        <w:t>10 percent shareholder</w:t>
      </w:r>
      <w:r>
        <w:rPr>
          <w:rFonts w:ascii="Times New Roman" w:hAnsi="Times New Roman"/>
          <w:caps w:val="false"/>
          <w:smallCaps w:val="false"/>
          <w:sz w:val="20"/>
        </w:rPr>
        <w:t xml:space="preserve">” of the Borrower within the meaning of </w:t>
      </w:r>
      <w:r>
        <w:rPr>
          <w:rFonts w:ascii="Times New Roman" w:hAnsi="Times New Roman"/>
          <w:i/>
          <w:caps w:val="false"/>
          <w:smallCaps w:val="false"/>
          <w:sz w:val="20"/>
        </w:rPr>
        <w:t xml:space="preserve">Section 881(c)(3)(B) </w:t>
      </w:r>
      <w:r>
        <w:rPr>
          <w:rFonts w:ascii="Times New Roman" w:hAnsi="Times New Roman"/>
          <w:caps w:val="false"/>
          <w:smallCaps w:val="false"/>
          <w:sz w:val="20"/>
        </w:rPr>
        <w:t>of the Code, or a “</w:t>
      </w:r>
      <w:r>
        <w:rPr>
          <w:rFonts w:ascii="Times New Roman" w:hAnsi="Times New Roman"/>
          <w:i/>
          <w:caps w:val="false"/>
          <w:smallCaps w:val="false"/>
          <w:sz w:val="20"/>
        </w:rPr>
        <w:t>controlled foreign corporation</w:t>
      </w:r>
      <w:r>
        <w:rPr>
          <w:rFonts w:ascii="Times New Roman" w:hAnsi="Times New Roman"/>
          <w:caps w:val="false"/>
          <w:smallCaps w:val="false"/>
          <w:sz w:val="20"/>
        </w:rPr>
        <w:t xml:space="preserve">” described in </w:t>
      </w:r>
      <w:r>
        <w:rPr>
          <w:rFonts w:ascii="Times New Roman" w:hAnsi="Times New Roman"/>
          <w:i/>
          <w:caps w:val="false"/>
          <w:smallCaps w:val="false"/>
          <w:sz w:val="20"/>
        </w:rPr>
        <w:t xml:space="preserve">Section 881(c)(3)(C) </w:t>
      </w:r>
      <w:r>
        <w:rPr>
          <w:rFonts w:ascii="Times New Roman" w:hAnsi="Times New Roman"/>
          <w:caps w:val="false"/>
          <w:smallCaps w:val="false"/>
          <w:sz w:val="20"/>
        </w:rPr>
        <w:t>of the Code (a “</w:t>
      </w:r>
      <w:r>
        <w:rPr>
          <w:rFonts w:ascii="Times New Roman" w:hAnsi="Times New Roman"/>
          <w:b/>
          <w:i/>
          <w:caps w:val="false"/>
          <w:smallCaps w:val="false"/>
          <w:sz w:val="20"/>
        </w:rPr>
        <w:t>U.S. Tax Compliance Certificate</w:t>
      </w:r>
      <w:r>
        <w:rPr>
          <w:rFonts w:ascii="Times New Roman" w:hAnsi="Times New Roman"/>
          <w:caps w:val="false"/>
          <w:smallCaps w:val="false"/>
          <w:sz w:val="20"/>
        </w:rPr>
        <w:t>”) and (y) executed copies of IRS Form W 8BEN-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0"/>
        <w:jc w:val="both"/>
        <w:rPr>
          <w:rFonts w:ascii="Times New Roman" w:hAnsi="Times New Roman"/>
          <w:caps w:val="false"/>
          <w:smallCaps w:val="false"/>
          <w:sz w:val="20"/>
        </w:rPr>
      </w:pPr>
      <w:r>
        <w:rPr>
          <w:rFonts w:ascii="Times New Roman" w:hAnsi="Times New Roman"/>
          <w:caps w:val="false"/>
          <w:smallCaps w:val="false"/>
          <w:sz w:val="20"/>
        </w:rPr>
        <w:t>E (or W-8BEN, as applicable);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(4)    to the extent a Foreign Lender is not the beneficial owner, executed copies of IRS Form W-8IMY, accompanied by IRS Form W-8ECI, IRS Form W-8BEN-E (or W-8BEN, as applicable), a U.S. Tax Compliance Certificate substantially in the form of </w:t>
      </w:r>
      <w:r>
        <w:rPr>
          <w:rFonts w:ascii="Times New Roman" w:hAnsi="Times New Roman"/>
          <w:b/>
          <w:i/>
          <w:caps w:val="false"/>
          <w:smallCaps w:val="false"/>
          <w:sz w:val="20"/>
        </w:rPr>
        <w:t xml:space="preserve">Exhibit 3.01-2 </w:t>
      </w:r>
      <w:r>
        <w:rPr>
          <w:rFonts w:ascii="Times New Roman" w:hAnsi="Times New Roman"/>
          <w:caps w:val="false"/>
          <w:smallCaps w:val="false"/>
          <w:sz w:val="20"/>
        </w:rPr>
        <w:t xml:space="preserve">or </w:t>
      </w:r>
      <w:r>
        <w:rPr>
          <w:rFonts w:ascii="Times New Roman" w:hAnsi="Times New Roman"/>
          <w:b/>
          <w:i/>
          <w:caps w:val="false"/>
          <w:smallCaps w:val="false"/>
          <w:sz w:val="20"/>
        </w:rPr>
        <w:t>Exhibit 3.01-3</w:t>
      </w:r>
      <w:r>
        <w:rPr>
          <w:rFonts w:ascii="Times New Roman" w:hAnsi="Times New Roman"/>
          <w:caps w:val="false"/>
          <w:smallCaps w:val="false"/>
          <w:sz w:val="20"/>
        </w:rPr>
        <w:t xml:space="preserve">, IRS Form W-9, and/or other certification documents from each beneficial owner, as applicable;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the Foreign Lender is a partnership and one (1) or more direct or indirect partners of such Foreign Lender are claiming the portfolio interest exemption, such Foreign Lender may provide a U.S. Tax Compliance Certificate substantially in the form of </w:t>
      </w:r>
      <w:r>
        <w:rPr>
          <w:rFonts w:ascii="Times New Roman" w:hAnsi="Times New Roman"/>
          <w:b/>
          <w:i/>
          <w:caps w:val="false"/>
          <w:smallCaps w:val="false"/>
          <w:sz w:val="20"/>
        </w:rPr>
        <w:t xml:space="preserve">Exhibit 3.01-4 </w:t>
      </w:r>
      <w:r>
        <w:rPr>
          <w:rFonts w:ascii="Times New Roman" w:hAnsi="Times New Roman"/>
          <w:caps w:val="false"/>
          <w:smallCaps w:val="false"/>
          <w:sz w:val="20"/>
        </w:rPr>
        <w:t>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if a payment made to a Lender under any Loan Document would be subject to U.S. federal withholding Tax imposed by FATCA if such Lender were to fail to comply with the applicable reporting requirements of FATCA (including those contained in </w:t>
      </w:r>
      <w:r>
        <w:rPr>
          <w:rFonts w:ascii="Times New Roman" w:hAnsi="Times New Roman"/>
          <w:i/>
          <w:caps w:val="false"/>
          <w:smallCaps w:val="false"/>
          <w:sz w:val="20"/>
        </w:rPr>
        <w:t xml:space="preserve">Section 1471(b) </w:t>
      </w:r>
      <w:r>
        <w:rPr>
          <w:rFonts w:ascii="Times New Roman" w:hAnsi="Times New Roman"/>
          <w:caps w:val="false"/>
          <w:smallCaps w:val="false"/>
          <w:sz w:val="20"/>
        </w:rPr>
        <w:t xml:space="preserve">or </w:t>
      </w:r>
      <w:r>
        <w:rPr>
          <w:rFonts w:ascii="Times New Roman" w:hAnsi="Times New Roman"/>
          <w:i/>
          <w:caps w:val="false"/>
          <w:smallCaps w:val="false"/>
          <w:sz w:val="20"/>
        </w:rPr>
        <w:t xml:space="preserve">1472(b) </w:t>
      </w:r>
      <w:r>
        <w:rPr>
          <w:rFonts w:ascii="Times New Roman" w:hAnsi="Times New Roman"/>
          <w:caps w:val="false"/>
          <w:smallCaps w:val="false"/>
          <w:sz w:val="20"/>
        </w:rPr>
        <w:t xml:space="preserve">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w:t>
      </w:r>
      <w:r>
        <w:rPr>
          <w:rFonts w:ascii="Times New Roman" w:hAnsi="Times New Roman"/>
          <w:i/>
          <w:caps w:val="false"/>
          <w:smallCaps w:val="false"/>
          <w:sz w:val="20"/>
        </w:rPr>
        <w:t xml:space="preserve">Section 1471(b)(3)(C)(i) </w:t>
      </w:r>
      <w:r>
        <w:rPr>
          <w:rFonts w:ascii="Times New Roman" w:hAnsi="Times New Roman"/>
          <w:caps w:val="false"/>
          <w:smallCaps w:val="false"/>
          <w:sz w:val="20"/>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hAnsi="Times New Roman"/>
          <w:b/>
          <w:i/>
          <w:caps w:val="false"/>
          <w:smallCaps w:val="false"/>
          <w:sz w:val="20"/>
        </w:rPr>
        <w:t>clause (f)(ii)(D)</w:t>
      </w:r>
      <w:r>
        <w:rPr>
          <w:rFonts w:ascii="Times New Roman" w:hAnsi="Times New Roman"/>
          <w:caps w:val="false"/>
          <w:smallCaps w:val="false"/>
          <w:sz w:val="20"/>
        </w:rPr>
        <w:t>, “</w:t>
      </w:r>
      <w:r>
        <w:rPr>
          <w:rFonts w:ascii="Times New Roman" w:hAnsi="Times New Roman"/>
          <w:i/>
          <w:caps w:val="false"/>
          <w:smallCaps w:val="false"/>
          <w:sz w:val="20"/>
        </w:rPr>
        <w:t>FATCA</w:t>
      </w:r>
      <w:r>
        <w:rPr>
          <w:rFonts w:ascii="Times New Roman" w:hAnsi="Times New Roman"/>
          <w:caps w:val="false"/>
          <w:smallCaps w:val="false"/>
          <w:sz w:val="20"/>
        </w:rPr>
        <w:t>”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Each Lender agrees that if any form or certification it previously delivered pursuant to this </w:t>
      </w:r>
      <w:r>
        <w:rPr>
          <w:rFonts w:ascii="Times New Roman" w:hAnsi="Times New Roman"/>
          <w:b/>
          <w:i/>
          <w:caps w:val="false"/>
          <w:smallCaps w:val="false"/>
          <w:sz w:val="20"/>
        </w:rPr>
        <w:t xml:space="preserve">Section 3.01 </w:t>
      </w:r>
      <w:r>
        <w:rPr>
          <w:rFonts w:ascii="Times New Roman" w:hAnsi="Times New Roman"/>
          <w:caps w:val="false"/>
          <w:smallCaps w:val="false"/>
          <w:sz w:val="20"/>
        </w:rPr>
        <w:t>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Treatment of Certain Refunds</w:t>
      </w:r>
      <w:r>
        <w:rPr>
          <w:rFonts w:ascii="Times New Roman" w:hAnsi="Times New Roman"/>
          <w:caps w:val="false"/>
          <w:smallCaps w:val="false"/>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hAnsi="Times New Roman"/>
          <w:b/>
          <w:i/>
          <w:caps w:val="false"/>
          <w:smallCaps w:val="false"/>
          <w:sz w:val="20"/>
        </w:rPr>
        <w:t>Section 3.01</w:t>
      </w:r>
      <w:r>
        <w:rPr>
          <w:rFonts w:ascii="Times New Roman" w:hAnsi="Times New Roman"/>
          <w:caps w:val="false"/>
          <w:smallCaps w:val="false"/>
          <w:sz w:val="20"/>
        </w:rPr>
        <w:t xml:space="preserve">, it shall pay to such Loan Party an amount equal to such refund (but only to the extent of indemnity payments made, or additional amounts paid, by such Loan Party under this </w:t>
      </w:r>
      <w:r>
        <w:rPr>
          <w:rFonts w:ascii="Times New Roman" w:hAnsi="Times New Roman"/>
          <w:b/>
          <w:i/>
          <w:caps w:val="false"/>
          <w:smallCaps w:val="false"/>
          <w:sz w:val="20"/>
        </w:rPr>
        <w:t xml:space="preserve">Section 3.01 </w:t>
      </w:r>
      <w:r>
        <w:rPr>
          <w:rFonts w:ascii="Times New Roman" w:hAnsi="Times New Roman"/>
          <w:caps w:val="false"/>
          <w:smallCaps w:val="false"/>
          <w:sz w:val="20"/>
        </w:rPr>
        <w:t xml:space="preserve">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hAnsi="Times New Roman"/>
          <w:b/>
          <w:i/>
          <w:caps w:val="false"/>
          <w:smallCaps w:val="false"/>
          <w:sz w:val="20"/>
        </w:rPr>
        <w:t>clause (g)</w:t>
      </w:r>
      <w:r>
        <w:rPr>
          <w:rFonts w:ascii="Times New Roman" w:hAnsi="Times New Roman"/>
          <w:caps w:val="false"/>
          <w:smallCaps w:val="false"/>
          <w:sz w:val="20"/>
        </w:rPr>
        <w:t xml:space="preserve">, in no event will the applicable Recipient be required to pay any amount to such Loan Party pursuant to this </w:t>
      </w:r>
      <w:r>
        <w:rPr>
          <w:rFonts w:ascii="Times New Roman" w:hAnsi="Times New Roman"/>
          <w:b/>
          <w:i/>
          <w:caps w:val="false"/>
          <w:smallCaps w:val="false"/>
          <w:sz w:val="20"/>
        </w:rPr>
        <w:t xml:space="preserve">clause (g) </w:t>
      </w:r>
      <w:r>
        <w:rPr>
          <w:rFonts w:ascii="Times New Roman" w:hAnsi="Times New Roman"/>
          <w:caps w:val="false"/>
          <w:smallCaps w:val="false"/>
          <w:sz w:val="20"/>
        </w:rPr>
        <w:t>the payment of which would place the Recipient in a less favorable net after-Tax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b/>
          <w:i/>
          <w:caps w:val="false"/>
          <w:smallCaps w:val="false"/>
          <w:sz w:val="20"/>
        </w:rPr>
        <w:t xml:space="preserve">clause (g) </w:t>
      </w:r>
      <w:r>
        <w:rPr>
          <w:rFonts w:ascii="Times New Roman" w:hAnsi="Times New Roman"/>
          <w:caps w:val="false"/>
          <w:smallCaps w:val="false"/>
          <w:sz w:val="20"/>
        </w:rPr>
        <w:t>shall not be construed to require any Recipient to make available its tax returns (or any other information relating to its Taxes that it deems confidential) to any Loan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Survival</w:t>
      </w:r>
      <w:r>
        <w:rPr>
          <w:rFonts w:ascii="Times New Roman" w:hAnsi="Times New Roman"/>
          <w:caps w:val="false"/>
          <w:smallCaps w:val="false"/>
          <w:sz w:val="20"/>
        </w:rPr>
        <w:t xml:space="preserve">. Each party’s obligations under this </w:t>
      </w:r>
      <w:r>
        <w:rPr>
          <w:rFonts w:ascii="Times New Roman" w:hAnsi="Times New Roman"/>
          <w:b/>
          <w:i/>
          <w:caps w:val="false"/>
          <w:smallCaps w:val="false"/>
          <w:sz w:val="20"/>
        </w:rPr>
        <w:t xml:space="preserve">Section 3.01 </w:t>
      </w:r>
      <w:r>
        <w:rPr>
          <w:rFonts w:ascii="Times New Roman" w:hAnsi="Times New Roman"/>
          <w:caps w:val="false"/>
          <w:smallCaps w:val="false"/>
          <w:sz w:val="20"/>
        </w:rPr>
        <w:t>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3.02    </w:t>
      </w:r>
      <w:r>
        <w:rPr>
          <w:rFonts w:ascii="Times New Roman" w:hAnsi="Times New Roman"/>
          <w:b/>
          <w:caps w:val="false"/>
          <w:smallCaps w:val="false"/>
          <w:sz w:val="20"/>
        </w:rPr>
        <w:t>Illegality</w:t>
      </w:r>
      <w:r>
        <w:rPr>
          <w:rFonts w:ascii="Times New Roman" w:hAnsi="Times New Roman"/>
          <w:caps w:val="false"/>
          <w:smallCaps w:val="false"/>
          <w:sz w:val="20"/>
        </w:rPr>
        <w:t xml:space="preserve">. If any Lender determines that any Law has made it unlawful, or that any Governmental Authority has asserted that it is unlawful, for any Lender or its Lending Office to make, maintain or fund or charge interest with respect to any Credit Extension, or to determine or charge interest rates based upon SOFR or Term SOFR, then, upon notice thereof by such Lender to the Borrower (through the Administrative Agent), (i) any obligation of such Lender to make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(B)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hAnsi="Times New Roman"/>
          <w:b/>
          <w:i/>
          <w:caps w:val="false"/>
          <w:smallCaps w:val="false"/>
          <w:sz w:val="20"/>
        </w:rPr>
        <w:t>Section 3.05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60"/>
        <w:gridCol w:w="380"/>
        <w:gridCol w:w="24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3.03</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Inability to Determine Rates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If in connection with any request for a Term SOFR Loan or a conversion to or continuation thereof, as applicable, (i) the Administrative Agent determines (which determination shall be conclusive absent manifest error) that (A) no Successor Rate has been determined in accordance with </w:t>
      </w:r>
      <w:r>
        <w:rPr>
          <w:rFonts w:ascii="Times New Roman" w:hAnsi="Times New Roman"/>
          <w:b/>
          <w:i/>
          <w:caps w:val="false"/>
          <w:smallCaps w:val="false"/>
          <w:sz w:val="20"/>
        </w:rPr>
        <w:t>Section 3.03(b)</w:t>
      </w:r>
      <w:r>
        <w:rPr>
          <w:rFonts w:ascii="Times New Roman" w:hAnsi="Times New Roman"/>
          <w:caps w:val="false"/>
          <w:smallCaps w:val="false"/>
          <w:sz w:val="20"/>
        </w:rPr>
        <w:t xml:space="preserve">, and the circumstances under </w:t>
      </w:r>
      <w:r>
        <w:rPr>
          <w:rFonts w:ascii="Times New Roman" w:hAnsi="Times New Roman"/>
          <w:b/>
          <w:i/>
          <w:caps w:val="false"/>
          <w:smallCaps w:val="false"/>
          <w:sz w:val="20"/>
        </w:rPr>
        <w:t xml:space="preserve">clause (i) </w:t>
      </w:r>
      <w:r>
        <w:rPr>
          <w:rFonts w:ascii="Times New Roman" w:hAnsi="Times New Roman"/>
          <w:caps w:val="false"/>
          <w:smallCaps w:val="false"/>
          <w:sz w:val="20"/>
        </w:rPr>
        <w:t xml:space="preserve">of </w:t>
      </w:r>
      <w:r>
        <w:rPr>
          <w:rFonts w:ascii="Times New Roman" w:hAnsi="Times New Roman"/>
          <w:b/>
          <w:i/>
          <w:caps w:val="false"/>
          <w:smallCaps w:val="false"/>
          <w:sz w:val="20"/>
        </w:rPr>
        <w:t xml:space="preserve">Section 3.03(b) </w:t>
      </w:r>
      <w:r>
        <w:rPr>
          <w:rFonts w:ascii="Times New Roman" w:hAnsi="Times New Roman"/>
          <w:caps w:val="false"/>
          <w:smallCaps w:val="false"/>
          <w:sz w:val="20"/>
        </w:rPr>
        <w:t>or the Scheduled Unavailability Date has occurred (as applicable) or (B) adequate and reasonable means do not otherwise exist for determining Term SOFR for any requested Interest Period with respect to a proposed Term SOFR Loan or in connection with an existing or proposed Base Rate Loan or</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(ii) the Administrative Agent or the Required Lenders determine that for any reason that the Term SOFR for any requested Interest Period with respect to a proposed Term SOFR Loan does not adequately and fairly reflect the cost to such Lenders of funding such Loan, the Administrative Agent will promptly so notify the Borrower and each Lender. Thereafter, (x) the obligation of the Lenders to make or maintain Term SOFR Loans or to convert Base Rate Loans to Term SOFR Loans shall be suspended (to the extent of the affected Term SOFR Loans or Interest Periods),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hAnsi="Times New Roman"/>
          <w:b/>
          <w:i/>
          <w:caps w:val="false"/>
          <w:smallCaps w:val="false"/>
          <w:sz w:val="20"/>
        </w:rPr>
        <w:t xml:space="preserve">clause (ii)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3.03(a)</w:t>
      </w:r>
      <w:r>
        <w:rPr>
          <w:rFonts w:ascii="Times New Roman" w:hAnsi="Times New Roman"/>
          <w:caps w:val="false"/>
          <w:smallCaps w:val="false"/>
          <w:sz w:val="20"/>
        </w:rPr>
        <w:t>, until the Administrative Agent upon instruction of the Required Lenders) revokes such notice. Upon receipt of such notice, (i) the Borrower may revoke any pending request for a Borrowing of,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at the end of their respective applicable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adequate and reasonable means do not exist for ascertaining one (1) month, three month and six (6)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(1) month, three month and six (6)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(1) month, three month and six (6) month interest periods of Term SOFR or the Term SOFR Screen Rate are no longer available permanently or indefinitely, the “</w:t>
      </w:r>
      <w:r>
        <w:rPr>
          <w:rFonts w:ascii="Times New Roman" w:hAnsi="Times New Roman"/>
          <w:b/>
          <w:i/>
          <w:caps w:val="false"/>
          <w:smallCaps w:val="false"/>
          <w:sz w:val="20"/>
        </w:rPr>
        <w:t>Scheduled Unavailability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then, on a date and time determined by the Administrative Agent (any such date, the “</w:t>
      </w:r>
      <w:r>
        <w:rPr>
          <w:rFonts w:ascii="Times New Roman" w:hAnsi="Times New Roman"/>
          <w:b/>
          <w:i/>
          <w:caps w:val="false"/>
          <w:smallCaps w:val="false"/>
          <w:sz w:val="20"/>
        </w:rPr>
        <w:t>Term SOFR Replacement Date</w:t>
      </w:r>
      <w:r>
        <w:rPr>
          <w:rFonts w:ascii="Times New Roman" w:hAnsi="Times New Roman"/>
          <w:caps w:val="false"/>
          <w:smallCaps w:val="false"/>
          <w:sz w:val="20"/>
        </w:rPr>
        <w:t xml:space="preserve">”), which date shall be at the end of an Interest Period or on the relevant interest payment date, as applicable, for interest calculated and, solely with respect to </w:t>
      </w:r>
      <w:r>
        <w:rPr>
          <w:rFonts w:ascii="Times New Roman" w:hAnsi="Times New Roman"/>
          <w:b/>
          <w:i/>
          <w:caps w:val="false"/>
          <w:smallCaps w:val="false"/>
          <w:sz w:val="20"/>
        </w:rPr>
        <w:t xml:space="preserve">clause (ii) </w:t>
      </w:r>
      <w:r>
        <w:rPr>
          <w:rFonts w:ascii="Times New Roman" w:hAnsi="Times New Roman"/>
          <w:caps w:val="false"/>
          <w:smallCaps w:val="false"/>
          <w:sz w:val="20"/>
        </w:rPr>
        <w:t xml:space="preserve">above, no later than the Scheduled Unavailability Date, Term SOFR will be replaced hereunder and under any Loan Document with Daily Simple SOFR </w:t>
      </w:r>
      <w:r>
        <w:rPr>
          <w:rFonts w:ascii="Times New Roman" w:hAnsi="Times New Roman"/>
          <w:i/>
          <w:caps w:val="false"/>
          <w:smallCaps w:val="false"/>
          <w:sz w:val="20"/>
        </w:rPr>
        <w:t xml:space="preserve">plus </w:t>
      </w:r>
      <w:r>
        <w:rPr>
          <w:rFonts w:ascii="Times New Roman" w:hAnsi="Times New Roman"/>
          <w:caps w:val="false"/>
          <w:smallCaps w:val="false"/>
          <w:sz w:val="20"/>
        </w:rPr>
        <w:t>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b/>
          <w:i/>
          <w:caps w:val="false"/>
          <w:smallCaps w:val="false"/>
          <w:sz w:val="20"/>
        </w:rPr>
        <w:t>Successor Rate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the Successor Rate is Daily Simple SOFR </w:t>
      </w:r>
      <w:r>
        <w:rPr>
          <w:rFonts w:ascii="Times New Roman" w:hAnsi="Times New Roman"/>
          <w:i/>
          <w:caps w:val="false"/>
          <w:smallCaps w:val="false"/>
          <w:sz w:val="20"/>
        </w:rPr>
        <w:t xml:space="preserve">plus </w:t>
      </w:r>
      <w:r>
        <w:rPr>
          <w:rFonts w:ascii="Times New Roman" w:hAnsi="Times New Roman"/>
          <w:caps w:val="false"/>
          <w:smallCaps w:val="false"/>
          <w:sz w:val="20"/>
        </w:rPr>
        <w:t>the SOFR Adjustment, all interest payments will be payable on a monthly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b/>
          <w:i/>
          <w:caps w:val="false"/>
          <w:smallCaps w:val="false"/>
          <w:sz w:val="20"/>
        </w:rPr>
        <w:t xml:space="preserve">Section 3.03(b)(i)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(ii) </w:t>
      </w:r>
      <w:r>
        <w:rPr>
          <w:rFonts w:ascii="Times New Roman" w:hAnsi="Times New Roman"/>
          <w:caps w:val="false"/>
          <w:smallCaps w:val="false"/>
          <w:sz w:val="20"/>
        </w:rPr>
        <w:t>have occurred with respect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Successor Rate then in effect, then in each case, the Administrative Agent and the Borrower may amend this Agreement solely for the purpose of replacing Term SOFR or any then current Successor Rate in accordance with this </w:t>
      </w:r>
      <w:r>
        <w:rPr>
          <w:rFonts w:ascii="Times New Roman" w:hAnsi="Times New Roman"/>
          <w:b/>
          <w:i/>
          <w:caps w:val="false"/>
          <w:smallCaps w:val="false"/>
          <w:sz w:val="20"/>
        </w:rPr>
        <w:t xml:space="preserve">Section 3.03 </w:t>
      </w:r>
      <w:r>
        <w:rPr>
          <w:rFonts w:ascii="Times New Roman" w:hAnsi="Times New Roman"/>
          <w:caps w:val="false"/>
          <w:smallCaps w:val="false"/>
          <w:sz w:val="20"/>
        </w:rPr>
        <w:t>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hAnsi="Times New Roman"/>
          <w:i/>
          <w:caps w:val="false"/>
          <w:smallCaps w:val="false"/>
          <w:sz w:val="20"/>
        </w:rPr>
        <w:t>Successor Rate</w:t>
      </w:r>
      <w:r>
        <w:rPr>
          <w:rFonts w:ascii="Times New Roman" w:hAnsi="Times New Roman"/>
          <w:caps w:val="false"/>
          <w:smallCaps w:val="false"/>
          <w:sz w:val="20"/>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Administrative Agent will promptly (in one (1) or more notices) notify the Borrower and each Lender of the implementation of any Successor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Any Successor Rate shall be applied in a manner consistent with market practice; </w:t>
      </w:r>
      <w:r>
        <w:rPr>
          <w:rFonts w:ascii="Times New Roman" w:hAnsi="Times New Roman"/>
          <w:i/>
          <w:caps w:val="false"/>
          <w:smallCaps w:val="false"/>
          <w:sz w:val="20"/>
        </w:rPr>
        <w:t xml:space="preserve">provided </w:t>
      </w:r>
      <w:r>
        <w:rPr>
          <w:rFonts w:ascii="Times New Roman" w:hAnsi="Times New Roman"/>
          <w:caps w:val="false"/>
          <w:smallCaps w:val="false"/>
          <w:sz w:val="20"/>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else herein, if at any time any Successor Rate as so determined would otherwise be less than 0%, the Successor Rate will be deemed to be 0%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i/>
          <w:caps w:val="false"/>
          <w:smallCaps w:val="false"/>
          <w:sz w:val="20"/>
        </w:rPr>
        <w:t xml:space="preserve">provided </w:t>
      </w:r>
      <w:r>
        <w:rPr>
          <w:rFonts w:ascii="Times New Roman" w:hAnsi="Times New Roman"/>
          <w:caps w:val="false"/>
          <w:smallCaps w:val="false"/>
          <w:sz w:val="20"/>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purposes of this </w:t>
      </w:r>
      <w:r>
        <w:rPr>
          <w:rFonts w:ascii="Times New Roman" w:hAnsi="Times New Roman"/>
          <w:b/>
          <w:i/>
          <w:caps w:val="false"/>
          <w:smallCaps w:val="false"/>
          <w:sz w:val="20"/>
        </w:rPr>
        <w:t>Section 3.03</w:t>
      </w:r>
      <w:r>
        <w:rPr>
          <w:rFonts w:ascii="Times New Roman" w:hAnsi="Times New Roman"/>
          <w:caps w:val="false"/>
          <w:smallCaps w:val="false"/>
          <w:sz w:val="20"/>
        </w:rPr>
        <w:t>,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60"/>
        <w:gridCol w:w="380"/>
        <w:gridCol w:w="13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3.04</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Increased Costs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230"/>
        <w:gridCol w:w="45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Increased Costs Generally</w:t>
            </w:r>
            <w:r>
              <w:rPr>
                <w:rFonts w:ascii="Times New Roman" w:hAnsi="Times New Roman"/>
                <w:caps w:val="false"/>
                <w:smallCaps w:val="false"/>
                <w:sz w:val="20"/>
              </w:rPr>
              <w:t>. If any Change in Law shall: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 or the L/C Issuer;</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260"/>
        <w:gridCol w:w="570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5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any Recipient to any Taxes (other than (A) Indemnified Taxes,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275"/>
        <w:gridCol w:w="66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Taxes described in </w:t>
            </w:r>
            <w:r>
              <w:rPr>
                <w:rFonts w:ascii="Times New Roman" w:hAnsi="Times New Roman"/>
                <w:b/>
                <w:i/>
                <w:caps w:val="false"/>
                <w:smallCaps w:val="false"/>
                <w:sz w:val="20"/>
              </w:rPr>
              <w:t xml:space="preserve">clauses (b) </w:t>
            </w:r>
            <w:r>
              <w:rPr>
                <w:rFonts w:ascii="Times New Roman" w:hAnsi="Times New Roman"/>
                <w:caps w:val="false"/>
                <w:smallCaps w:val="false"/>
                <w:sz w:val="20"/>
              </w:rPr>
              <w:t xml:space="preserve">through </w:t>
            </w:r>
            <w:r>
              <w:rPr>
                <w:rFonts w:ascii="Times New Roman" w:hAnsi="Times New Roman"/>
                <w:b/>
                <w:i/>
                <w:caps w:val="false"/>
                <w:smallCaps w:val="false"/>
                <w:sz w:val="20"/>
              </w:rPr>
              <w:t xml:space="preserve">(d) </w:t>
            </w:r>
            <w:r>
              <w:rPr>
                <w:rFonts w:ascii="Times New Roman" w:hAnsi="Times New Roman"/>
                <w:caps w:val="false"/>
                <w:smallCaps w:val="false"/>
                <w:sz w:val="20"/>
              </w:rPr>
              <w:t>of the definition of Excluded Taxes and</w:t>
            </w:r>
          </w:p>
        </w:tc>
      </w:tr>
    </w:tbl>
    <w:tbl>
      <w:tblPr>
        <w:tblW w:w="7285" w:type="dxa"/>
        <w:jc w:val="left"/>
        <w:tblInd w:w="0" w:type="dxa"/>
        <w:tblLayout w:type="fixed"/>
        <w:tblCellMar>
          <w:top w:w="0" w:type="dxa"/>
          <w:left w:w="0" w:type="dxa"/>
          <w:bottom w:w="0" w:type="dxa"/>
          <w:right w:w="0" w:type="dxa"/>
        </w:tblCellMar>
      </w:tblPr>
      <w:tblGrid>
        <w:gridCol w:w="60"/>
        <w:gridCol w:w="275"/>
        <w:gridCol w:w="69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6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Connection Income Taxes) on its loans, loan principal, letters of credit, 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impose on any Lender or the L/C Issuer any other condition, cost or expense affecting this Agreement or Term SOFR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Capital Requirements</w:t>
      </w:r>
      <w:r>
        <w:rPr>
          <w:rFonts w:ascii="Times New Roman" w:hAnsi="Times New Roman"/>
          <w:caps w:val="false"/>
          <w:smallCaps w:val="false"/>
          <w:sz w:val="20"/>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Certificates for Reimbursement</w:t>
      </w:r>
      <w:r>
        <w:rPr>
          <w:rFonts w:ascii="Times New Roman" w:hAnsi="Times New Roman"/>
          <w:caps w:val="false"/>
          <w:smallCaps w:val="false"/>
          <w:sz w:val="20"/>
        </w:rPr>
        <w:t xml:space="preserve">. A certificate of a Lender or the L/C Issuer setting forth the amount or amounts necessary to compensate such Lender or the L/C Issuer or its holding company, as the case may be, as specified in </w:t>
      </w:r>
      <w:r>
        <w:rPr>
          <w:rFonts w:ascii="Times New Roman" w:hAnsi="Times New Roman"/>
          <w:b/>
          <w:i/>
          <w:caps w:val="false"/>
          <w:smallCaps w:val="false"/>
          <w:sz w:val="20"/>
        </w:rPr>
        <w:t xml:space="preserve">clause (a)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3.04 </w:t>
      </w:r>
      <w:r>
        <w:rPr>
          <w:rFonts w:ascii="Times New Roman" w:hAnsi="Times New Roman"/>
          <w:caps w:val="false"/>
          <w:smallCaps w:val="false"/>
          <w:sz w:val="20"/>
        </w:rPr>
        <w:t>and delivered to the Borrower shall be conclusive absent manifest error. The Borrower shall pay such Lender or the L/C Issuer, as the case may be,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Delay in Requests</w:t>
      </w:r>
      <w:r>
        <w:rPr>
          <w:rFonts w:ascii="Times New Roman" w:hAnsi="Times New Roman"/>
          <w:caps w:val="false"/>
          <w:smallCaps w:val="false"/>
          <w:sz w:val="20"/>
        </w:rPr>
        <w:t xml:space="preserve">. Failure or delay on the part of any Lender or the L/C Issuer to demand compensation pursuant to the foregoing provisions of this </w:t>
      </w:r>
      <w:r>
        <w:rPr>
          <w:rFonts w:ascii="Times New Roman" w:hAnsi="Times New Roman"/>
          <w:b/>
          <w:i/>
          <w:caps w:val="false"/>
          <w:smallCaps w:val="false"/>
          <w:sz w:val="20"/>
        </w:rPr>
        <w:t xml:space="preserve">Section 3.04 </w:t>
      </w:r>
      <w:r>
        <w:rPr>
          <w:rFonts w:ascii="Times New Roman" w:hAnsi="Times New Roman"/>
          <w:caps w:val="false"/>
          <w:smallCaps w:val="false"/>
          <w:sz w:val="20"/>
        </w:rPr>
        <w:t xml:space="preserve">shall not constitute a waiver of such Lender’s or the L/C Issuer’s right to demand such compensation, provided that the Borrower shall not be required to compensate a Lender or the L/C Issuer pursuant to the foregoing provisions of this </w:t>
      </w:r>
      <w:r>
        <w:rPr>
          <w:rFonts w:ascii="Times New Roman" w:hAnsi="Times New Roman"/>
          <w:b/>
          <w:i/>
          <w:caps w:val="false"/>
          <w:smallCaps w:val="false"/>
          <w:sz w:val="20"/>
        </w:rPr>
        <w:t xml:space="preserve">Section 3.04 </w:t>
      </w:r>
      <w:r>
        <w:rPr>
          <w:rFonts w:ascii="Times New Roman" w:hAnsi="Times New Roman"/>
          <w:caps w:val="false"/>
          <w:smallCaps w:val="false"/>
          <w:sz w:val="20"/>
        </w:rPr>
        <w:t>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3.05    </w:t>
      </w:r>
      <w:r>
        <w:rPr>
          <w:rFonts w:ascii="Times New Roman" w:hAnsi="Times New Roman"/>
          <w:b/>
          <w:caps w:val="false"/>
          <w:smallCaps w:val="false"/>
          <w:sz w:val="20"/>
        </w:rPr>
        <w:t>Compensation for Losses</w:t>
      </w:r>
      <w:r>
        <w:rPr>
          <w:rFonts w:ascii="Times New Roman" w:hAnsi="Times New Roman"/>
          <w:caps w:val="false"/>
          <w:smallCaps w:val="false"/>
          <w:sz w:val="20"/>
        </w:rPr>
        <w:t>. 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any assignment of a Term SOFR Loan on a day other than the last day of the Interest Period therefor as a result of a request by the Borrower pursuant to </w:t>
      </w:r>
      <w:r>
        <w:rPr>
          <w:rFonts w:ascii="Times New Roman" w:hAnsi="Times New Roman"/>
          <w:b/>
          <w:i/>
          <w:caps w:val="false"/>
          <w:smallCaps w:val="false"/>
          <w:sz w:val="20"/>
        </w:rPr>
        <w:t>Section 11.13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380"/>
        <w:gridCol w:w="41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3.06</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Mitigation Obligations; Replacement of Lenders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Designation of a Different Lending Office</w:t>
      </w:r>
      <w:r>
        <w:rPr>
          <w:rFonts w:ascii="Times New Roman" w:hAnsi="Times New Roman"/>
          <w:caps w:val="false"/>
          <w:smallCaps w:val="false"/>
          <w:sz w:val="20"/>
        </w:rPr>
        <w:t xml:space="preserve">. If any Lender requests compensation under </w:t>
      </w:r>
      <w:r>
        <w:rPr>
          <w:rFonts w:ascii="Times New Roman" w:hAnsi="Times New Roman"/>
          <w:b/>
          <w:i/>
          <w:caps w:val="false"/>
          <w:smallCaps w:val="false"/>
          <w:sz w:val="20"/>
        </w:rPr>
        <w:t>Section 3.04</w:t>
      </w:r>
      <w:r>
        <w:rPr>
          <w:rFonts w:ascii="Times New Roman" w:hAnsi="Times New Roman"/>
          <w:caps w:val="false"/>
          <w:smallCaps w:val="false"/>
          <w:sz w:val="20"/>
        </w:rPr>
        <w:t xml:space="preserve">, or requires the Borrower to pay any Indemnified Taxes or additional amounts to any Lender, the L/C Issuer, or any Governmental Authority for the account of any Lender or the L/C Issuer pursuant to </w:t>
      </w:r>
      <w:r>
        <w:rPr>
          <w:rFonts w:ascii="Times New Roman" w:hAnsi="Times New Roman"/>
          <w:b/>
          <w:i/>
          <w:caps w:val="false"/>
          <w:smallCaps w:val="false"/>
          <w:sz w:val="20"/>
        </w:rPr>
        <w:t>Section 3.01</w:t>
      </w:r>
      <w:r>
        <w:rPr>
          <w:rFonts w:ascii="Times New Roman" w:hAnsi="Times New Roman"/>
          <w:caps w:val="false"/>
          <w:smallCaps w:val="false"/>
          <w:sz w:val="20"/>
        </w:rPr>
        <w:t xml:space="preserve">, or if any Lender gives a notice pursuant to </w:t>
      </w:r>
      <w:r>
        <w:rPr>
          <w:rFonts w:ascii="Times New Roman" w:hAnsi="Times New Roman"/>
          <w:b/>
          <w:i/>
          <w:caps w:val="false"/>
          <w:smallCaps w:val="false"/>
          <w:sz w:val="20"/>
        </w:rPr>
        <w:t>Section 3.02</w:t>
      </w:r>
      <w:r>
        <w:rPr>
          <w:rFonts w:ascii="Times New Roman" w:hAnsi="Times New Roman"/>
          <w:caps w:val="false"/>
          <w:smallCaps w:val="false"/>
          <w:sz w:val="20"/>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hAnsi="Times New Roman"/>
          <w:b/>
          <w:i/>
          <w:caps w:val="false"/>
          <w:smallCaps w:val="false"/>
          <w:sz w:val="20"/>
        </w:rPr>
        <w:t xml:space="preserve">Section 3.01 </w:t>
      </w:r>
      <w:r>
        <w:rPr>
          <w:rFonts w:ascii="Times New Roman" w:hAnsi="Times New Roman"/>
          <w:caps w:val="false"/>
          <w:smallCaps w:val="false"/>
          <w:sz w:val="20"/>
        </w:rPr>
        <w:t xml:space="preserve">or </w:t>
      </w:r>
      <w:r>
        <w:rPr>
          <w:rFonts w:ascii="Times New Roman" w:hAnsi="Times New Roman"/>
          <w:b/>
          <w:i/>
          <w:caps w:val="false"/>
          <w:smallCaps w:val="false"/>
          <w:sz w:val="20"/>
        </w:rPr>
        <w:t>3.04</w:t>
      </w:r>
      <w:r>
        <w:rPr>
          <w:rFonts w:ascii="Times New Roman" w:hAnsi="Times New Roman"/>
          <w:caps w:val="false"/>
          <w:smallCaps w:val="false"/>
          <w:sz w:val="20"/>
        </w:rPr>
        <w:t xml:space="preserve">, as the case may be, in the future, or eliminate the need for the notice pursuant to </w:t>
      </w:r>
      <w:r>
        <w:rPr>
          <w:rFonts w:ascii="Times New Roman" w:hAnsi="Times New Roman"/>
          <w:b/>
          <w:i/>
          <w:caps w:val="false"/>
          <w:smallCaps w:val="false"/>
          <w:sz w:val="20"/>
        </w:rPr>
        <w:t>Section 3.02</w:t>
      </w:r>
      <w:r>
        <w:rPr>
          <w:rFonts w:ascii="Times New Roman" w:hAnsi="Times New Roman"/>
          <w:caps w:val="false"/>
          <w:smallCaps w:val="false"/>
          <w:sz w:val="20"/>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Replacement of Lenders</w:t>
      </w:r>
      <w:r>
        <w:rPr>
          <w:rFonts w:ascii="Times New Roman" w:hAnsi="Times New Roman"/>
          <w:caps w:val="false"/>
          <w:smallCaps w:val="false"/>
          <w:sz w:val="20"/>
        </w:rPr>
        <w:t xml:space="preserve">. If any Lender requests compensation under </w:t>
      </w:r>
      <w:r>
        <w:rPr>
          <w:rFonts w:ascii="Times New Roman" w:hAnsi="Times New Roman"/>
          <w:b/>
          <w:i/>
          <w:caps w:val="false"/>
          <w:smallCaps w:val="false"/>
          <w:sz w:val="20"/>
        </w:rPr>
        <w:t>Section 3.04</w:t>
      </w:r>
      <w:r>
        <w:rPr>
          <w:rFonts w:ascii="Times New Roman" w:hAnsi="Times New Roman"/>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 w:hAnsi="Times New Roman"/>
          <w:b/>
          <w:i/>
          <w:caps w:val="false"/>
          <w:smallCaps w:val="false"/>
          <w:sz w:val="20"/>
        </w:rPr>
        <w:t xml:space="preserve">Section 3.01 </w:t>
      </w:r>
      <w:r>
        <w:rPr>
          <w:rFonts w:ascii="Times New Roman" w:hAnsi="Times New Roman"/>
          <w:caps w:val="false"/>
          <w:smallCaps w:val="false"/>
          <w:sz w:val="20"/>
        </w:rPr>
        <w:t xml:space="preserve">and, in each case, such Lender has declined or is unable to designate a different lending office in accordance with </w:t>
      </w:r>
      <w:r>
        <w:rPr>
          <w:rFonts w:ascii="Times New Roman" w:hAnsi="Times New Roman"/>
          <w:b/>
          <w:i/>
          <w:caps w:val="false"/>
          <w:smallCaps w:val="false"/>
          <w:sz w:val="20"/>
        </w:rPr>
        <w:t>Section 3.06(a)</w:t>
      </w:r>
      <w:r>
        <w:rPr>
          <w:rFonts w:ascii="Times New Roman" w:hAnsi="Times New Roman"/>
          <w:caps w:val="false"/>
          <w:smallCaps w:val="false"/>
          <w:sz w:val="20"/>
        </w:rPr>
        <w:t xml:space="preserve">, the Borrower may replace such Lender in accordance with </w:t>
      </w:r>
      <w:r>
        <w:rPr>
          <w:rFonts w:ascii="Times New Roman" w:hAnsi="Times New Roman"/>
          <w:b/>
          <w:i/>
          <w:caps w:val="false"/>
          <w:smallCaps w:val="false"/>
          <w:sz w:val="20"/>
        </w:rPr>
        <w:t>Section 11.13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3.07    </w:t>
      </w:r>
      <w:r>
        <w:rPr>
          <w:rFonts w:ascii="Times New Roman" w:hAnsi="Times New Roman"/>
          <w:b/>
          <w:caps w:val="false"/>
          <w:smallCaps w:val="false"/>
          <w:sz w:val="20"/>
        </w:rPr>
        <w:t>Survival</w:t>
      </w:r>
      <w:r>
        <w:rPr>
          <w:rFonts w:ascii="Times New Roman" w:hAnsi="Times New Roman"/>
          <w:caps w:val="false"/>
          <w:smallCaps w:val="false"/>
          <w:sz w:val="20"/>
        </w:rPr>
        <w:t xml:space="preserve">. All of the Loan Parties’ obligations under this </w:t>
      </w:r>
      <w:r>
        <w:rPr>
          <w:rFonts w:ascii="Times New Roman" w:hAnsi="Times New Roman"/>
          <w:b/>
          <w:i/>
          <w:caps w:val="false"/>
          <w:smallCaps w:val="false"/>
          <w:sz w:val="20"/>
        </w:rPr>
        <w:t xml:space="preserve">Article III </w:t>
      </w:r>
      <w:r>
        <w:rPr>
          <w:rFonts w:ascii="Times New Roman" w:hAnsi="Times New Roman"/>
          <w:caps w:val="false"/>
          <w:smallCaps w:val="false"/>
          <w:sz w:val="20"/>
        </w:rPr>
        <w:t>shall survive termination of the Commitments, repayment of all other Obligations hereunder, resignation of the Administrative Agent and the Facility Termination Date.</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260"/>
        <w:gridCol w:w="495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4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CONDITIONS PRECEDENT TO CREDIT EXTENSIONS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4.01    </w:t>
      </w:r>
      <w:r>
        <w:rPr>
          <w:rFonts w:ascii="Times New Roman" w:hAnsi="Times New Roman"/>
          <w:b/>
          <w:caps w:val="false"/>
          <w:smallCaps w:val="false"/>
          <w:sz w:val="20"/>
        </w:rPr>
        <w:t>Conditions of Initial Credit Extension</w:t>
      </w:r>
      <w:r>
        <w:rPr>
          <w:rFonts w:ascii="Times New Roman" w:hAnsi="Times New Roman"/>
          <w:caps w:val="false"/>
          <w:smallCaps w:val="false"/>
          <w:sz w:val="20"/>
        </w:rPr>
        <w:t>. The obligation of the L/C Issuer and each Lender to make its initial Credit Extension hereunder is subject to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Execution of Loan Documents</w:t>
      </w:r>
      <w:r>
        <w:rPr>
          <w:rFonts w:ascii="Times New Roman" w:hAnsi="Times New Roman"/>
          <w:caps w:val="false"/>
          <w:smallCaps w:val="false"/>
          <w:sz w:val="20"/>
        </w:rPr>
        <w:t>. The Administrative Agent shall have received counterparts of this Agreement and the other Loan Documents, each properly executed by a Responsible Officer of the signing Loan Party and, in the case of this Agreement, by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Organization Documents, Resolutions, Etc</w:t>
      </w:r>
      <w:r>
        <w:rPr>
          <w:rFonts w:ascii="Times New Roman" w:hAnsi="Times New Roman"/>
          <w:caps w:val="false"/>
          <w:smallCaps w:val="false"/>
          <w:sz w:val="20"/>
        </w:rPr>
        <w:t>. The Administrative Agent shall have received a certificate of a Responsible Officer of the Borrower and each Loan Party, dated the Closing Date, certifying as to the Organization Documents of the Borrower and such Loan Party (which, to the extent filed with a Governmental Authority, shall be certified as of a recent date acceptable to the Administrative Agent by such Governmental Authority), the resolutions of the governing body of the Borrower and such Loan Party and of the incumbency (including specimen signatures) of the Responsible Officers of such Loan Party. The Administrative Agent shall also have received such documents and certifications as the Administrative Agent may reasonably require to evidence that the Borrower and each Loan Party is duly organized or formed, and is validly existing, in good standing and qualified to engage in business in its state of organization or 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Opinions of Counsel</w:t>
      </w:r>
      <w:r>
        <w:rPr>
          <w:rFonts w:ascii="Times New Roman" w:hAnsi="Times New Roman"/>
          <w:caps w:val="false"/>
          <w:smallCaps w:val="false"/>
          <w:sz w:val="20"/>
        </w:rPr>
        <w:t>. The Administrative Agent shall have received an opinion or opinions (including, if requested by the Administrative Agent, local counsel opinions) of counsel for the Borrower and the Loan Parties, dated the Closing Date and addressed to the Administrative Agent and the Lenders, in form and substance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Financial Statements</w:t>
      </w:r>
      <w:r>
        <w:rPr>
          <w:rFonts w:ascii="Times New Roman" w:hAnsi="Times New Roman"/>
          <w:caps w:val="false"/>
          <w:smallCaps w:val="false"/>
          <w:sz w:val="20"/>
        </w:rPr>
        <w:t xml:space="preserve">. The Administrative Agent and the Lenders shall have received copies of the financial statements referred to in </w:t>
      </w:r>
      <w:r>
        <w:rPr>
          <w:rFonts w:ascii="Times New Roman" w:hAnsi="Times New Roman"/>
          <w:b/>
          <w:i/>
          <w:caps w:val="false"/>
          <w:smallCaps w:val="false"/>
          <w:sz w:val="20"/>
        </w:rPr>
        <w:t>Section 5.05</w:t>
      </w:r>
      <w:r>
        <w:rPr>
          <w:rFonts w:ascii="Times New Roman" w:hAnsi="Times New Roman"/>
          <w:caps w:val="false"/>
          <w:smallCaps w:val="false"/>
          <w:sz w:val="20"/>
        </w:rPr>
        <w:t>, each in form and substance satisfactory to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Personal Property Collateral</w:t>
      </w:r>
      <w:r>
        <w:rPr>
          <w:rFonts w:ascii="Times New Roman" w:hAnsi="Times New Roman"/>
          <w:caps w:val="false"/>
          <w:smallCaps w:val="false"/>
          <w:sz w:val="20"/>
        </w:rPr>
        <w:t>. The Administrative Agent shall have received,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completed UCC financing statements for each appropriate jurisdiction as is necessary, in the Administrative Agent’s sole discretion, to perfect the Administrative Agent’s security interest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reasonable discretion under the Law of the jurisdiction of organization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in the case of any personal property Collateral located at premises leased by a Loan Party and set forth on </w:t>
      </w:r>
      <w:r>
        <w:rPr>
          <w:rFonts w:ascii="Times New Roman" w:hAnsi="Times New Roman"/>
          <w:b/>
          <w:i/>
          <w:caps w:val="false"/>
          <w:smallCaps w:val="false"/>
          <w:sz w:val="20"/>
        </w:rPr>
        <w:t>Schedule 5.20(c)</w:t>
      </w:r>
      <w:r>
        <w:rPr>
          <w:rFonts w:ascii="Times New Roman" w:hAnsi="Times New Roman"/>
          <w:caps w:val="false"/>
          <w:smallCaps w:val="false"/>
          <w:sz w:val="20"/>
        </w:rPr>
        <w:t xml:space="preserve">, such estoppel letters, consents and waivers from the landlords of such real property to the extent required to be delivered in connection with </w:t>
      </w:r>
      <w:r>
        <w:rPr>
          <w:rFonts w:ascii="Times New Roman" w:hAnsi="Times New Roman"/>
          <w:b/>
          <w:i/>
          <w:caps w:val="false"/>
          <w:smallCaps w:val="false"/>
          <w:sz w:val="20"/>
        </w:rPr>
        <w:t xml:space="preserve">Section 6.14 </w:t>
      </w:r>
      <w:r>
        <w:rPr>
          <w:rFonts w:ascii="Times New Roman" w:hAnsi="Times New Roman"/>
          <w:caps w:val="false"/>
          <w:smallCaps w:val="false"/>
          <w:sz w:val="20"/>
        </w:rPr>
        <w:t>(such letters, consents and waivers shall be in form and substance satisfactory to the Administrative Agent, it being acknowledged and agreed that any landlord waiver is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    duly executed notices of grant of security interest in the form required by the Security Agreement as are necessary, in the Administrative Agent’s sole discretion, to perfect the Administrative Agent’s security interest in the United States registered Intellectual Property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Evidence of Insurance</w:t>
      </w:r>
      <w:r>
        <w:rPr>
          <w:rFonts w:ascii="Times New Roman" w:hAnsi="Times New Roman"/>
          <w:caps w:val="false"/>
          <w:smallCaps w:val="false"/>
          <w:sz w:val="20"/>
        </w:rPr>
        <w:t>. The Administrative Agent shall have received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Perfection Certificate</w:t>
      </w:r>
      <w:r>
        <w:rPr>
          <w:rFonts w:ascii="Times New Roman" w:hAnsi="Times New Roman"/>
          <w:caps w:val="false"/>
          <w:smallCaps w:val="false"/>
          <w:sz w:val="20"/>
        </w:rPr>
        <w:t>. The Administrative Agent shall have received a customary perfection certificate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Solvency Certificate</w:t>
      </w:r>
      <w:r>
        <w:rPr>
          <w:rFonts w:ascii="Times New Roman" w:hAnsi="Times New Roman"/>
          <w:caps w:val="false"/>
          <w:smallCaps w:val="false"/>
          <w:sz w:val="20"/>
        </w:rPr>
        <w:t>. The Administrative Agent shall have received a Solvency Certificate signed by a Responsible Officer of the Borrower as to the financial condition, solvency and related matters of the Loan Parties and their Subsidiaries, after giving effect to the initial Borrowings under the Loan Documents and the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Liquidity</w:t>
      </w:r>
      <w:r>
        <w:rPr>
          <w:rFonts w:ascii="Times New Roman" w:hAnsi="Times New Roman"/>
          <w:caps w:val="false"/>
          <w:smallCaps w:val="false"/>
          <w:sz w:val="20"/>
        </w:rPr>
        <w:t>. The Administrative Agent shall be satisfied that the amount of committed financing available to the Loan Parties shall be sufficient to meet the ongoing financial needs of the Loan Parties and their Subsidiaries, after giving effect to the transactions contemplated hereby and the incurrence of Indebtedness by the Borrower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Financial Condition Certificate</w:t>
      </w:r>
      <w:r>
        <w:rPr>
          <w:rFonts w:ascii="Times New Roman" w:hAnsi="Times New Roman"/>
          <w:caps w:val="false"/>
          <w:smallCaps w:val="false"/>
          <w:sz w:val="20"/>
        </w:rPr>
        <w:t xml:space="preserve">. The Administrative Agent shall have received a certificate or certificates executed by a Responsible Officer of the Borrower as of the Closing Date, as to certain financial matters (including without limitation evidence that the Consolidated Leverage Ratio is less than 4.00:1.00 on a Pro Forma Basis after giving effect to the transactions on the Closing Date), substantially in the form of </w:t>
      </w:r>
      <w:r>
        <w:rPr>
          <w:rFonts w:ascii="Times New Roman" w:hAnsi="Times New Roman"/>
          <w:b/>
          <w:i/>
          <w:caps w:val="false"/>
          <w:smallCaps w:val="false"/>
          <w:sz w:val="20"/>
        </w:rPr>
        <w:t>Exhibit 4.01(j)</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Material Contracts</w:t>
      </w:r>
      <w:r>
        <w:rPr>
          <w:rFonts w:ascii="Times New Roman" w:hAnsi="Times New Roman"/>
          <w:caps w:val="false"/>
          <w:smallCaps w:val="false"/>
          <w:sz w:val="20"/>
        </w:rPr>
        <w:t>. The Administrative Agent shall have received true and complete copies, certified by an officer of the Borrower as true and complete, of all Material Contracts, together with all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rPr>
        <w:t>Closing Certificate</w:t>
      </w:r>
      <w:r>
        <w:rPr>
          <w:rFonts w:ascii="Times New Roman" w:hAnsi="Times New Roman"/>
          <w:caps w:val="false"/>
          <w:smallCaps w:val="false"/>
          <w:sz w:val="20"/>
        </w:rPr>
        <w:t xml:space="preserve">. The Administrative Agent shall have received a certificate substantially in the form of </w:t>
      </w:r>
      <w:r>
        <w:rPr>
          <w:rFonts w:ascii="Times New Roman" w:hAnsi="Times New Roman"/>
          <w:b/>
          <w:i/>
          <w:caps w:val="false"/>
          <w:smallCaps w:val="false"/>
          <w:sz w:val="20"/>
        </w:rPr>
        <w:t xml:space="preserve">Exhibit 4.01(j) </w:t>
      </w:r>
      <w:r>
        <w:rPr>
          <w:rFonts w:ascii="Times New Roman" w:hAnsi="Times New Roman"/>
          <w:caps w:val="false"/>
          <w:smallCaps w:val="false"/>
          <w:sz w:val="20"/>
        </w:rPr>
        <w:t xml:space="preserve">signed by a Responsible Officer of the Borrower certifying that the conditions specified in </w:t>
      </w:r>
      <w:r>
        <w:rPr>
          <w:rFonts w:ascii="Times New Roman" w:hAnsi="Times New Roman"/>
          <w:b/>
          <w:i/>
          <w:caps w:val="false"/>
          <w:smallCaps w:val="false"/>
          <w:sz w:val="20"/>
        </w:rPr>
        <w:t xml:space="preserve">Sections 4.02(a)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4.02(b) </w:t>
      </w:r>
      <w:r>
        <w:rPr>
          <w:rFonts w:ascii="Times New Roman" w:hAnsi="Times New Roman"/>
          <w:caps w:val="false"/>
          <w:smallCaps w:val="false"/>
          <w:sz w:val="20"/>
        </w:rPr>
        <w:t>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rPr>
        <w:t>Existing Indebtedness of the Loan Parties</w:t>
      </w:r>
      <w:r>
        <w:rPr>
          <w:rFonts w:ascii="Times New Roman" w:hAnsi="Times New Roman"/>
          <w:caps w:val="false"/>
          <w:smallCaps w:val="false"/>
          <w:sz w:val="20"/>
        </w:rPr>
        <w:t xml:space="preserve">. All of the existing Indebtedness for borrowed money of the Loan Party Group Companies (other than Indebtedness permitted to exist pursuant to </w:t>
      </w:r>
      <w:r>
        <w:rPr>
          <w:rFonts w:ascii="Times New Roman" w:hAnsi="Times New Roman"/>
          <w:b/>
          <w:i/>
          <w:caps w:val="false"/>
          <w:smallCaps w:val="false"/>
          <w:sz w:val="20"/>
        </w:rPr>
        <w:t>Section 7.02</w:t>
      </w:r>
      <w:r>
        <w:rPr>
          <w:rFonts w:ascii="Times New Roman" w:hAnsi="Times New Roman"/>
          <w:caps w:val="false"/>
          <w:smallCaps w:val="false"/>
          <w:sz w:val="20"/>
        </w:rPr>
        <w:t>) shall be repaid in full and all security interests related thereto shall be terminated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rPr>
        <w:t>Consents</w:t>
      </w:r>
      <w:r>
        <w:rPr>
          <w:rFonts w:ascii="Times New Roman" w:hAnsi="Times New Roman"/>
          <w:caps w:val="false"/>
          <w:smallCaps w:val="false"/>
          <w:sz w:val="20"/>
        </w:rPr>
        <w:t>. The Administrative Agent shall have received evidence that all members, boards of directors, governmental, shareholder and material third party consents and approvals necessary in connection with the entering into of this Agreement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rPr>
        <w:t>Anti-Money-Laundering; Beneficial Ownership</w:t>
      </w:r>
      <w:r>
        <w:rPr>
          <w:rFonts w:ascii="Times New Roman" w:hAnsi="Times New Roman"/>
          <w:caps w:val="false"/>
          <w:smallCaps w:val="false"/>
          <w:sz w:val="20"/>
        </w:rPr>
        <w:t>. Upon the reasonable request of any Lender, the Borrower shall have provided to such Lender, and such Lender shall be reasonably satisfied with, the documentation and other information so requested in connection with applicable “</w:t>
      </w:r>
      <w:r>
        <w:rPr>
          <w:rFonts w:ascii="Times New Roman" w:hAnsi="Times New Roman"/>
          <w:i/>
          <w:caps w:val="false"/>
          <w:smallCaps w:val="false"/>
          <w:sz w:val="20"/>
        </w:rPr>
        <w:t>know your customer</w:t>
      </w:r>
      <w:r>
        <w:rPr>
          <w:rFonts w:ascii="Times New Roman" w:hAnsi="Times New Roman"/>
          <w:caps w:val="false"/>
          <w:smallCaps w:val="false"/>
          <w:sz w:val="20"/>
        </w:rPr>
        <w:t>” and anti-money-laundering rules and regulations, including, without limitation, the Patriot Act, and any Loan Party that qualifies as a “</w:t>
      </w:r>
      <w:r>
        <w:rPr>
          <w:rFonts w:ascii="Times New Roman" w:hAnsi="Times New Roman"/>
          <w:i/>
          <w:caps w:val="false"/>
          <w:smallCaps w:val="false"/>
          <w:sz w:val="20"/>
        </w:rPr>
        <w:t>legal entity customer</w:t>
      </w:r>
      <w:r>
        <w:rPr>
          <w:rFonts w:ascii="Times New Roman" w:hAnsi="Times New Roman"/>
          <w:caps w:val="false"/>
          <w:smallCaps w:val="false"/>
          <w:sz w:val="20"/>
        </w:rPr>
        <w:t>” under the Beneficial Ownership Regulation shall have delivered to each Lender that so requests, a Beneficial Ownership Certification in relation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rPr>
        <w:t>Fees and Expenses</w:t>
      </w:r>
      <w:r>
        <w:rPr>
          <w:rFonts w:ascii="Times New Roman" w:hAnsi="Times New Roman"/>
          <w:caps w:val="false"/>
          <w:smallCaps w:val="false"/>
          <w:sz w:val="20"/>
        </w:rPr>
        <w:t xml:space="preserve">. The Administrative Agent and the Lenders shall have received all fees and expenses, if any, owing pursuant to the Fee Letter and </w:t>
      </w:r>
      <w:r>
        <w:rPr>
          <w:rFonts w:ascii="Times New Roman" w:hAnsi="Times New Roman"/>
          <w:b/>
          <w:i/>
          <w:caps w:val="false"/>
          <w:smallCaps w:val="false"/>
          <w:sz w:val="20"/>
        </w:rPr>
        <w:t>Section 2.09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b/>
          <w:caps w:val="false"/>
          <w:smallCaps w:val="false"/>
          <w:sz w:val="20"/>
        </w:rPr>
        <w:t>Other Documents</w:t>
      </w:r>
      <w:r>
        <w:rPr>
          <w:rFonts w:ascii="Times New Roman" w:hAnsi="Times New Roman"/>
          <w:caps w:val="false"/>
          <w:smallCaps w:val="false"/>
          <w:sz w:val="20"/>
        </w:rPr>
        <w:t>. All other documents provided for herein or which the Administrative Agent or any other Lender may reasonably request or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w:t>
      </w:r>
      <w:r>
        <w:rPr>
          <w:rFonts w:ascii="Times New Roman" w:hAnsi="Times New Roman"/>
          <w:b/>
          <w:i/>
          <w:caps w:val="false"/>
          <w:smallCaps w:val="false"/>
          <w:sz w:val="20"/>
        </w:rPr>
        <w:t>Section 9.03(c)</w:t>
      </w:r>
      <w:r>
        <w:rPr>
          <w:rFonts w:ascii="Times New Roman" w:hAnsi="Times New Roman"/>
          <w:caps w:val="false"/>
          <w:smallCaps w:val="false"/>
          <w:sz w:val="20"/>
        </w:rPr>
        <w:t xml:space="preserve">, for purposes of determining compliance with the conditions specified in this </w:t>
      </w:r>
      <w:r>
        <w:rPr>
          <w:rFonts w:ascii="Times New Roman" w:hAnsi="Times New Roman"/>
          <w:b/>
          <w:i/>
          <w:caps w:val="false"/>
          <w:smallCaps w:val="false"/>
          <w:sz w:val="20"/>
        </w:rPr>
        <w:t>Section 4.01</w:t>
      </w:r>
      <w:r>
        <w:rPr>
          <w:rFonts w:ascii="Times New Roman" w:hAnsi="Times New Roman"/>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4.02    </w:t>
      </w:r>
      <w:r>
        <w:rPr>
          <w:rFonts w:ascii="Times New Roman" w:hAnsi="Times New Roman"/>
          <w:b/>
          <w:caps w:val="false"/>
          <w:smallCaps w:val="false"/>
          <w:sz w:val="20"/>
        </w:rPr>
        <w:t>Conditions to all Credit Extensions</w:t>
      </w:r>
      <w:r>
        <w:rPr>
          <w:rFonts w:ascii="Times New Roman" w:hAnsi="Times New Roman"/>
          <w:caps w:val="false"/>
          <w:smallCaps w:val="false"/>
          <w:sz w:val="20"/>
        </w:rPr>
        <w:t>. The obligation of each Lender and the L/C Issuer to honor any Request for Credit Extension (other than a Loan Notice requesting only a conversion of Loans to the other Type, or a continuation of Term SOFR Loans) is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Representations and Warranties</w:t>
      </w:r>
      <w:r>
        <w:rPr>
          <w:rFonts w:ascii="Times New Roman" w:hAnsi="Times New Roman"/>
          <w:caps w:val="false"/>
          <w:smallCaps w:val="false"/>
          <w:sz w:val="20"/>
        </w:rPr>
        <w:t>. The representations and warranties of each Loan Party contained in any other Loan Document or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Default</w:t>
      </w:r>
      <w:r>
        <w:rPr>
          <w:rFonts w:ascii="Times New Roman" w:hAnsi="Times New Roman"/>
          <w:caps w:val="false"/>
          <w:smallCaps w:val="false"/>
          <w:sz w:val="20"/>
        </w:rPr>
        <w:t>. No Default shall exist, or would result from such proposed Credit Extension or from the application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Request for Credit Extension</w:t>
      </w:r>
      <w:r>
        <w:rPr>
          <w:rFonts w:ascii="Times New Roman" w:hAnsi="Times New Roman"/>
          <w:caps w:val="false"/>
          <w:smallCaps w:val="false"/>
          <w:sz w:val="20"/>
        </w:rPr>
        <w:t>. The Administrative Agent and, if applicable, the L/C Issuer or the Swingline Lender shall have received a Request for Credit Extension in accordance with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hAnsi="Times New Roman"/>
          <w:b/>
          <w:i/>
          <w:caps w:val="false"/>
          <w:smallCaps w:val="false"/>
          <w:sz w:val="20"/>
        </w:rPr>
        <w:t xml:space="preserve">Sections 4.02(a)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have been satisfied on and as of the date of the applicable Credit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4.03    </w:t>
      </w:r>
      <w:r>
        <w:rPr>
          <w:rFonts w:ascii="Times New Roman" w:hAnsi="Times New Roman"/>
          <w:b/>
          <w:caps w:val="false"/>
          <w:smallCaps w:val="false"/>
          <w:sz w:val="20"/>
        </w:rPr>
        <w:t>Conditions to all Delayed Draw Term Loan Borrowings</w:t>
      </w:r>
      <w:r>
        <w:rPr>
          <w:rFonts w:ascii="Times New Roman" w:hAnsi="Times New Roman"/>
          <w:caps w:val="false"/>
          <w:smallCaps w:val="false"/>
          <w:sz w:val="20"/>
        </w:rPr>
        <w:t>. The obligation of each Lender to honor any Request for Credit Extension of a Delayed Draw Term Loan is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Representations and Warranties</w:t>
      </w:r>
      <w:r>
        <w:rPr>
          <w:rFonts w:ascii="Times New Roman" w:hAnsi="Times New Roman"/>
          <w:caps w:val="false"/>
          <w:smallCaps w:val="false"/>
          <w:sz w:val="20"/>
        </w:rPr>
        <w:t>. The representations and warranties of each Loan Party contained in any other Loan Document or any document furnished at any time under or in connection herewith or therewith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Default</w:t>
      </w:r>
      <w:r>
        <w:rPr>
          <w:rFonts w:ascii="Times New Roman" w:hAnsi="Times New Roman"/>
          <w:caps w:val="false"/>
          <w:smallCaps w:val="false"/>
          <w:sz w:val="20"/>
        </w:rPr>
        <w:t>. No Default shall exist, or would result from such proposed Credit Extension or from the application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Request for Credit Extension</w:t>
      </w:r>
      <w:r>
        <w:rPr>
          <w:rFonts w:ascii="Times New Roman" w:hAnsi="Times New Roman"/>
          <w:caps w:val="false"/>
          <w:smallCaps w:val="false"/>
          <w:sz w:val="20"/>
        </w:rPr>
        <w:t>. The Administrative Agent shall have received a Request for Credit Extension in accordance with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Leverage Ratio</w:t>
      </w:r>
      <w:r>
        <w:rPr>
          <w:rFonts w:ascii="Times New Roman" w:hAnsi="Times New Roman"/>
          <w:caps w:val="false"/>
          <w:smallCaps w:val="false"/>
          <w:sz w:val="20"/>
        </w:rPr>
        <w:t xml:space="preserve">. The Consolidated Leverage Ratio, calculated on a Pro Forma Basis (including, for the avoidance of doubt, the amount of any Consolidated Funded Indebtedness incurred or assumed in connection with any Acquisition using the proceeds of such Delayed Draw Term Loan), shall be less than 3.75:1.00, and the Borrower shall have delivered to the Administrative Agent a </w:t>
      </w:r>
      <w:r>
        <w:rPr>
          <w:rFonts w:ascii="Times New Roman" w:hAnsi="Times New Roman"/>
          <w:i/>
          <w:caps w:val="false"/>
          <w:smallCaps w:val="false"/>
          <w:sz w:val="20"/>
        </w:rPr>
        <w:t xml:space="preserve">pro forma </w:t>
      </w:r>
      <w:r>
        <w:rPr>
          <w:rFonts w:ascii="Times New Roman" w:hAnsi="Times New Roman"/>
          <w:caps w:val="false"/>
          <w:smallCaps w:val="false"/>
          <w:sz w:val="20"/>
        </w:rPr>
        <w:t>Compliance Certificate signed by a Responsible Officer certifying to the foregoing at least five (5) days prior to the date of such Borrowing (or such later date as agreed in writing by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Request for Credit Extension submitted by the Borrower shall be deemed to be a representation and warranty that the conditions specified in </w:t>
      </w:r>
      <w:r>
        <w:rPr>
          <w:rFonts w:ascii="Times New Roman" w:hAnsi="Times New Roman"/>
          <w:b/>
          <w:i/>
          <w:caps w:val="false"/>
          <w:smallCaps w:val="false"/>
          <w:sz w:val="20"/>
        </w:rPr>
        <w:t>Sections 4.02(a)</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(c) </w:t>
      </w:r>
      <w:r>
        <w:rPr>
          <w:rFonts w:ascii="Times New Roman" w:hAnsi="Times New Roman"/>
          <w:caps w:val="false"/>
          <w:smallCaps w:val="false"/>
          <w:sz w:val="20"/>
        </w:rPr>
        <w:t>have been satisfied on and as of the date of the applicable Credit Extension.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REPRESENTATIONS AND WARRANTIES</w:t>
            </w:r>
            <w:r>
              <w:rPr>
                <w:rFonts w:ascii="Times New Roman" w:hAnsi="Times New Roman"/>
                <w:caps w:val="false"/>
                <w:smallCaps w:val="false"/>
                <w:sz w:val="20"/>
              </w:rPr>
              <w:t>. Each Loan Party represents and warrants to the Administrative Agent and the Lenders, as of the date made or deemed made, that: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5.01    </w:t>
      </w:r>
      <w:r>
        <w:rPr>
          <w:rFonts w:ascii="Times New Roman" w:hAnsi="Times New Roman"/>
          <w:b/>
          <w:caps w:val="false"/>
          <w:smallCaps w:val="false"/>
          <w:sz w:val="20"/>
        </w:rPr>
        <w:t>Existence, Qualification and Power</w:t>
      </w:r>
      <w:r>
        <w:rPr>
          <w:rFonts w:ascii="Times New Roman" w:hAnsi="Times New Roman"/>
          <w:caps w:val="false"/>
          <w:smallCaps w:val="false"/>
          <w:sz w:val="20"/>
        </w:rPr>
        <w:t>. Each Loan Party and each of their respective Subsidiaries (a) is duly organized, validly existing and in good standing as a corporation, partnership or limited liability company under the Laws of the jurisdiction of its organization, (b) has all requisite power and authority to carry on its business as now conducted, and (c) is duly qualified to do business, and is in good standing, in each jurisdiction where such qualification is required, except where a failure to be so qualified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5.02    </w:t>
      </w:r>
      <w:r>
        <w:rPr>
          <w:rFonts w:ascii="Times New Roman" w:hAnsi="Times New Roman"/>
          <w:b/>
          <w:caps w:val="false"/>
          <w:smallCaps w:val="false"/>
          <w:sz w:val="20"/>
        </w:rPr>
        <w:t>Authorization; No Contravention</w:t>
      </w:r>
      <w:r>
        <w:rPr>
          <w:rFonts w:ascii="Times New Roman" w:hAnsi="Times New Roman"/>
          <w:caps w:val="false"/>
          <w:smallCaps w:val="false"/>
          <w:sz w:val="20"/>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each Loan Party, and constitutes, and each other Loan Document to which any Loan Party is party, when executed and delivered by such Loan Party, will constitute a legal, valid and binding obligation of each Loan Party, enforceable against such Loan Party party thereto, in accordance with their respective terms, except as may be limited by applicable bankruptcy, insolvency, reorganization, moratorium, or similar laws affecting the enforcement of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5.03    </w:t>
      </w:r>
      <w:r>
        <w:rPr>
          <w:rFonts w:ascii="Times New Roman" w:hAnsi="Times New Roman"/>
          <w:b/>
          <w:caps w:val="false"/>
          <w:smallCaps w:val="false"/>
          <w:sz w:val="20"/>
        </w:rPr>
        <w:t>Governmental Authorization; Other Consents</w:t>
      </w:r>
      <w:r>
        <w:rPr>
          <w:rFonts w:ascii="Times New Roman" w:hAnsi="Times New Roman"/>
          <w:caps w:val="false"/>
          <w:smallCaps w:val="false"/>
          <w:sz w:val="20"/>
        </w:rPr>
        <w:t>. The execution, delivery and performance by each Loan Party of this Agreement, and by each Loan Party of the other Loan Documents to which it is a party (a) do not and will not require any material consent or approval of, material registration or filing with, material notice to, or any material action by, any Governmental Authority, except (i) those as have been obtained or made and are in full force and effect and (ii) filings necessary to perfect and maintain the perfection of the Liens created by the Collateral Documents, (b) do not and will not violate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Organization Documents of any Loan Party, (c) do not and will not violate any material Law applicable to any Loan Party Group Company or any material judgment, order, decree or ruling of any Governmental Authority in any material respect, (d) do not and will not violate, conflict with, result in a breach or constitute (with due notice or lapse or time or both) a default under any indenture, agreement or other instrument binding on any Loan Party Group Company or any of its assets or give rise to a right thereunder to require any payment to be made by any Loan Party Group Company, except to the extent such violation, conflict, breach, default, or payment could not reasonably be expected to have a Material Adverse Effect,</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    do not and will not result in the creation or imposition of any Lien on any asset or properties of any Loan Party Group Company, except Liens (if any) created under the Loan Documents, and (f) do not and will not require any approval or consent of any Person under any material contractual obligation of any Loan Party Group Company, except for such approvals or consents which will be obtained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5.04    </w:t>
      </w:r>
      <w:r>
        <w:rPr>
          <w:rFonts w:ascii="Times New Roman" w:hAnsi="Times New Roman"/>
          <w:b/>
          <w:caps w:val="false"/>
          <w:smallCaps w:val="false"/>
          <w:sz w:val="20"/>
        </w:rPr>
        <w:t>Binding Effect</w:t>
      </w:r>
      <w:r>
        <w:rPr>
          <w:rFonts w:ascii="Times New Roman" w:hAnsi="Times New Roman"/>
          <w:caps w:val="false"/>
          <w:smallCaps w:val="false"/>
          <w:sz w:val="20"/>
        </w:rPr>
        <w:t>. Each Loan Document, when delivered hereunder, will have been, duly executed and delivered by each Loan Party that is party thereto. Each Loan Document when so delivered will constitute, a legal, valid and binding obligation of such Loan Party, enforceable against each Loan Party that is party thereto in accordance with its terms, subject to applicable Debtor Relief Laws and subject to general principals of equity.</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380"/>
        <w:gridCol w:w="42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5.05</w:t>
            </w:r>
          </w:p>
        </w:tc>
        <w:tc>
          <w:tcPr>
            <w:tcW w:w="4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Statements; No Material Adverse Effect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230"/>
        <w:gridCol w:w="65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Borrower has furnished to each Lender (a) the Specified Financial Statements and</w:t>
            </w:r>
          </w:p>
        </w:tc>
      </w:tr>
    </w:tbl>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    the Interim Financial Statements. Such financial statements fairly present in all material respects the consolidated financial condition of the Borrower as of such dates and the consolidated results of operations for such periods in conformity with GAAP consistently applied, subject to year-end audit adjustments and the absence of footnotes in the case of the statements referred to in </w:t>
      </w:r>
      <w:r>
        <w:rPr>
          <w:rFonts w:ascii="Times New Roman" w:hAnsi="Times New Roman"/>
          <w:b/>
          <w:i/>
          <w:caps w:val="false"/>
          <w:smallCaps w:val="false"/>
          <w:sz w:val="20"/>
        </w:rPr>
        <w:t>clause (b)</w:t>
      </w:r>
      <w:r>
        <w:rPr>
          <w:rFonts w:ascii="Times New Roman" w:hAnsi="Times New Roman"/>
          <w:caps w:val="false"/>
          <w:smallCaps w:val="false"/>
          <w:sz w:val="20"/>
        </w:rPr>
        <w:t xml:space="preserve">. The financial statements delivered pursuant to </w:t>
      </w:r>
      <w:r>
        <w:rPr>
          <w:rFonts w:ascii="Times New Roman" w:hAnsi="Times New Roman"/>
          <w:b/>
          <w:i/>
          <w:caps w:val="false"/>
          <w:smallCaps w:val="false"/>
          <w:sz w:val="20"/>
        </w:rPr>
        <w:t xml:space="preserve">Section 6.01(a)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have been prepared in accordance with GAAP and present fairly in all material respects (on the basis disclosed in the footnotes to such financial statements) the consolidated financial condition, results of operations and cash flows of Borrower and its Subsidiaries, as of the dates thereof and for the periods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(b) Since May 31, 2022, there has been no event or circumstance, either individually or in the aggregate, that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
        <w:gridCol w:w="380"/>
        <w:gridCol w:w="33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5.06</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Litigation and Environmental Matters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No litigation, investigation or proceeding of or before any arbitrators or Governmental Authorities is pending against or, to the knowledge of any Responsible Officer of the Loan Parties, threatened in writing against or affecting any Loan Party Group Company (i) as to which there is a reasonable possibility of an adverse determination that could reasonably be expected to have, either individually or in the aggregate, a Material Adverse Effect or (ii) which in any manner draws into question the validity or enforceability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No Loan Party Group Company (i) has failed to comply with any Environmental Law or to obtain, maintain or comply with any permit, license or other approval required under any Environmental Law, (ii) has become subject to any Environmental Liability, has received notice of any claim with respect to any Environmental Liability or (iv) knows of any basis for any Environmental Liability, in each case, except as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5.07    </w:t>
      </w:r>
      <w:r>
        <w:rPr>
          <w:rFonts w:ascii="Times New Roman" w:hAnsi="Times New Roman"/>
          <w:b/>
          <w:caps w:val="false"/>
          <w:smallCaps w:val="false"/>
          <w:sz w:val="20"/>
        </w:rPr>
        <w:t>No Default</w:t>
      </w:r>
      <w:r>
        <w:rPr>
          <w:rFonts w:ascii="Times New Roman" w:hAnsi="Times New Roman"/>
          <w:caps w:val="false"/>
          <w:smallCaps w:val="false"/>
          <w:sz w:val="20"/>
        </w:rPr>
        <w:t>. 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380"/>
        <w:gridCol w:w="29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5.08</w:t>
            </w:r>
          </w:p>
        </w:tc>
        <w:tc>
          <w:tcPr>
            <w:tcW w:w="2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Ownership of Property/Insurance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Each Loan Party and each Subsidiary has good title to, or valid leasehold interests in, all of its real and personal property material to the operation of its business, including all such properties reflected in the Specified Financial Statements or the most recent audited consolidated balance sheet of the Loan Party Group Companies delivered pursuant to </w:t>
      </w:r>
      <w:r>
        <w:rPr>
          <w:rFonts w:ascii="Times New Roman" w:hAnsi="Times New Roman"/>
          <w:b/>
          <w:i/>
          <w:caps w:val="false"/>
          <w:smallCaps w:val="false"/>
          <w:sz w:val="20"/>
        </w:rPr>
        <w:t xml:space="preserve">Section 6.01(a) </w:t>
      </w:r>
      <w:r>
        <w:rPr>
          <w:rFonts w:ascii="Times New Roman" w:hAnsi="Times New Roman"/>
          <w:caps w:val="false"/>
          <w:smallCaps w:val="false"/>
          <w:sz w:val="20"/>
        </w:rPr>
        <w:t>or purported to have been acquired by any Loan Party Group Company after said date (except as sold or otherwise disposed of in the ordinary course of business), in each case free and clear of Liens not permitted by this Agreement. All leases that are material to the business or operations of the Loan Party Group Companies are valid and subsisting and are in full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Each Loan Party and each Subsidiary owns, or is licensed, or otherwise has the right, to use, all IP Rights material to its business;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foregoing representation and warranty in this </w:t>
      </w:r>
      <w:r>
        <w:rPr>
          <w:rFonts w:ascii="Times New Roman" w:hAnsi="Times New Roman"/>
          <w:b/>
          <w:i/>
          <w:caps w:val="false"/>
          <w:smallCaps w:val="false"/>
          <w:sz w:val="20"/>
        </w:rPr>
        <w:t xml:space="preserve">Section 5.08(b) </w:t>
      </w:r>
      <w:r>
        <w:rPr>
          <w:rFonts w:ascii="Times New Roman" w:hAnsi="Times New Roman"/>
          <w:caps w:val="false"/>
          <w:smallCaps w:val="false"/>
          <w:sz w:val="20"/>
        </w:rPr>
        <w:t>shall not constitute or be deemed or construed as any representation or warranty with respect to infringement, misappropriation, dilution or violation of any intellectual property rights (which is addressed in the following sentence). To the knowledge of a Responsible Officer of any Loan Party, the use of the IP Rights owned, licensed or otherwise used by any Loan Party Group Company does not infringe in any material respect on the intellectual property rights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The properties of each Loan Party and each Subsidiary are insured with financially sound and reputable insurance companies which are not Affiliates of Borrower, in such amounts with such deductibles and covering such risks as are customarily carried by companies engaged in similar businesses and owning similar properties in localities where such Person operates. The property and general liability insurance coverage of the Loan Parties as in effect on the Closing Date is outlined as to carrier, policy number, expiration date, type, amount and deductibles on </w:t>
      </w:r>
      <w:r>
        <w:rPr>
          <w:rFonts w:ascii="Times New Roman" w:hAnsi="Times New Roman"/>
          <w:b/>
          <w:i/>
          <w:caps w:val="false"/>
          <w:smallCaps w:val="false"/>
          <w:sz w:val="20"/>
        </w:rPr>
        <w:t>Schedule 5.08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5.09    </w:t>
      </w:r>
      <w:r>
        <w:rPr>
          <w:rFonts w:ascii="Times New Roman" w:hAnsi="Times New Roman"/>
          <w:b/>
          <w:caps w:val="false"/>
          <w:smallCaps w:val="false"/>
          <w:sz w:val="20"/>
        </w:rPr>
        <w:t>Labor Matters</w:t>
      </w:r>
      <w:r>
        <w:rPr>
          <w:rFonts w:ascii="Times New Roman" w:hAnsi="Times New Roman"/>
          <w:caps w:val="false"/>
          <w:smallCaps w:val="false"/>
          <w:sz w:val="20"/>
        </w:rPr>
        <w:t>. There are no strikes, lockouts or other material labor disputes or grievances against any Loan Party or any Subsidiary, or, to the knowledge of a Responsible Officer of any Loan Party, threatened in writing against or involving any Loan Party or any Subsidiary, and no significant unfair labor practice charges are pending against any Loan Party or any Subsidiary, or to the knowledge of a Responsible Officer of any Loan Party, threatened against any of them before any Governmental Authority, except, in each case, for those that could not reasonably be expected to have a Material Adverse Effect. All payments due from the Loan Parties or any Subsidiary pursuant to the provisions of any collective bargaining agreement have been paid or accrued as a liability on the books of such Loan Party or such Subsidiary, except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5.10    </w:t>
      </w:r>
      <w:r>
        <w:rPr>
          <w:rFonts w:ascii="Times New Roman" w:hAnsi="Times New Roman"/>
          <w:b/>
          <w:caps w:val="false"/>
          <w:smallCaps w:val="false"/>
          <w:sz w:val="20"/>
        </w:rPr>
        <w:t>Responsible Officers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 xml:space="preserve">Schedule 5.10 </w:t>
      </w:r>
      <w:r>
        <w:rPr>
          <w:rFonts w:ascii="Times New Roman" w:hAnsi="Times New Roman"/>
          <w:caps w:val="false"/>
          <w:smallCaps w:val="false"/>
          <w:sz w:val="20"/>
        </w:rPr>
        <w:t>are Responsible Officers, holding the offices indicated next to their respective names, as of the Closing Date and such Responsible Officers are the duly elected and qualified officers of such Loan Party and are duly authorized to execute and deliver, on behalf of the respective Loan Party, this Agreement, the Notes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5.11    </w:t>
      </w:r>
      <w:r>
        <w:rPr>
          <w:rFonts w:ascii="Times New Roman" w:hAnsi="Times New Roman"/>
          <w:b/>
          <w:caps w:val="false"/>
          <w:smallCaps w:val="false"/>
          <w:sz w:val="20"/>
        </w:rPr>
        <w:t>Taxes</w:t>
      </w:r>
      <w:r>
        <w:rPr>
          <w:rFonts w:ascii="Times New Roman" w:hAnsi="Times New Roman"/>
          <w:caps w:val="false"/>
          <w:smallCaps w:val="false"/>
          <w:sz w:val="20"/>
        </w:rPr>
        <w:t>. The Loan Party Group Companies have timely filed or caused to be filed all federal, state and other material tax returns required to be filed by them, and have paid all federal, state and other material taxes and assessments made with respect to Taxes against it or its property by any Governmental Authority, except where the same are currently being contested in good faith by appropriate proceedings and for which such Loan Party Group Company, as the case may be, has set aside on its books adequate reserves in accordance with GAAP. No Loan Party Group Company is a party to or bound by any tax sharing agreement (other than contracts entered into in the ordinary course of business the primary purpose of which is not Taxes).</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380"/>
        <w:gridCol w:w="171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5.12</w:t>
            </w:r>
          </w:p>
        </w:tc>
        <w:tc>
          <w:tcPr>
            <w:tcW w:w="1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ERISA Compliance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Except as otherwise would reasonably be expected to result in a Material Adverse Effect, (i) each Plan is in compliance in all material respects with the applicable provisions of ERISA, the Code and other federal or state laws, (ii) each Pension Plan that is intended to be a qualified plan under </w:t>
      </w:r>
      <w:r>
        <w:rPr>
          <w:rFonts w:ascii="Times New Roman" w:hAnsi="Times New Roman"/>
          <w:i/>
          <w:caps w:val="false"/>
          <w:smallCaps w:val="false"/>
          <w:sz w:val="20"/>
        </w:rPr>
        <w:t xml:space="preserve">Section 401(a) </w:t>
      </w:r>
      <w:r>
        <w:rPr>
          <w:rFonts w:ascii="Times New Roman" w:hAnsi="Times New Roman"/>
          <w:caps w:val="false"/>
          <w:smallCaps w:val="false"/>
          <w:sz w:val="20"/>
        </w:rPr>
        <w:t xml:space="preserve">of the Code has received a favorable determination letter or is subject to a favorable opinion letter from the IRS to the effect that the form of such Plan is qualified under </w:t>
      </w:r>
      <w:r>
        <w:rPr>
          <w:rFonts w:ascii="Times New Roman" w:hAnsi="Times New Roman"/>
          <w:i/>
          <w:caps w:val="false"/>
          <w:smallCaps w:val="false"/>
          <w:sz w:val="20"/>
        </w:rPr>
        <w:t xml:space="preserve">Section 401(a) </w:t>
      </w:r>
      <w:r>
        <w:rPr>
          <w:rFonts w:ascii="Times New Roman" w:hAnsi="Times New Roman"/>
          <w:caps w:val="false"/>
          <w:smallCaps w:val="false"/>
          <w:sz w:val="20"/>
        </w:rPr>
        <w:t xml:space="preserve">of the Code and the trust related thereto has been determined by the IRS to be exempt from federal income tax under </w:t>
      </w:r>
      <w:r>
        <w:rPr>
          <w:rFonts w:ascii="Times New Roman" w:hAnsi="Times New Roman"/>
          <w:i/>
          <w:caps w:val="false"/>
          <w:smallCaps w:val="false"/>
          <w:sz w:val="20"/>
        </w:rPr>
        <w:t xml:space="preserve">Section 501(a) </w:t>
      </w:r>
      <w:r>
        <w:rPr>
          <w:rFonts w:ascii="Times New Roman" w:hAnsi="Times New Roman"/>
          <w:caps w:val="false"/>
          <w:smallCaps w:val="false"/>
          <w:sz w:val="20"/>
        </w:rPr>
        <w:t>of the Code, or an application for such a letter is currently being processed by the IRS, and (iii) to the best knowledge of the Loan Parties, nothing has occurred that would prevent or cause the loss of such tax-qualified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Except as otherwise would reasonably be expected to result in a Material Adverse Effect, (i) no ERISA Event has occurred, and no Loan Party nor any ERISA Affiliate is aware of any fact, event or circumstance that could reasonably be expected to constitute or result in an ERISA Event with respect to any Pension Plan or Multiemployer Plan; (ii) no Loan Party nor any ERISA Affiliate has incurred any liability to the PBGC other than for the payment of premiums, and there are no premium payments which have become due that are unpaid; (iii) no Loan Party nor any ERISA Affiliate has engaged in a transaction that could be subject to </w:t>
      </w:r>
      <w:r>
        <w:rPr>
          <w:rFonts w:ascii="Times New Roman" w:hAnsi="Times New Roman"/>
          <w:i/>
          <w:caps w:val="false"/>
          <w:smallCaps w:val="false"/>
          <w:sz w:val="20"/>
        </w:rPr>
        <w:t xml:space="preserve">Section 4069 </w:t>
      </w:r>
      <w:r>
        <w:rPr>
          <w:rFonts w:ascii="Times New Roman" w:hAnsi="Times New Roman"/>
          <w:caps w:val="false"/>
          <w:smallCaps w:val="false"/>
          <w:sz w:val="20"/>
        </w:rPr>
        <w:t xml:space="preserve">or </w:t>
      </w:r>
      <w:r>
        <w:rPr>
          <w:rFonts w:ascii="Times New Roman" w:hAnsi="Times New Roman"/>
          <w:i/>
          <w:caps w:val="false"/>
          <w:smallCaps w:val="false"/>
          <w:sz w:val="20"/>
        </w:rPr>
        <w:t xml:space="preserve">Section 4212(c) </w:t>
      </w:r>
      <w:r>
        <w:rPr>
          <w:rFonts w:ascii="Times New Roman" w:hAnsi="Times New Roman"/>
          <w:caps w:val="false"/>
          <w:smallCaps w:val="false"/>
          <w:sz w:val="20"/>
        </w:rPr>
        <w:t xml:space="preserve">of ERISA; and (iv) no Pension Plan has been terminated by the plan administrator thereof nor by the PBGC, and no event or circumstance has occurred or exists that could reasonably be expected to cause the PBGC to institute proceedings under </w:t>
      </w:r>
      <w:r>
        <w:rPr>
          <w:rFonts w:ascii="Times New Roman" w:hAnsi="Times New Roman"/>
          <w:i/>
          <w:caps w:val="false"/>
          <w:smallCaps w:val="false"/>
          <w:sz w:val="20"/>
        </w:rPr>
        <w:t xml:space="preserve">Title IV </w:t>
      </w:r>
      <w:r>
        <w:rPr>
          <w:rFonts w:ascii="Times New Roman" w:hAnsi="Times New Roman"/>
          <w:caps w:val="false"/>
          <w:smallCaps w:val="false"/>
          <w:sz w:val="20"/>
        </w:rPr>
        <w:t>of ERISA to terminate any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No Loan Party nor any ERISA Affiliate maintains or contributes to, or has any unsatisfied obligation to contribute to, or liability under, any active or terminated Pension Plan other than (i) on the Closing Date, those listed on </w:t>
      </w:r>
      <w:r>
        <w:rPr>
          <w:rFonts w:ascii="Times New Roman" w:hAnsi="Times New Roman"/>
          <w:b/>
          <w:i/>
          <w:caps w:val="false"/>
          <w:smallCaps w:val="false"/>
          <w:sz w:val="20"/>
        </w:rPr>
        <w:t xml:space="preserve">Schedule 5.12 </w:t>
      </w:r>
      <w:r>
        <w:rPr>
          <w:rFonts w:ascii="Times New Roman" w:hAnsi="Times New Roman"/>
          <w:caps w:val="false"/>
          <w:smallCaps w:val="false"/>
          <w:sz w:val="20"/>
        </w:rPr>
        <w:t>and (ii) thereafter, Pension Plans not otherwise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As of the Closing Date that the Borrower is not and will not be using “</w:t>
      </w:r>
      <w:r>
        <w:rPr>
          <w:rFonts w:ascii="Times New Roman" w:hAnsi="Times New Roman"/>
          <w:i/>
          <w:caps w:val="false"/>
          <w:smallCaps w:val="false"/>
          <w:sz w:val="20"/>
        </w:rPr>
        <w:t>plan assets</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 xml:space="preserve">Section 3(42) </w:t>
      </w:r>
      <w:r>
        <w:rPr>
          <w:rFonts w:ascii="Times New Roman" w:hAnsi="Times New Roman"/>
          <w:caps w:val="false"/>
          <w:smallCaps w:val="false"/>
          <w:sz w:val="20"/>
        </w:rPr>
        <w:t>of ERISA or otherwise) of one (1) or more Benefit Plans with respect to the Borrower’s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380"/>
        <w:gridCol w:w="39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5.13</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Margin Regulations; Investment Company Act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proceeds of the Loans and Letters of Credit are intended to be and shall be used solely for the purposes set forth in and permitted by </w:t>
      </w:r>
      <w:r>
        <w:rPr>
          <w:rFonts w:ascii="Times New Roman" w:hAnsi="Times New Roman"/>
          <w:b/>
          <w:i/>
          <w:caps w:val="false"/>
          <w:smallCaps w:val="false"/>
          <w:sz w:val="20"/>
        </w:rPr>
        <w:t>Section 7.03.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None of the proceeds of any of the Loans or Letters of Credit will be used, directly or indirectly, for “</w:t>
      </w:r>
      <w:r>
        <w:rPr>
          <w:rFonts w:ascii="Times New Roman" w:hAnsi="Times New Roman"/>
          <w:i/>
          <w:caps w:val="false"/>
          <w:smallCaps w:val="false"/>
          <w:sz w:val="20"/>
        </w:rPr>
        <w:t>purchasing</w:t>
      </w:r>
      <w:r>
        <w:rPr>
          <w:rFonts w:ascii="Times New Roman" w:hAnsi="Times New Roman"/>
          <w:caps w:val="false"/>
          <w:smallCaps w:val="false"/>
          <w:sz w:val="20"/>
        </w:rPr>
        <w:t>” or “</w:t>
      </w:r>
      <w:r>
        <w:rPr>
          <w:rFonts w:ascii="Times New Roman" w:hAnsi="Times New Roman"/>
          <w:i/>
          <w:caps w:val="false"/>
          <w:smallCaps w:val="false"/>
          <w:sz w:val="20"/>
        </w:rPr>
        <w:t>carrying</w:t>
      </w:r>
      <w:r>
        <w:rPr>
          <w:rFonts w:ascii="Times New Roman" w:hAnsi="Times New Roman"/>
          <w:caps w:val="false"/>
          <w:smallCaps w:val="false"/>
          <w:sz w:val="20"/>
        </w:rPr>
        <w:t>” any “</w:t>
      </w:r>
      <w:r>
        <w:rPr>
          <w:rFonts w:ascii="Times New Roman" w:hAnsi="Times New Roman"/>
          <w:i/>
          <w:caps w:val="false"/>
          <w:smallCaps w:val="false"/>
          <w:sz w:val="20"/>
        </w:rPr>
        <w:t>margin stock</w:t>
      </w:r>
      <w:r>
        <w:rPr>
          <w:rFonts w:ascii="Times New Roman" w:hAnsi="Times New Roman"/>
          <w:caps w:val="false"/>
          <w:smallCaps w:val="false"/>
          <w:sz w:val="20"/>
        </w:rPr>
        <w:t>” with the respective meanings of each of such terms under Regulation U or for any purpose that violates the provisions of the Regulation T, U or X. No Loan Party and no Subsidiary is engaged principally, or as one (1) of its important activities, in the business of extending credit for the purpose of purchasing or carrying “</w:t>
      </w:r>
      <w:r>
        <w:rPr>
          <w:rFonts w:ascii="Times New Roman" w:hAnsi="Times New Roman"/>
          <w:i/>
          <w:caps w:val="false"/>
          <w:smallCaps w:val="false"/>
          <w:sz w:val="20"/>
        </w:rPr>
        <w:t>margin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No Loan Party nor any Subsidiary is an “</w:t>
      </w:r>
      <w:r>
        <w:rPr>
          <w:rFonts w:ascii="Times New Roman" w:hAnsi="Times New Roman"/>
          <w:i/>
          <w:caps w:val="false"/>
          <w:smallCaps w:val="false"/>
          <w:sz w:val="20"/>
        </w:rPr>
        <w:t>investment company</w:t>
      </w:r>
      <w:r>
        <w:rPr>
          <w:rFonts w:ascii="Times New Roman" w:hAnsi="Times New Roman"/>
          <w:caps w:val="false"/>
          <w:smallCaps w:val="false"/>
          <w:sz w:val="20"/>
        </w:rPr>
        <w:t>” or is “</w:t>
      </w:r>
      <w:r>
        <w:rPr>
          <w:rFonts w:ascii="Times New Roman" w:hAnsi="Times New Roman"/>
          <w:i/>
          <w:caps w:val="false"/>
          <w:smallCaps w:val="false"/>
          <w:sz w:val="20"/>
        </w:rPr>
        <w:t>controlled</w:t>
      </w:r>
      <w:r>
        <w:rPr>
          <w:rFonts w:ascii="Times New Roman" w:hAnsi="Times New Roman"/>
          <w:caps w:val="false"/>
          <w:smallCaps w:val="false"/>
          <w:sz w:val="20"/>
        </w:rPr>
        <w:t>” by an “</w:t>
      </w:r>
      <w:r>
        <w:rPr>
          <w:rFonts w:ascii="Times New Roman" w:hAnsi="Times New Roman"/>
          <w:i/>
          <w:caps w:val="false"/>
          <w:smallCaps w:val="false"/>
          <w:sz w:val="20"/>
        </w:rPr>
        <w:t>investment company</w:t>
      </w:r>
      <w:r>
        <w:rPr>
          <w:rFonts w:ascii="Times New Roman" w:hAnsi="Times New Roman"/>
          <w:caps w:val="false"/>
          <w:smallCaps w:val="false"/>
          <w:sz w:val="20"/>
        </w:rPr>
        <w:t>”, as such terms are defined in, or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60"/>
        <w:gridCol w:w="380"/>
        <w:gridCol w:w="9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5.14</w:t>
            </w:r>
          </w:p>
        </w:tc>
        <w:tc>
          <w:tcPr>
            <w:tcW w:w="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Disclosure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Each Loan Party has disclosed to the Lenders all agreements, instruments, and corporate or other restrictions to which it or any of its Subsidiaries is subject, and all other matters known to any of them, that, individually or in the aggregate, could reasonably be expected to result in a Material Adverse Effect. No written reports, financial statements, certificates or other written information furnished by or on behalf of any Loan Party to the Administrative Agent or any Lender in connection with the negotiation or syndication of this Agreement or any other Loan Document or delivered hereunder or thereunder (taken as a whole and as supplemented by any other information so furnished) contains any untrue statement of a material fact or omits to state any material fact necessary to make the statements therein, taken as a whole, in light of the circumstances under which they were made, not materially misleading in light of the circumstances under which such statements are made after giving effect to all supplements thereto; </w:t>
      </w:r>
      <w:r>
        <w:rPr>
          <w:rFonts w:ascii="Times New Roman" w:hAnsi="Times New Roman"/>
          <w:i/>
          <w:caps w:val="false"/>
          <w:smallCaps w:val="false"/>
          <w:sz w:val="20"/>
        </w:rPr>
        <w:t xml:space="preserve">provided </w:t>
      </w:r>
      <w:r>
        <w:rPr>
          <w:rFonts w:ascii="Times New Roman" w:hAnsi="Times New Roman"/>
          <w:caps w:val="false"/>
          <w:smallCaps w:val="false"/>
          <w:sz w:val="20"/>
        </w:rPr>
        <w:t>that, with respect to projected financial information, the Loan Parties represent only that such information was prepared in good faith based upon assumptions believed to be reasonable at the time furnished (it being understood that (x) such projections are not to be viewed as facts or a guarantee of performance and are subject to significant uncertainties and contingencies many of which are beyond the control of the Loan Parties and (y) no assurance can be given that any particular financial projections will be realized, and that actual results during the period or periods covered by any such projections may differ from the projected results, and such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As of the Closing Date, the information included in the Beneficial Ownership Certification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5.15    </w:t>
      </w:r>
      <w:r>
        <w:rPr>
          <w:rFonts w:ascii="Times New Roman" w:hAnsi="Times New Roman"/>
          <w:b/>
          <w:caps w:val="false"/>
          <w:smallCaps w:val="false"/>
          <w:sz w:val="20"/>
        </w:rPr>
        <w:t>Compliance with Laws and Agreements</w:t>
      </w:r>
      <w:r>
        <w:rPr>
          <w:rFonts w:ascii="Times New Roman" w:hAnsi="Times New Roman"/>
          <w:caps w:val="false"/>
          <w:smallCaps w:val="false"/>
          <w:sz w:val="20"/>
        </w:rPr>
        <w:t xml:space="preserve">. Each Loan Party Group Company is in compliance with (a) all Laws (including all Food Safety Laws) and all judgments, decrees and orders of any Governmental Authority applicable to it or its property, (b) all indentures, agreements or other instruments binding upon it or its properties and (c) the Controlled Substances Act, the Civil Asset Forfeiture Reform Act or any related applicable anti-money laundering laws (in each case, solely as it relates to an alleged violation of the Controlled Substances Act), except in the case of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(b)</w:t>
      </w:r>
      <w:r>
        <w:rPr>
          <w:rFonts w:ascii="Times New Roman" w:hAnsi="Times New Roman"/>
          <w:caps w:val="false"/>
          <w:smallCaps w:val="false"/>
          <w:sz w:val="20"/>
        </w:rPr>
        <w:t>, where non-compliance, either individually or in the aggregate,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5.16    </w:t>
      </w:r>
      <w:r>
        <w:rPr>
          <w:rFonts w:ascii="Times New Roman" w:hAnsi="Times New Roman"/>
          <w:b/>
          <w:caps w:val="false"/>
          <w:smallCaps w:val="false"/>
          <w:sz w:val="20"/>
        </w:rPr>
        <w:t>Solvency</w:t>
      </w:r>
      <w:r>
        <w:rPr>
          <w:rFonts w:ascii="Times New Roman" w:hAnsi="Times New Roman"/>
          <w:caps w:val="false"/>
          <w:smallCaps w:val="false"/>
          <w:sz w:val="20"/>
        </w:rPr>
        <w:t>. After giving effect to the transactions contemplated hereby, the Loan Party Group Companies are Solvent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5.17    </w:t>
      </w:r>
      <w:r>
        <w:rPr>
          <w:rFonts w:ascii="Times New Roman" w:hAnsi="Times New Roman"/>
          <w:b/>
          <w:caps w:val="false"/>
          <w:smallCaps w:val="false"/>
          <w:sz w:val="20"/>
        </w:rPr>
        <w:t>Intellectual Property</w:t>
      </w:r>
      <w:r>
        <w:rPr>
          <w:rFonts w:ascii="Times New Roman" w:hAnsi="Times New Roman"/>
          <w:caps w:val="false"/>
          <w:smallCaps w:val="false"/>
          <w:sz w:val="20"/>
        </w:rPr>
        <w:t xml:space="preserve">. Except as set forth on </w:t>
      </w:r>
      <w:r>
        <w:rPr>
          <w:rFonts w:ascii="Times New Roman" w:hAnsi="Times New Roman"/>
          <w:b/>
          <w:i/>
          <w:caps w:val="false"/>
          <w:smallCaps w:val="false"/>
          <w:sz w:val="20"/>
        </w:rPr>
        <w:t>Schedule 5.17(a)</w:t>
      </w:r>
      <w:r>
        <w:rPr>
          <w:rFonts w:ascii="Times New Roman" w:hAnsi="Times New Roman"/>
          <w:caps w:val="false"/>
          <w:smallCaps w:val="false"/>
          <w:sz w:val="20"/>
        </w:rPr>
        <w:t>, (i) each Loan Party and each of its Subsidiaries own, or possess the right to use, all of the trademarks, service marks, trade names, copyrights, patents, patent rights, trade secrets, know-how, franchises, licenses and other intellectual property rights (collectively, “</w:t>
      </w:r>
      <w:r>
        <w:rPr>
          <w:rFonts w:ascii="Times New Roman" w:hAnsi="Times New Roman"/>
          <w:b/>
          <w:i/>
          <w:caps w:val="false"/>
          <w:smallCaps w:val="false"/>
          <w:sz w:val="20"/>
        </w:rPr>
        <w:t>Intellectual Property</w:t>
      </w:r>
      <w:r>
        <w:rPr>
          <w:rFonts w:ascii="Times New Roman" w:hAnsi="Times New Roman"/>
          <w:caps w:val="false"/>
          <w:smallCaps w:val="false"/>
          <w:sz w:val="20"/>
        </w:rPr>
        <w:t xml:space="preserve">”) that are used in the operation of their respective businesses, without conflict with the rights of any other Person and (ii) to the best knowledge of the Loan Parties, neither the operation of the business, nor any product, service, process, method, substance, part or other material now used, or now contemplated to be used, by any Loan Party or any of its Subsidiaries infringes, misappropriates or otherwise violates upon any rights held by any other Person. No claim or litigation regarding any of the foregoing is pending or, to the best knowledge of any Loan Party, threatened, which, either individually or in the aggregate, could reasonably be expected to have a Material Adverse Effect. To the best knowledge of the Loan Parties, there has been no unauthorized use, access, interruption, modification, corruption or malfunction of any information technology assets or systems (or any information or transactions stored or contained therein or transmitted thereby) owned or used by the any Loan Party or any of its Subsidiaries, which, either individually or in the aggregate, would reasonably be expected to have a Material Adverse Effect. Set forth on </w:t>
      </w:r>
      <w:r>
        <w:rPr>
          <w:rFonts w:ascii="Times New Roman" w:hAnsi="Times New Roman"/>
          <w:b/>
          <w:i/>
          <w:caps w:val="false"/>
          <w:smallCaps w:val="false"/>
          <w:sz w:val="20"/>
        </w:rPr>
        <w:t xml:space="preserve">Schedule 5.17(b) </w:t>
      </w:r>
      <w:r>
        <w:rPr>
          <w:rFonts w:ascii="Times New Roman" w:hAnsi="Times New Roman"/>
          <w:caps w:val="false"/>
          <w:smallCaps w:val="false"/>
          <w:sz w:val="20"/>
        </w:rPr>
        <w:t>is a list of (i) all Intellectual Property registered or pending registration with the United States Copyright Office or the United States Patent and Trademark Office that, as of the Closing Date, a Loan Party owns and (ii) all licenses of Intellectual Property registered with the United States Copyright Office or the United States Patent and Trademark Office as of the Closing Date.</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380"/>
        <w:gridCol w:w="39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5.18</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Sanctions Concerns and Anti-Corruption Laws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Sanctions Concerns</w:t>
      </w:r>
      <w:r>
        <w:rPr>
          <w:rFonts w:ascii="Times New Roman" w:hAnsi="Times New Roman"/>
          <w:caps w:val="false"/>
          <w:smallCaps w:val="false"/>
          <w:sz w:val="20"/>
        </w:rPr>
        <w:t>. No Loan Party, nor any Subsidiary, nor, to the knowledge of the Loan Parties and their Subsidiaries, any director, officer, employee, agent, affiliate or representative thereof, is an individual or entity that is, or is owned or controlled by one (1)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Loan Party Group Companies have conducted their businesses in compliance with all applicable Sanctions and have instituted and maintained policies and procedures designed to promote and achieve compliance with such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Anti-Corruption Laws</w:t>
      </w:r>
      <w:r>
        <w:rPr>
          <w:rFonts w:ascii="Times New Roman" w:hAnsi="Times New Roman"/>
          <w:caps w:val="false"/>
          <w:smallCaps w:val="false"/>
          <w:sz w:val="20"/>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380"/>
        <w:gridCol w:w="23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5.19</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Subsidiaries; Loan Parties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Subsidiaries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Schedule 5.19(a) </w:t>
      </w:r>
      <w:r>
        <w:rPr>
          <w:rFonts w:ascii="Times New Roman" w:hAnsi="Times New Roman"/>
          <w:caps w:val="false"/>
          <w:smallCaps w:val="false"/>
          <w:sz w:val="20"/>
        </w:rPr>
        <w:t>sets forth the name of, the ownership interest of each Loan Party in, the jurisdiction of incorporation or organization of, and the type of, each Subsidiary, in each case as of the Closing Date. All issued and outstanding Equity Interests of each Loan Party Group Company is duly authorized and validly issued, fully paid, non-assessable, as applicable, and free and clear of all Liens other than those in favor of the Administrative Agent, for the benefit of the holders of the Obligations. All such securities were issued in compliance with all applicable state and federal Laws concerning the issuance of securities. As of the Closing Date,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of the issued and outstanding Equity Interests of each Subsidiary is owned by the Persons and in the amounts set forth on </w:t>
      </w:r>
      <w:r>
        <w:rPr>
          <w:rFonts w:ascii="Times New Roman" w:hAnsi="Times New Roman"/>
          <w:b/>
          <w:i/>
          <w:caps w:val="false"/>
          <w:smallCaps w:val="false"/>
          <w:sz w:val="20"/>
        </w:rPr>
        <w:t>Schedule 4.15</w:t>
      </w:r>
      <w:r>
        <w:rPr>
          <w:rFonts w:ascii="Times New Roman" w:hAnsi="Times New Roman"/>
          <w:caps w:val="false"/>
          <w:smallCaps w:val="false"/>
          <w:sz w:val="20"/>
        </w:rPr>
        <w:t>. There are no pre-emptive or other outstanding rights, options, warrants, conversion rights, commitments or other similar agreements or understandings for the purchase or acquisition of any Equity Interests of any Loan Party Group Company, and there are no membership interest or other Equity Interests of any Loan Party Group Company outstanding which upon conversion or exchange would require the issuance by any Loan Party Group Company of any additional membership interests or other Equity Interests of any Loan Party Group Company or other securities convertible into, exchangeable for or evidencing the right to subscribe for a purchase, a membership interest or other Equity Interests of any Loan Party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Loan Parties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 xml:space="preserve">Schedule 5.19(b) </w:t>
      </w:r>
      <w:r>
        <w:rPr>
          <w:rFonts w:ascii="Times New Roman" w:hAnsi="Times New Roman"/>
          <w:caps w:val="false"/>
          <w:smallCaps w:val="false"/>
          <w:sz w:val="20"/>
        </w:rPr>
        <w:t>is a complete and accurate list as of the Closing Date of all Loan Parties, showing (i) the exact legal name, (ii) any former legal names in the four (4) months prior to the Closing Date, (iii) the jurisdiction of its incorporation or organization, as applicable, (iv) the type of organization, (v) the chief executive office, and (vi) the</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U.S. federal taxpayer identification number or, other applicable unique identification number issued to it by the jurisdiction of its incorporation or organization.</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380"/>
        <w:gridCol w:w="233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5.20</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Representations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Collateral Documents</w:t>
      </w:r>
      <w:r>
        <w:rPr>
          <w:rFonts w:ascii="Times New Roman" w:hAnsi="Times New Roman"/>
          <w:caps w:val="false"/>
          <w:smallCaps w:val="false"/>
          <w:sz w:val="20"/>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Deposit Accounts and Securities Accounts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 xml:space="preserve">Schedule 5.20(b) </w:t>
      </w:r>
      <w:r>
        <w:rPr>
          <w:rFonts w:ascii="Times New Roman" w:hAnsi="Times New Roman"/>
          <w:caps w:val="false"/>
          <w:smallCaps w:val="false"/>
          <w:sz w:val="20"/>
        </w:rPr>
        <w:t>as of the Closing Date is a list of all deposit accounts and securities accounts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Properties</w:t>
      </w:r>
      <w:r>
        <w:rPr>
          <w:rFonts w:ascii="Times New Roman" w:hAnsi="Times New Roman"/>
          <w:caps w:val="false"/>
          <w:smallCaps w:val="false"/>
          <w:sz w:val="20"/>
        </w:rPr>
        <w:t xml:space="preserve">. Set forth on </w:t>
      </w:r>
      <w:r>
        <w:rPr>
          <w:rFonts w:ascii="Times New Roman" w:hAnsi="Times New Roman"/>
          <w:b/>
          <w:i/>
          <w:caps w:val="false"/>
          <w:smallCaps w:val="false"/>
          <w:sz w:val="20"/>
        </w:rPr>
        <w:t xml:space="preserve">Schedule 5.20(c) </w:t>
      </w:r>
      <w:r>
        <w:rPr>
          <w:rFonts w:ascii="Times New Roman" w:hAnsi="Times New Roman"/>
          <w:caps w:val="false"/>
          <w:smallCaps w:val="false"/>
          <w:sz w:val="20"/>
        </w:rPr>
        <w:t>as of the Closing Date is a list of all real property located in the United States that is owned or leased by any Loan Party.</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380"/>
        <w:gridCol w:w="67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5.21</w:t>
            </w:r>
          </w:p>
        </w:tc>
        <w:tc>
          <w:tcPr>
            <w:tcW w:w="6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Affected Financial Institutions</w:t>
            </w:r>
            <w:r>
              <w:rPr>
                <w:rFonts w:ascii="Times New Roman" w:hAnsi="Times New Roman"/>
                <w:caps w:val="false"/>
                <w:smallCaps w:val="false"/>
                <w:sz w:val="20"/>
              </w:rPr>
              <w:t>. No Loan Party is an Affected Financial Institution.</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380"/>
        <w:gridCol w:w="43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5.22</w:t>
            </w:r>
          </w:p>
        </w:tc>
        <w:tc>
          <w:tcPr>
            <w:tcW w:w="4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Covered Entities</w:t>
            </w:r>
            <w:r>
              <w:rPr>
                <w:rFonts w:ascii="Times New Roman" w:hAnsi="Times New Roman"/>
                <w:caps w:val="false"/>
                <w:smallCaps w:val="false"/>
                <w:sz w:val="20"/>
              </w:rPr>
              <w:t>. No Loan Party is a Covered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5.23    </w:t>
      </w:r>
      <w:r>
        <w:rPr>
          <w:rFonts w:ascii="Times New Roman" w:hAnsi="Times New Roman"/>
          <w:b/>
          <w:caps w:val="false"/>
          <w:smallCaps w:val="false"/>
          <w:sz w:val="20"/>
        </w:rPr>
        <w:t>Beneficial Ownership Certification</w:t>
      </w:r>
      <w:r>
        <w:rPr>
          <w:rFonts w:ascii="Times New Roman" w:hAnsi="Times New Roman"/>
          <w:caps w:val="false"/>
          <w:smallCaps w:val="false"/>
          <w:sz w:val="20"/>
        </w:rPr>
        <w:t>. The information included in the Beneficial Ownership Certification, if applicable,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5.24    </w:t>
      </w:r>
      <w:r>
        <w:rPr>
          <w:rFonts w:ascii="Times New Roman" w:hAnsi="Times New Roman"/>
          <w:b/>
          <w:caps w:val="false"/>
          <w:smallCaps w:val="false"/>
          <w:sz w:val="20"/>
        </w:rPr>
        <w:t>Outbound Investment</w:t>
      </w:r>
      <w:r>
        <w:rPr>
          <w:rFonts w:ascii="Times New Roman" w:hAnsi="Times New Roman"/>
          <w:caps w:val="false"/>
          <w:smallCaps w:val="false"/>
          <w:sz w:val="20"/>
        </w:rPr>
        <w:t>. No Loan Party nor any Subsidiary of a Loan Party is a ‘</w:t>
      </w:r>
      <w:r>
        <w:rPr>
          <w:rFonts w:ascii="Times New Roman" w:hAnsi="Times New Roman"/>
          <w:i/>
          <w:caps w:val="false"/>
          <w:smallCaps w:val="false"/>
          <w:sz w:val="20"/>
        </w:rPr>
        <w:t>covered foreign person</w:t>
      </w:r>
      <w:r>
        <w:rPr>
          <w:rFonts w:ascii="Times New Roman" w:hAnsi="Times New Roman"/>
          <w:caps w:val="false"/>
          <w:smallCaps w:val="false"/>
          <w:sz w:val="20"/>
        </w:rPr>
        <w:t>’ as that term is used in the Outbound Investment Rules. No Loan Party nor any Subsidiary of a Loan Party currently engages, or has any present intention to engage in the future, directly or indirectly, in (a)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(b) any activity or transaction that would constitute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if such Person were a U.S. Outbound Investment Person or (c) any other activity that would cause Administrative Agent and/or Lenders to be in violation of the Outbound Investment Rules or cause Administrative Agent and/or Lenders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b/>
          <w:caps w:val="false"/>
          <w:smallCaps w:val="false"/>
          <w:sz w:val="20"/>
        </w:rPr>
        <w:t>AFFIRMATIVE COVENANTS</w:t>
      </w:r>
      <w:r>
        <w:rPr>
          <w:rFonts w:ascii="Times New Roman" w:hAnsi="Times New Roman"/>
          <w:caps w:val="false"/>
          <w:smallCaps w:val="false"/>
          <w:sz w:val="20"/>
        </w:rPr>
        <w:t>. Each of the Loan Parties hereby covenants and agrees that until the Facility Termination Date, such Loan Party shall, and shall cause each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6.01    </w:t>
      </w:r>
      <w:r>
        <w:rPr>
          <w:rFonts w:ascii="Times New Roman" w:hAnsi="Times New Roman"/>
          <w:b/>
          <w:caps w:val="false"/>
          <w:smallCaps w:val="false"/>
          <w:sz w:val="20"/>
        </w:rPr>
        <w:t>Financial Statements and Other Information</w:t>
      </w:r>
      <w:r>
        <w:rPr>
          <w:rFonts w:ascii="Times New Roman" w:hAnsi="Times New Roman"/>
          <w:caps w:val="false"/>
          <w:smallCaps w:val="false"/>
          <w:sz w:val="20"/>
        </w:rPr>
        <w:t>. Deliver to the Administrative Agent (for distribution to each Lender), in form and detail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230"/>
        <w:gridCol w:w="24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Annual Financial Statements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Within ninety-five (95) days after the end of the Fiscal Year ending May 31, 2023, a copy of the combined annual audited report for such Fiscal Year for Borrower and its Subsidiaries (including Tilray Holdco M and its Subsidiaries), containing a consolidated balance sheet of Borrower and its Subsidiaries (including Tilray Holdco M and its Subsidiaries) as of the end of such Fiscal Year and the related consolidated statements of income or operations, changes in shareholder’s equity and cash flows (together with all footnotes thereto) of Borrower and its Subsidiaries (including Tilray Holdco M and its Subsidiaries) for such Fiscal Year, setting forth in each case in comparative form the figures for the previous Fiscal Year, all in reasonable detail and reported on by independent public accountants of nationally recognized standing (without a “</w:t>
      </w:r>
      <w:r>
        <w:rPr>
          <w:rFonts w:ascii="Times New Roman" w:hAnsi="Times New Roman"/>
          <w:i/>
          <w:caps w:val="false"/>
          <w:smallCaps w:val="false"/>
          <w:sz w:val="20"/>
        </w:rPr>
        <w:t>going concern</w:t>
      </w:r>
      <w:r>
        <w:rPr>
          <w:rFonts w:ascii="Times New Roman" w:hAnsi="Times New Roman"/>
          <w:caps w:val="false"/>
          <w:smallCaps w:val="false"/>
          <w:sz w:val="20"/>
        </w:rPr>
        <w:t xml:space="preserve">” or like qualification, exception or explanation and without any qualification or exception as to scope of such audit (other than any qualification, exception or explanation resulting from the impending maturity of any Indebtedness or any prospective or actual default under any financial covenant set forth in </w:t>
      </w:r>
      <w:r>
        <w:rPr>
          <w:rFonts w:ascii="Times New Roman" w:hAnsi="Times New Roman"/>
          <w:b/>
          <w:i/>
          <w:caps w:val="false"/>
          <w:smallCaps w:val="false"/>
          <w:sz w:val="20"/>
        </w:rPr>
        <w:t>Article VII</w:t>
      </w:r>
      <w:r>
        <w:rPr>
          <w:rFonts w:ascii="Times New Roman" w:hAnsi="Times New Roman"/>
          <w:caps w:val="false"/>
          <w:smallCaps w:val="false"/>
          <w:sz w:val="20"/>
        </w:rPr>
        <w:t>)) to the effect that such financial statements present fairly in all material respects the financial condition and the results of operations of Borrower and its Subsidiaries (including Tilray Holdco M and its Subsidiaries) for such Fiscal Year on a consolidated basis in accordance with GAAP and that the examination by such accountants in connection with such consolidated financial statements has been made in accordance with generally accepted auditing standards, together with a reasonably detailed management discussion and analysis with respect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Within ninety (90) days after the end of the Fiscal Year ending May 31, 2024 and each Fiscal Year thereafter, a copy of the consolidated annual audited report for such Fiscal Year for the Loan Party Group Companies (or with respect to the Fiscal Year ending May 31, 2025, the combined annual audited report for such Fiscal Year for Borrower and its Subsidiaries (which for this purpose shall include the Hemp Entities even if the Hemp Contribution has not been consummated as of such date)), containing a consolidated balance sheet of the Loan Party Group Companies as of the end of such Fiscal Year and the related consolidated statements of income or operations, changes in shareholder’s equity and cash flows (together with all footnotes thereto) of the Loan Party Group Companies for such Fiscal Year, setting forth in each case in comparative form the figures for the previous Fiscal Year, all in reasonable detail and reported on by independent public accountants of nationally recognized standing (without a “</w:t>
      </w:r>
      <w:r>
        <w:rPr>
          <w:rFonts w:ascii="Times New Roman" w:hAnsi="Times New Roman"/>
          <w:i/>
          <w:caps w:val="false"/>
          <w:smallCaps w:val="false"/>
          <w:sz w:val="20"/>
        </w:rPr>
        <w:t>going concern</w:t>
      </w:r>
      <w:r>
        <w:rPr>
          <w:rFonts w:ascii="Times New Roman" w:hAnsi="Times New Roman"/>
          <w:caps w:val="false"/>
          <w:smallCaps w:val="false"/>
          <w:sz w:val="20"/>
        </w:rPr>
        <w:t xml:space="preserve">” or like qualification, exception or explanation and without any qualification or exception as to scope of such audit (other than any qualification, exception or explanation resulting from the impending maturity of any Indebtedness or any prospective or actual default under any financial covenant set forth in </w:t>
      </w:r>
      <w:r>
        <w:rPr>
          <w:rFonts w:ascii="Times New Roman" w:hAnsi="Times New Roman"/>
          <w:b/>
          <w:i/>
          <w:caps w:val="false"/>
          <w:smallCaps w:val="false"/>
          <w:sz w:val="20"/>
        </w:rPr>
        <w:t>Article VII</w:t>
      </w:r>
      <w:r>
        <w:rPr>
          <w:rFonts w:ascii="Times New Roman" w:hAnsi="Times New Roman"/>
          <w:caps w:val="false"/>
          <w:smallCaps w:val="false"/>
          <w:sz w:val="20"/>
        </w:rPr>
        <w:t>)) to the effect that such financial statements present fairly in all material respects the financial condition and the results of operations of the Loan Party Group Companies for such Fiscal Year on a consolidated basis in accordance with GAAP and that the examination by such accountants in connection with such consolidated financial statements has been made in accordance with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accepted auditing standards, together with a reasonably detailed management discussion and analysis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Quarterly Financial Statements</w:t>
      </w:r>
      <w:r>
        <w:rPr>
          <w:rFonts w:ascii="Times New Roman" w:hAnsi="Times New Roman"/>
          <w:caps w:val="false"/>
          <w:smallCaps w:val="false"/>
          <w:sz w:val="20"/>
        </w:rPr>
        <w:t xml:space="preserve">. Within sixty (60) days after the end of each of the first three (3) Fiscal Quarters (and with respect to the Fiscal Year ending May 31, 2023, the fourth Fiscal Quarter), of each Fiscal Year, an unaudited consolidated balance sheet of the Loan Party Group Companies as of the end of such Fiscal Quarter and the related unaudited consolidated statements of income or operations, changes in stockholders’ equity and cash flows of the Loan Party Group Companies for such Fiscal Quarter and the then elapsed portion of such Fiscal Year, setting forth in each case in comparative form the figures for (i) the corresponding quarter and the corresponding portion of the Loan Party Group Companies’ previous Fiscal Year and (ii) the corresponding quarter as set out in the budget most recently delivered under </w:t>
      </w:r>
      <w:r>
        <w:rPr>
          <w:rFonts w:ascii="Times New Roman" w:hAnsi="Times New Roman"/>
          <w:b/>
          <w:i/>
          <w:caps w:val="false"/>
          <w:smallCaps w:val="false"/>
          <w:sz w:val="20"/>
        </w:rPr>
        <w:t>Section 5.01(f)</w:t>
      </w:r>
      <w:r>
        <w:rPr>
          <w:rFonts w:ascii="Times New Roman" w:hAnsi="Times New Roman"/>
          <w:caps w:val="false"/>
          <w:smallCaps w:val="false"/>
          <w:sz w:val="20"/>
        </w:rPr>
        <w:t>, all in reasonable detail and prepared in accordance with GAAP, such consolidated statements to be certified by the chief executive officer, chief financial officer, treasurer or controller of Borrower as presenting fairly in all material respects the financial condition, results of operations, stockholders’ equity and cash flows of the Loan Party Group Companies in accordance with GAAP, subject only to normal year-end audit adjustments and the absence of footnotes, together with a reasonably detailed management discussion and analysis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Compliance Certificate</w:t>
      </w:r>
      <w:r>
        <w:rPr>
          <w:rFonts w:ascii="Times New Roman" w:hAnsi="Times New Roman"/>
          <w:caps w:val="false"/>
          <w:smallCaps w:val="false"/>
          <w:sz w:val="20"/>
        </w:rPr>
        <w:t xml:space="preserve">. Concurrently with the delivery of the financial statements referred to in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(b)</w:t>
      </w:r>
      <w:r>
        <w:rPr>
          <w:rFonts w:ascii="Times New Roman" w:hAnsi="Times New Roman"/>
          <w:caps w:val="false"/>
          <w:smallCaps w:val="false"/>
          <w:sz w:val="20"/>
        </w:rPr>
        <w:t xml:space="preserve">, a Compliance Certificate signed by the principal executive officer or the principal financial officer of Borrower (i) certifying as to whether there exists a Default or Event of Default on the date of such certificate, and if a Default or an Event of Default then exists, (ii) setting forth in reasonable detail calculations demonstrating compliance with the financial covenants set forth in </w:t>
      </w:r>
      <w:r>
        <w:rPr>
          <w:rFonts w:ascii="Times New Roman" w:hAnsi="Times New Roman"/>
          <w:b/>
          <w:i/>
          <w:caps w:val="false"/>
          <w:smallCaps w:val="false"/>
          <w:sz w:val="20"/>
        </w:rPr>
        <w:t>Article VII</w:t>
      </w:r>
      <w:r>
        <w:rPr>
          <w:rFonts w:ascii="Times New Roman" w:hAnsi="Times New Roman"/>
          <w:caps w:val="false"/>
          <w:smallCaps w:val="false"/>
          <w:sz w:val="20"/>
        </w:rPr>
        <w:t>, stating whether any change in GAAP or the application thereof has occurred since May 31, 2022, specifying the effect of such change on the financial statements accompanying such Compliance Certificate, and (iii) specifying any change in the identity of the Subsidiaries as of the end of such Fiscal Year or Fiscal Quarter from the Subsidiaries identified to the Lenders on the Closing Date or as of the most recent Fiscal Year or Fiscal Quarter,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A/R Aging and A/P Aging Reports</w:t>
      </w:r>
      <w:r>
        <w:rPr>
          <w:rFonts w:ascii="Times New Roman" w:hAnsi="Times New Roman"/>
          <w:caps w:val="false"/>
          <w:smallCaps w:val="false"/>
          <w:sz w:val="20"/>
        </w:rPr>
        <w:t xml:space="preserve">. Concurrently with the delivery of each Compliance Certificate referred to in </w:t>
      </w:r>
      <w:r>
        <w:rPr>
          <w:rFonts w:ascii="Times New Roman" w:hAnsi="Times New Roman"/>
          <w:b/>
          <w:i/>
          <w:caps w:val="false"/>
          <w:smallCaps w:val="false"/>
          <w:sz w:val="20"/>
        </w:rPr>
        <w:t>Section 6.01(c)</w:t>
      </w:r>
      <w:r>
        <w:rPr>
          <w:rFonts w:ascii="Times New Roman" w:hAnsi="Times New Roman"/>
          <w:caps w:val="false"/>
          <w:smallCaps w:val="false"/>
          <w:sz w:val="20"/>
        </w:rPr>
        <w:t>, a detailed accounts receivables aging report and a detailed accounts payable aging report, in each case, as of the most recent quarter-end and accompanied by such supporting detail and documentation as shall be requested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Budget</w:t>
      </w:r>
      <w:r>
        <w:rPr>
          <w:rFonts w:ascii="Times New Roman" w:hAnsi="Times New Roman"/>
          <w:caps w:val="false"/>
          <w:smallCaps w:val="false"/>
          <w:sz w:val="20"/>
        </w:rPr>
        <w:t xml:space="preserve">. As soon as available and in any event within seventy five (75) days after the end of each Fiscal Year, forecasts and a </w:t>
      </w:r>
      <w:r>
        <w:rPr>
          <w:rFonts w:ascii="Times New Roman" w:hAnsi="Times New Roman"/>
          <w:i/>
          <w:caps w:val="false"/>
          <w:smallCaps w:val="false"/>
          <w:sz w:val="20"/>
        </w:rPr>
        <w:t xml:space="preserve">pro forma </w:t>
      </w:r>
      <w:r>
        <w:rPr>
          <w:rFonts w:ascii="Times New Roman" w:hAnsi="Times New Roman"/>
          <w:caps w:val="false"/>
          <w:smallCaps w:val="false"/>
          <w:sz w:val="20"/>
        </w:rPr>
        <w:t xml:space="preserve">budget for the succeeding Fiscal Year, containing an income statement, balance sheet and statement of cash flow, budget for Capital Expenditure, in each case of the Loan Party Group Companies on a quarterly basis for such succeeding Fiscal Year (and including a detailed list of assumptions and projected compliance with the financial covenants set forth in </w:t>
      </w:r>
      <w:r>
        <w:rPr>
          <w:rFonts w:ascii="Times New Roman" w:hAnsi="Times New Roman"/>
          <w:b/>
          <w:i/>
          <w:caps w:val="false"/>
          <w:smallCaps w:val="false"/>
          <w:sz w:val="20"/>
        </w:rPr>
        <w:t xml:space="preserve">Article VII </w:t>
      </w:r>
      <w:r>
        <w:rPr>
          <w:rFonts w:ascii="Times New Roman" w:hAnsi="Times New Roman"/>
          <w:caps w:val="false"/>
          <w:smallCaps w:val="false"/>
          <w:sz w:val="20"/>
        </w:rPr>
        <w:t>for the relevant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Public Filings</w:t>
      </w:r>
      <w:r>
        <w:rPr>
          <w:rFonts w:ascii="Times New Roman" w:hAnsi="Times New Roman"/>
          <w:caps w:val="false"/>
          <w:smallCaps w:val="false"/>
          <w:sz w:val="20"/>
        </w:rPr>
        <w:t>. Promptly after the same become publicly available, copies of all periodic and other reports, proxy statements and other materials filed with the SEC, or with any national securities exchange, or distributed by Borrower to its shareholders generally, as the case may be;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Monthly Deposit Account Verification</w:t>
      </w:r>
      <w:r>
        <w:rPr>
          <w:rFonts w:ascii="Times New Roman" w:hAnsi="Times New Roman"/>
          <w:caps w:val="false"/>
          <w:smallCaps w:val="false"/>
          <w:sz w:val="20"/>
        </w:rPr>
        <w:t>. During the Minimum TTM EBITDA Testing Period, as soon as available and in any event within five (5) Business Days after the end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each month, deposit account verification statements with respect to the deposit accounts of the Loan Parties together with satisfactory evidence that the Borrower is in compliance with </w:t>
      </w:r>
      <w:r>
        <w:rPr>
          <w:rFonts w:ascii="Times New Roman" w:hAnsi="Times New Roman"/>
          <w:b/>
          <w:i/>
          <w:caps w:val="false"/>
          <w:smallCaps w:val="false"/>
          <w:sz w:val="20"/>
        </w:rPr>
        <w:t>Section 7.04(c)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General Information</w:t>
      </w:r>
      <w:r>
        <w:rPr>
          <w:rFonts w:ascii="Times New Roman" w:hAnsi="Times New Roman"/>
          <w:caps w:val="false"/>
          <w:smallCaps w:val="false"/>
          <w:sz w:val="20"/>
        </w:rPr>
        <w:t xml:space="preserve">. Promptly following any written request therefor, (i) such other information regarding the results of operations, business affairs and financial condition of the Loan Parties or any Subsidiary as the Administrative Agent (or any Lender through the Administrative Agent) may reasonably request except, in each case, (A) to the extent such disclosure is prohibited by contractual confidentiality obligations (and such contract was not entered into in contemplation of this </w:t>
      </w:r>
      <w:r>
        <w:rPr>
          <w:rFonts w:ascii="Times New Roman" w:hAnsi="Times New Roman"/>
          <w:b/>
          <w:i/>
          <w:caps w:val="false"/>
          <w:smallCaps w:val="false"/>
          <w:sz w:val="20"/>
        </w:rPr>
        <w:t>clause (A)</w:t>
      </w:r>
      <w:r>
        <w:rPr>
          <w:rFonts w:ascii="Times New Roman" w:hAnsi="Times New Roman"/>
          <w:caps w:val="false"/>
          <w:smallCaps w:val="false"/>
          <w:sz w:val="20"/>
        </w:rPr>
        <w:t>) or applicable law, (B) such information is subject to attorney client privilege or constitutes attorney work product; and (ii) information and documentation reasonably requested by the Administrative Agent or any Lender for purposes of compliance with applicable “</w:t>
      </w:r>
      <w:r>
        <w:rPr>
          <w:rFonts w:ascii="Times New Roman" w:hAnsi="Times New Roman"/>
          <w:i/>
          <w:caps w:val="false"/>
          <w:smallCaps w:val="false"/>
          <w:sz w:val="20"/>
        </w:rPr>
        <w:t>know your customer</w:t>
      </w:r>
      <w:r>
        <w:rPr>
          <w:rFonts w:ascii="Times New Roman" w:hAnsi="Times New Roman"/>
          <w:caps w:val="false"/>
          <w:smallCaps w:val="false"/>
          <w:sz w:val="20"/>
        </w:rPr>
        <w:t>” requirements under the PATRIOT Act, the Beneficial Ownership Regulation or other applicable 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at any time Borrower (or any direct or indirect holding company of Borrower) is required to file periodic reports under </w:t>
      </w:r>
      <w:r>
        <w:rPr>
          <w:rFonts w:ascii="Times New Roman" w:hAnsi="Times New Roman"/>
          <w:i/>
          <w:caps w:val="false"/>
          <w:smallCaps w:val="false"/>
          <w:sz w:val="20"/>
        </w:rPr>
        <w:t xml:space="preserve">Section 13(a) </w:t>
      </w:r>
      <w:r>
        <w:rPr>
          <w:rFonts w:ascii="Times New Roman" w:hAnsi="Times New Roman"/>
          <w:caps w:val="false"/>
          <w:smallCaps w:val="false"/>
          <w:sz w:val="20"/>
        </w:rPr>
        <w:t xml:space="preserve">or </w:t>
      </w:r>
      <w:r>
        <w:rPr>
          <w:rFonts w:ascii="Times New Roman" w:hAnsi="Times New Roman"/>
          <w:i/>
          <w:caps w:val="false"/>
          <w:smallCaps w:val="false"/>
          <w:sz w:val="20"/>
        </w:rPr>
        <w:t xml:space="preserve">Section 15(d) </w:t>
      </w:r>
      <w:r>
        <w:rPr>
          <w:rFonts w:ascii="Times New Roman" w:hAnsi="Times New Roman"/>
          <w:caps w:val="false"/>
          <w:smallCaps w:val="false"/>
          <w:sz w:val="20"/>
        </w:rPr>
        <w:t xml:space="preserve">of the Securities Exchange Act of 1934, as amended, Borrower may satisfy its obligation to deliver the financial statements referred to in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above and the filings referred to in </w:t>
      </w:r>
      <w:r>
        <w:rPr>
          <w:rFonts w:ascii="Times New Roman" w:hAnsi="Times New Roman"/>
          <w:b/>
          <w:i/>
          <w:caps w:val="false"/>
          <w:smallCaps w:val="false"/>
          <w:sz w:val="20"/>
        </w:rPr>
        <w:t xml:space="preserve">clause (f) </w:t>
      </w:r>
      <w:r>
        <w:rPr>
          <w:rFonts w:ascii="Times New Roman" w:hAnsi="Times New Roman"/>
          <w:caps w:val="false"/>
          <w:smallCaps w:val="false"/>
          <w:sz w:val="20"/>
        </w:rPr>
        <w:t>above by delivering such financial statements by electronic mail to such e-mail addresses as the Administrative Agent and Lenders shall have provided to the Borrower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The Loan Parties hereby acknowledges that (A) the Administrative Agent and/or an Affiliate thereof may, but shall not be obligated to, make available to the Lenders and the L/C Issuer materials and/or information provided by or on behalf of Borrower hereunder (collectively, “</w:t>
      </w:r>
      <w:r>
        <w:rPr>
          <w:rFonts w:ascii="Times New Roman" w:hAnsi="Times New Roman"/>
          <w:b/>
          <w:i/>
          <w:caps w:val="false"/>
          <w:smallCaps w:val="false"/>
          <w:sz w:val="20"/>
        </w:rPr>
        <w:t>Borrower Materials</w:t>
      </w:r>
      <w:r>
        <w:rPr>
          <w:rFonts w:ascii="Times New Roman" w:hAnsi="Times New Roman"/>
          <w:caps w:val="false"/>
          <w:smallCaps w:val="false"/>
          <w:sz w:val="20"/>
        </w:rPr>
        <w:t>”) by posting the Borrower Materials on IntraLinks, SyndTrak, ClearPar, Debt Domain or a substantially similar electronic transmission system (the “</w:t>
      </w:r>
      <w:r>
        <w:rPr>
          <w:rFonts w:ascii="Times New Roman" w:hAnsi="Times New Roman"/>
          <w:b/>
          <w:i/>
          <w:caps w:val="false"/>
          <w:smallCaps w:val="false"/>
          <w:sz w:val="20"/>
        </w:rPr>
        <w:t>Platform</w:t>
      </w:r>
      <w:r>
        <w:rPr>
          <w:rFonts w:ascii="Times New Roman" w:hAnsi="Times New Roman"/>
          <w:caps w:val="false"/>
          <w:smallCaps w:val="false"/>
          <w:sz w:val="20"/>
        </w:rPr>
        <w:t>”) and (B) certain of the Lenders (each, a “</w:t>
      </w:r>
      <w:r>
        <w:rPr>
          <w:rFonts w:ascii="Times New Roman" w:hAnsi="Times New Roman"/>
          <w:b/>
          <w:i/>
          <w:caps w:val="false"/>
          <w:smallCaps w:val="false"/>
          <w:sz w:val="20"/>
        </w:rPr>
        <w:t>Public Lender</w:t>
      </w:r>
      <w:r>
        <w:rPr>
          <w:rFonts w:ascii="Times New Roman" w:hAnsi="Times New Roman"/>
          <w:caps w:val="false"/>
          <w:smallCaps w:val="false"/>
          <w:sz w:val="20"/>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the Borrower Materials that may be distributed to the Public Lenders and that (1) all the Borrower Materials shall be clearly and conspicuously marked “</w:t>
      </w:r>
      <w:r>
        <w:rPr>
          <w:rFonts w:ascii="Times New Roman" w:hAnsi="Times New Roman"/>
          <w:i/>
          <w:caps w:val="false"/>
          <w:smallCaps w:val="false"/>
          <w:sz w:val="20"/>
        </w:rPr>
        <w:t>PUBLIC</w:t>
      </w:r>
      <w:r>
        <w:rPr>
          <w:rFonts w:ascii="Times New Roman" w:hAnsi="Times New Roman"/>
          <w:caps w:val="false"/>
          <w:smallCaps w:val="false"/>
          <w:sz w:val="20"/>
        </w:rPr>
        <w:t>” which, at a minimum, shall mean that the word “</w:t>
      </w:r>
      <w:r>
        <w:rPr>
          <w:rFonts w:ascii="Times New Roman" w:hAnsi="Times New Roman"/>
          <w:i/>
          <w:caps w:val="false"/>
          <w:smallCaps w:val="false"/>
          <w:sz w:val="20"/>
        </w:rPr>
        <w:t>PUBLIC</w:t>
      </w:r>
      <w:r>
        <w:rPr>
          <w:rFonts w:ascii="Times New Roman" w:hAnsi="Times New Roman"/>
          <w:caps w:val="false"/>
          <w:smallCaps w:val="false"/>
          <w:sz w:val="20"/>
        </w:rPr>
        <w:t>” shall appear prominently on the first page thereof; (2) by marking the Borrower Materials “</w:t>
      </w:r>
      <w:r>
        <w:rPr>
          <w:rFonts w:ascii="Times New Roman" w:hAnsi="Times New Roman"/>
          <w:i/>
          <w:caps w:val="false"/>
          <w:smallCaps w:val="false"/>
          <w:sz w:val="20"/>
        </w:rPr>
        <w:t>PUBLIC,</w:t>
      </w:r>
      <w:r>
        <w:rPr>
          <w:rFonts w:ascii="Times New Roman" w:hAnsi="Times New Roman"/>
          <w:caps w:val="false"/>
          <w:smallCaps w:val="false"/>
          <w:sz w:val="20"/>
        </w:rPr>
        <w:t>” Borrower shall be deemed to have authorized the Administrative Agent, any Affiliate thereof, the Arranger, the L/C Issuer and the Lenders to treat the Borrower Materials as not containing any material non-public information (although it may be sensitive and proprietary) with respect to Borrower or its securities for purposes of United States federal and state securities laws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to the extent the Borrower Materials constitute information subject to the confidentiality provisions of </w:t>
      </w:r>
      <w:r>
        <w:rPr>
          <w:rFonts w:ascii="Times New Roman" w:hAnsi="Times New Roman"/>
          <w:b/>
          <w:i/>
          <w:caps w:val="false"/>
          <w:smallCaps w:val="false"/>
          <w:sz w:val="20"/>
        </w:rPr>
        <w:t>Section 11.07</w:t>
      </w:r>
      <w:r>
        <w:rPr>
          <w:rFonts w:ascii="Times New Roman" w:hAnsi="Times New Roman"/>
          <w:caps w:val="false"/>
          <w:smallCaps w:val="false"/>
          <w:sz w:val="20"/>
        </w:rPr>
        <w:t xml:space="preserve">, they shall be treated as set forth in </w:t>
      </w:r>
      <w:r>
        <w:rPr>
          <w:rFonts w:ascii="Times New Roman" w:hAnsi="Times New Roman"/>
          <w:b/>
          <w:i/>
          <w:caps w:val="false"/>
          <w:smallCaps w:val="false"/>
          <w:sz w:val="20"/>
        </w:rPr>
        <w:t>Section 11.07</w:t>
      </w:r>
      <w:r>
        <w:rPr>
          <w:rFonts w:ascii="Times New Roman" w:hAnsi="Times New Roman"/>
          <w:caps w:val="false"/>
          <w:smallCaps w:val="false"/>
          <w:sz w:val="20"/>
        </w:rPr>
        <w:t>); (3) all Borrower Materials marked “</w:t>
      </w:r>
      <w:r>
        <w:rPr>
          <w:rFonts w:ascii="Times New Roman" w:hAnsi="Times New Roman"/>
          <w:i/>
          <w:caps w:val="false"/>
          <w:smallCaps w:val="false"/>
          <w:sz w:val="20"/>
        </w:rPr>
        <w:t>PUBLIC</w:t>
      </w:r>
      <w:r>
        <w:rPr>
          <w:rFonts w:ascii="Times New Roman" w:hAnsi="Times New Roman"/>
          <w:caps w:val="false"/>
          <w:smallCaps w:val="false"/>
          <w:sz w:val="20"/>
        </w:rPr>
        <w:t>” are permitted to be made available through a portion of the Platform designated “</w:t>
      </w:r>
      <w:r>
        <w:rPr>
          <w:rFonts w:ascii="Times New Roman" w:hAnsi="Times New Roman"/>
          <w:i/>
          <w:caps w:val="false"/>
          <w:smallCaps w:val="false"/>
          <w:sz w:val="20"/>
        </w:rPr>
        <w:t>Public Side Information;</w:t>
      </w:r>
      <w:r>
        <w:rPr>
          <w:rFonts w:ascii="Times New Roman" w:hAnsi="Times New Roman"/>
          <w:caps w:val="false"/>
          <w:smallCaps w:val="false"/>
          <w:sz w:val="20"/>
        </w:rPr>
        <w:t>” and (4) the Administrative Agent and any Affiliate thereof and the Arranger shall be entitled to treat any Borrower Materials that are not marked “</w:t>
      </w:r>
      <w:r>
        <w:rPr>
          <w:rFonts w:ascii="Times New Roman" w:hAnsi="Times New Roman"/>
          <w:i/>
          <w:caps w:val="false"/>
          <w:smallCaps w:val="false"/>
          <w:sz w:val="20"/>
        </w:rPr>
        <w:t>PUBLIC</w:t>
      </w:r>
      <w:r>
        <w:rPr>
          <w:rFonts w:ascii="Times New Roman" w:hAnsi="Times New Roman"/>
          <w:caps w:val="false"/>
          <w:smallCaps w:val="false"/>
          <w:sz w:val="20"/>
        </w:rPr>
        <w:t>” as being suitable only for posting on a portion of the Platform not designated “</w:t>
      </w:r>
      <w:r>
        <w:rPr>
          <w:rFonts w:ascii="Times New Roman" w:hAnsi="Times New Roman"/>
          <w:i/>
          <w:caps w:val="false"/>
          <w:smallCaps w:val="false"/>
          <w:sz w:val="20"/>
        </w:rPr>
        <w:t>Public Side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6.02</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6.03    </w:t>
      </w:r>
      <w:r>
        <w:rPr>
          <w:rFonts w:ascii="Times New Roman" w:hAnsi="Times New Roman"/>
          <w:b/>
          <w:caps w:val="false"/>
          <w:smallCaps w:val="false"/>
          <w:sz w:val="20"/>
        </w:rPr>
        <w:t>Notices</w:t>
      </w:r>
      <w:r>
        <w:rPr>
          <w:rFonts w:ascii="Times New Roman" w:hAnsi="Times New Roman"/>
          <w:caps w:val="false"/>
          <w:smallCaps w:val="false"/>
          <w:sz w:val="20"/>
        </w:rPr>
        <w:t>. Furnish to the Administrative Agent for distribution to each Lender prompt written notice after a Responsible Officer obtains knowledge thereof of the following:</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60"/>
        <w:gridCol w:w="230"/>
        <w:gridCol w:w="42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occurrence of any Default or Event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the filing or commencement of, or any material development in, any action, suit or proceeding by or before any arbitrator or Governmental Authority against or, to the knowledge of Borrower, affecting any Loan Party or any Subsidiary which, if adversely determined,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the occurrence of any event or any other development by which any Loan Party or any Subsidiary (i) fails to comply with any Environmental Law or to obtain, maintain or comply with any permit, license or other approval required under any Environmental Law, (ii) becomes subject to any Environmental Liability, (iii) receives notice of any claim with respect to any Environmental Liability, or (iv) becomes aware of any basis for any Environmental Liability and in each of the preceding clauses, which individually or in the aggregate,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the occurrence of any ERISA Event that alone, or together with any other ERISA Events that have occurred, could reasonably be expected to result in liability of the Loan Party Group Companies which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(i) any breach or non-performance of, or any default under, any Contractual Obligation of any Loan Party or any Subsidiary, (ii) any violation of, or non-compliance with, any Law, or (iii) any action, suit or proceeding against any Loan Party Group Company with respect to the Controlled Substances Act or, solely as they may relate to an alleged violation of the Controlled Substances Act, the Civil Asset Forfeiture Reform Act or applicable anti-money laundering laws, which in the case of </w:t>
      </w:r>
      <w:r>
        <w:rPr>
          <w:rFonts w:ascii="Times New Roman" w:hAnsi="Times New Roman"/>
          <w:b/>
          <w:i/>
          <w:caps w:val="false"/>
          <w:smallCaps w:val="false"/>
          <w:sz w:val="20"/>
        </w:rPr>
        <w:t xml:space="preserve">clauses (i)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(ii) </w:t>
      </w:r>
      <w:r>
        <w:rPr>
          <w:rFonts w:ascii="Times New Roman" w:hAnsi="Times New Roman"/>
          <w:caps w:val="false"/>
          <w:smallCaps w:val="false"/>
          <w:sz w:val="20"/>
        </w:rPr>
        <w:t>would reasonably be expected to result, either individually or in the aggregate,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the commencement of, or any material development in, any litigation or proceeding affecting any Loan Party or any Subsidiary (i) in which, if adversely determined, would reasonably be expected to have a Material Adverse Effect or (ii) in which the relief sought is an injunction or other stay of the performance of this Agreement or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any other development that results in,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any change in the information provided in the Beneficial Ownership Certification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any termination or material change in the Property Licenses, including any default, termination or other material change in the underlying leases related to such Property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(j)    promptly and in any event at least ten (10) Business Days prior thereto (or such shorter period as the Administrative Agent may permit), notice of any change (i) in any Loan Party’s legal name, (ii) in any Loan Party’s chief executive office, its principal place of business, any office in which it maintains books or records or any office or facility at which Collateral owned by it in excess of $500,000 is located (including the establishment of any such new office or facility), (iii) in any Loan Party’s identity or legal structure, (iv) in any Loan Party’s federal taxpayer identification number or organizational number or (v) in any Loan Party’s jurisdiction of organization;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(k)    any labor controversy resulting in or threatening to result in any strike, work stoppage, boycott, shutdown or other labor disruption against or involving any Loan Party or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Subsidiary if the same would reasonably be expected to have, either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notice pursuant to this </w:t>
      </w:r>
      <w:r>
        <w:rPr>
          <w:rFonts w:ascii="Times New Roman" w:hAnsi="Times New Roman"/>
          <w:b/>
          <w:i/>
          <w:caps w:val="false"/>
          <w:smallCaps w:val="false"/>
          <w:sz w:val="20"/>
        </w:rPr>
        <w:t xml:space="preserve">Section 6.03 </w:t>
      </w:r>
      <w:r>
        <w:rPr>
          <w:rFonts w:ascii="Times New Roman" w:hAnsi="Times New Roman"/>
          <w:caps w:val="false"/>
          <w:smallCaps w:val="false"/>
          <w:sz w:val="20"/>
        </w:rPr>
        <w:t>shall be accompanied by a written statement of a Responsible Officer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6.04    </w:t>
      </w:r>
      <w:r>
        <w:rPr>
          <w:rFonts w:ascii="Times New Roman" w:hAnsi="Times New Roman"/>
          <w:b/>
          <w:caps w:val="false"/>
          <w:smallCaps w:val="false"/>
          <w:sz w:val="20"/>
        </w:rPr>
        <w:t>Payment of Obligations</w:t>
      </w:r>
      <w:r>
        <w:rPr>
          <w:rFonts w:ascii="Times New Roman" w:hAnsi="Times New Roman"/>
          <w:caps w:val="false"/>
          <w:smallCaps w:val="false"/>
          <w:sz w:val="20"/>
        </w:rPr>
        <w:t>. Pay and discharge at or before maturity, all of its obligations and liabilities (including without limitation all taxes, assessments and other governmental charges, levies and all other claims that could result in a statutory Lien) before the same shall become delinquent or in default, except (a) where (i) the validity or amount thereof is being contested in good faith by appropriate proceedings, (ii) the applicable Loan Party Group Company has set aside on its books adequate reserves with respect thereto in accordance with GAAP, and (iii) in the case of a tax or claim which has or may become a Lien against any of the Collateral, such contest proceedings conclusively operate to stay the sale of any portion of the Collateral to satisfy such tax or claim or (b) the failure to pay or discharge such obligation or liability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
        <w:gridCol w:w="380"/>
        <w:gridCol w:w="26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6.05</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Existence, Conduct of Business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Do or cause to be done all things necessary to preserve, renew and maintain in full force and effect its legal existence and its respective rights, licenses, permits, privileges, franchises, patents, copyrights, trademarks and trade names material to the conduct of its business;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nothing in this </w:t>
      </w:r>
      <w:r>
        <w:rPr>
          <w:rFonts w:ascii="Times New Roman" w:hAnsi="Times New Roman"/>
          <w:b/>
          <w:i/>
          <w:caps w:val="false"/>
          <w:smallCaps w:val="false"/>
          <w:sz w:val="20"/>
        </w:rPr>
        <w:t xml:space="preserve">Section 6.05 </w:t>
      </w:r>
      <w:r>
        <w:rPr>
          <w:rFonts w:ascii="Times New Roman" w:hAnsi="Times New Roman"/>
          <w:caps w:val="false"/>
          <w:smallCaps w:val="false"/>
          <w:sz w:val="20"/>
        </w:rPr>
        <w:t xml:space="preserve">shall (i) prohibit any merger, consolidation, liquidation or dissolution permitted under </w:t>
      </w:r>
      <w:r>
        <w:rPr>
          <w:rFonts w:ascii="Times New Roman" w:hAnsi="Times New Roman"/>
          <w:b/>
          <w:i/>
          <w:caps w:val="false"/>
          <w:smallCaps w:val="false"/>
          <w:sz w:val="20"/>
        </w:rPr>
        <w:t xml:space="preserve">Section 7.04 </w:t>
      </w:r>
      <w:r>
        <w:rPr>
          <w:rFonts w:ascii="Times New Roman" w:hAnsi="Times New Roman"/>
          <w:caps w:val="false"/>
          <w:smallCaps w:val="false"/>
          <w:sz w:val="20"/>
        </w:rPr>
        <w:t xml:space="preserve">or any disposition permitted under </w:t>
      </w:r>
      <w:r>
        <w:rPr>
          <w:rFonts w:ascii="Times New Roman" w:hAnsi="Times New Roman"/>
          <w:b/>
          <w:i/>
          <w:caps w:val="false"/>
          <w:smallCaps w:val="false"/>
          <w:sz w:val="20"/>
        </w:rPr>
        <w:t xml:space="preserve">Section 7.05 </w:t>
      </w:r>
      <w:r>
        <w:rPr>
          <w:rFonts w:ascii="Times New Roman" w:hAnsi="Times New Roman"/>
          <w:caps w:val="false"/>
          <w:smallCaps w:val="false"/>
          <w:sz w:val="20"/>
        </w:rPr>
        <w:t>or</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(ii) require any action the failure of which to take could not reasonably be expected to have a Material Adverse Effect (other than with respect to the legal existence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Engage in the business of the type conducted by the Loan Parties and their Subsidiaries (including the Hemp Entities) on the Fifth Amendment Effective Date and businesses reasonably related, ancillary or incidental thereto; provided that (i) such additional business does not violate (x) any Laws in a manner that could reasonably be expected to result in a Material Adverse Effect or (y) any federal or state Laws regarding the restricted activities set forth in </w:t>
      </w:r>
      <w:r>
        <w:rPr>
          <w:rFonts w:ascii="Times New Roman" w:hAnsi="Times New Roman"/>
          <w:b/>
          <w:i/>
          <w:caps w:val="false"/>
          <w:smallCaps w:val="false"/>
          <w:sz w:val="20"/>
        </w:rPr>
        <w:t>Section</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7.05 </w:t>
      </w:r>
      <w:r>
        <w:rPr>
          <w:rFonts w:ascii="Times New Roman" w:hAnsi="Times New Roman"/>
          <w:caps w:val="false"/>
          <w:smallCaps w:val="false"/>
          <w:sz w:val="20"/>
        </w:rPr>
        <w:t>and (ii) notwithstanding the foregoing, in no event shall the Loan Parties and their Subsidiaries (including the Hemp Entities) conduct Hemp cultivation;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preserve or renew all of its registered Intellectual Property, the non-preservation of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380"/>
        <w:gridCol w:w="32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6.06</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Maintenance of Properties; Insurance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Keep and maintain all property material to the conduct of its business in good working order and condition, ordinary wear and tear and casualty excepted and except where the failure to do so would not reasonably be expected to have, either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Maintain with financially sound and reputable insurance companies which are not Affiliates of Borrower, insurance with respect to its properties and business, and the properties and business of its Subsidiaries, against loss or damage of the kinds customarily insured against by companies in the same or similar businesses operating in the same or similar locations;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At all times shall name Administrative Agent as additional insured on all liability policies and loss payee on all property or casualty polices of the Loan Party Group Companies (which policies shall be endorsed or otherwise amended to include a customary lender’s loss payable endorsement and to name the Administrative Agent as additional insured or loss payee,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6.07</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6.08    </w:t>
      </w:r>
      <w:r>
        <w:rPr>
          <w:rFonts w:ascii="Times New Roman" w:hAnsi="Times New Roman"/>
          <w:b/>
          <w:caps w:val="false"/>
          <w:smallCaps w:val="false"/>
          <w:sz w:val="20"/>
        </w:rPr>
        <w:t>Compliance with Laws; Etc</w:t>
      </w:r>
      <w:r>
        <w:rPr>
          <w:rFonts w:ascii="Times New Roman" w:hAnsi="Times New Roman"/>
          <w:caps w:val="false"/>
          <w:smallCaps w:val="false"/>
          <w:sz w:val="20"/>
        </w:rPr>
        <w:t xml:space="preserve">. Comply with all Laws applicable to its business and properties, including without limitation, all Food Safety Laws, Environmental Laws, ERISA and OSHA, except where the failure to do so, either individually or in the aggregate, could not reasonably be expected to result in a Material Adverse Effect; provided that any federal or state Laws regarding the restricted activities set forth in </w:t>
      </w:r>
      <w:r>
        <w:rPr>
          <w:rFonts w:ascii="Times New Roman" w:hAnsi="Times New Roman"/>
          <w:b/>
          <w:i/>
          <w:caps w:val="false"/>
          <w:smallCaps w:val="false"/>
          <w:sz w:val="20"/>
        </w:rPr>
        <w:t xml:space="preserve">Section 7.05 </w:t>
      </w:r>
      <w:r>
        <w:rPr>
          <w:rFonts w:ascii="Times New Roman" w:hAnsi="Times New Roman"/>
          <w:caps w:val="false"/>
          <w:smallCaps w:val="false"/>
          <w:sz w:val="20"/>
        </w:rPr>
        <w:t>shall be complied with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6.09    </w:t>
      </w:r>
      <w:r>
        <w:rPr>
          <w:rFonts w:ascii="Times New Roman" w:hAnsi="Times New Roman"/>
          <w:b/>
          <w:caps w:val="false"/>
          <w:smallCaps w:val="false"/>
          <w:sz w:val="20"/>
        </w:rPr>
        <w:t>Books and Records</w:t>
      </w:r>
      <w:r>
        <w:rPr>
          <w:rFonts w:ascii="Times New Roman" w:hAnsi="Times New Roman"/>
          <w:caps w:val="false"/>
          <w:smallCaps w:val="false"/>
          <w:sz w:val="20"/>
        </w:rPr>
        <w:t>. Keep proper books of record and account in which full, true and correct entries shall be made of all dealings and transactions in relation to its business and activities to the extent necessary to prepare the consolidated financial statements of the Loan Party Group Companies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6.10    </w:t>
      </w:r>
      <w:r>
        <w:rPr>
          <w:rFonts w:ascii="Times New Roman" w:hAnsi="Times New Roman"/>
          <w:b/>
          <w:caps w:val="false"/>
          <w:smallCaps w:val="false"/>
          <w:sz w:val="20"/>
        </w:rPr>
        <w:t>Visitation, Inspection, Etc</w:t>
      </w:r>
      <w:r>
        <w:rPr>
          <w:rFonts w:ascii="Times New Roman" w:hAnsi="Times New Roman"/>
          <w:caps w:val="false"/>
          <w:smallCaps w:val="false"/>
          <w:sz w:val="20"/>
        </w:rPr>
        <w:t xml:space="preserve">. Permit any representative of the Administrative Agent (which may be accompanied by representatives of any of the Lenders at their own expense), to visit and inspect its properties, to examine its books and records and to make copies and take extracts therefrom, and to discuss its affairs, finances and accounts with any of its officers and with its independent certified public accountants one (1) time per Fiscal Year, during normal business hours and upon reasonable advance notice; </w:t>
      </w:r>
      <w:r>
        <w:rPr>
          <w:rFonts w:ascii="Times New Roman" w:hAnsi="Times New Roman"/>
          <w:i/>
          <w:caps w:val="false"/>
          <w:smallCaps w:val="false"/>
          <w:sz w:val="20"/>
        </w:rPr>
        <w:t>provided</w:t>
      </w:r>
      <w:r>
        <w:rPr>
          <w:rFonts w:ascii="Times New Roman" w:hAnsi="Times New Roman"/>
          <w:caps w:val="false"/>
          <w:smallCaps w:val="false"/>
          <w:sz w:val="20"/>
        </w:rPr>
        <w:t xml:space="preserve">, if an Event of Default has occurred and is continuing, no prior notice shall be required and visitations will not be limited in number;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unless an Event of Default has occurred and is continuing, the Loan Parties shall only be responsible for costs and expenses of the Administrative Agent for one (1) such inspection in any Fiscal Year;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no such discussion with any such independent certified public accountants shall be permitted unless Borrower shall have received reasonable notice thereof and a reasonable opportunity to participate therein.</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380"/>
        <w:gridCol w:w="318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6.11</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Proceeds; Margin Regulations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Use the proceeds of all the Revolving Loans after the Closing Date to finance Permitted Acquisitions, to finance working capital needs and Capital Expenditures and for other general corporate purposes of Loan Parties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Use the proceeds of the Term Loan on the Closing Date, to (i) refinance existing Indebtedness (including the Existing Credit Agreement), and (ii) pay costs and expenses related to the transactions occurring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Use the proceeds of the Delayed Draw Term Loans for Permitted Acquisitions and costs and expenses related to Permitted Acquisitions.</w:t>
      </w:r>
    </w:p>
    <w:p>
      <w:pPr>
        <w:pStyle w:val="TextBody"/>
        <w:bidi w:val="0"/>
        <w:spacing w:before="0" w:after="0"/>
        <w:ind w:left="0" w:right="0" w:hanging="0"/>
        <w:jc w:val="left"/>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60"/>
        <w:gridCol w:w="245"/>
        <w:gridCol w:w="9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60"/>
        <w:gridCol w:w="230"/>
        <w:gridCol w:w="44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4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all Letters of Credit for general corporate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Not use any part of the proceeds of any Loan, whether directly or indirectly, for any purpose that would violate any rule or regulation of the FRB, including Regulation T, Regulation U or Regulation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Not request any Loans or Letter of Credit, and Borrower shall not use, and shall procure that each other Loan Party Group Company and its or their respective directors, officers, employees and agents shall not use, the proceeds of any Loans or Letter of Credit (a) in furtherance of an offer, payment, promise to pay, or authorization of the payment or giving of money, or anything else of value, to any Person in violation of any Anti-Corruption Laws or Sanctions, (b) for the purpose of funding, financing or facilitating any activities, business or transaction of or with any Sanctioned Person, or in any Sanctioned Country, in violation of Sanctions, (c) in any manner that would result in the violation of any Sanctions applicable to any party hereto or (d) to directly or indirectly fund, refund or otherwise pay for any activity prohibited by </w:t>
      </w:r>
      <w:r>
        <w:rPr>
          <w:rFonts w:ascii="Times New Roman" w:hAnsi="Times New Roman"/>
          <w:b/>
          <w:i/>
          <w:caps w:val="false"/>
          <w:smallCaps w:val="false"/>
          <w:sz w:val="20"/>
        </w:rPr>
        <w:t>Section 7.05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Not request any Loans or Letter of Credit, and Borrower shall not use, and shall procure that each other Loan Party Group Company and its or their respective directors, officers, employees and agents shall not use, the proceeds of any Loans or Letter of Credit for any purposes other than those set out in </w:t>
      </w:r>
      <w:r>
        <w:rPr>
          <w:rFonts w:ascii="Times New Roman" w:hAnsi="Times New Roman"/>
          <w:b/>
          <w:i/>
          <w:caps w:val="false"/>
          <w:smallCaps w:val="false"/>
          <w:sz w:val="20"/>
        </w:rPr>
        <w:t>Section 6.11</w:t>
      </w:r>
      <w:r>
        <w:rPr>
          <w:rFonts w:ascii="Times New Roman" w:hAnsi="Times New Roman"/>
          <w:caps w:val="false"/>
          <w:smallCaps w:val="false"/>
          <w:sz w:val="20"/>
        </w:rPr>
        <w:t xml:space="preserve">; and for greater certainty all Loans or Letter of Credit will be applied in full (other than with respect to any surplus amounts borrowed as a result of borrowing minimums required by </w:t>
      </w:r>
      <w:r>
        <w:rPr>
          <w:rFonts w:ascii="Times New Roman" w:hAnsi="Times New Roman"/>
          <w:b/>
          <w:i/>
          <w:caps w:val="false"/>
          <w:smallCaps w:val="false"/>
          <w:sz w:val="20"/>
        </w:rPr>
        <w:t>Sections 2.02</w:t>
      </w:r>
      <w:r>
        <w:rPr>
          <w:rFonts w:ascii="Times New Roman" w:hAnsi="Times New Roman"/>
          <w:caps w:val="false"/>
          <w:smallCaps w:val="false"/>
          <w:sz w:val="20"/>
        </w:rPr>
        <w:t xml:space="preserve">) for the purposes set out in </w:t>
      </w:r>
      <w:r>
        <w:rPr>
          <w:rFonts w:ascii="Times New Roman" w:hAnsi="Times New Roman"/>
          <w:b/>
          <w:i/>
          <w:caps w:val="false"/>
          <w:smallCaps w:val="false"/>
          <w:sz w:val="20"/>
        </w:rPr>
        <w:t xml:space="preserve">Section 6.11 </w:t>
      </w:r>
      <w:r>
        <w:rPr>
          <w:rFonts w:ascii="Times New Roman" w:hAnsi="Times New Roman"/>
          <w:caps w:val="false"/>
          <w:smallCaps w:val="false"/>
          <w:sz w:val="20"/>
        </w:rPr>
        <w:t>within a reasonable time of the relevant Borrowing and shall not be applied to accumulate or maintain cash or cash equivalents without a specific business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6.12    </w:t>
      </w:r>
      <w:r>
        <w:rPr>
          <w:rFonts w:ascii="Times New Roman" w:hAnsi="Times New Roman"/>
          <w:b/>
          <w:caps w:val="false"/>
          <w:smallCaps w:val="false"/>
          <w:sz w:val="20"/>
        </w:rPr>
        <w:t>Material Contracts</w:t>
      </w:r>
      <w:r>
        <w:rPr>
          <w:rFonts w:ascii="Times New Roman" w:hAnsi="Times New Roman"/>
          <w:caps w:val="false"/>
          <w:smallCaps w:val="false"/>
          <w:sz w:val="20"/>
        </w:rPr>
        <w:t>. (i) Perform and observe all the terms and provisions of each Material Contract to be performed or observed by it, (ii) maintain each such Material Contract in full force and effect, and (iii) enforce each such Material Contract in accordance with its terms, except, in any case of clause (i),</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(ii) and (iii), where the failure to do so, either individually or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380"/>
        <w:gridCol w:w="20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6.13</w:t>
            </w:r>
          </w:p>
        </w:tc>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Guarantors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If any Subsidiary is acquired or formed after the Closing Date, promptly notify the Administrative Agent and the Lenders thereof and, within thirty (30) days (or such later date as the Administrative Agent may agree to) after any such Subsidiary is acquired or formed, cause such Subsidiary to become a Guarantor. Any such Subsidiary shall become an additional Guarantor by executing and delivering to the Administrative Agent a Guarantor Joinder Agreement in form and substance reasonably satisfactory to the Administrative Agent, accompanied by (i) all other Loan Documents related thereto, (ii) certified copies of Organization Documents, appropriate authorizing resolutions of the board of directors of such Subsidiaries, and opinions of counsel, in each case, comparable to those delivered pursuant to </w:t>
      </w:r>
      <w:r>
        <w:rPr>
          <w:rFonts w:ascii="Times New Roman" w:hAnsi="Times New Roman"/>
          <w:b/>
          <w:i/>
          <w:caps w:val="false"/>
          <w:smallCaps w:val="false"/>
          <w:sz w:val="20"/>
        </w:rPr>
        <w:t xml:space="preserve">Section 3.01(b) </w:t>
      </w:r>
      <w:r>
        <w:rPr>
          <w:rFonts w:ascii="Times New Roman" w:hAnsi="Times New Roman"/>
          <w:caps w:val="false"/>
          <w:smallCaps w:val="false"/>
          <w:sz w:val="20"/>
        </w:rPr>
        <w:t xml:space="preserve">and </w:t>
      </w:r>
      <w:r>
        <w:rPr>
          <w:rFonts w:ascii="Times New Roman" w:hAnsi="Times New Roman"/>
          <w:b/>
          <w:i/>
          <w:caps w:val="false"/>
          <w:smallCaps w:val="false"/>
          <w:sz w:val="20"/>
        </w:rPr>
        <w:t>Section 3.01(c)</w:t>
      </w:r>
      <w:r>
        <w:rPr>
          <w:rFonts w:ascii="Times New Roman" w:hAnsi="Times New Roman"/>
          <w:caps w:val="false"/>
          <w:smallCaps w:val="false"/>
          <w:sz w:val="20"/>
        </w:rPr>
        <w:t>, and</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(iii) such other documents as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Borrower agrees that the property required to be pledged pursuant to </w:t>
      </w:r>
      <w:r>
        <w:rPr>
          <w:rFonts w:ascii="Times New Roman" w:hAnsi="Times New Roman"/>
          <w:b/>
          <w:i/>
          <w:caps w:val="false"/>
          <w:smallCaps w:val="false"/>
          <w:sz w:val="20"/>
        </w:rPr>
        <w:t xml:space="preserve">subsection (a)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w:t>
      </w:r>
      <w:r>
        <w:rPr>
          <w:rFonts w:ascii="Times New Roman" w:hAnsi="Times New Roman"/>
          <w:caps w:val="false"/>
          <w:smallCaps w:val="false"/>
          <w:sz w:val="20"/>
        </w:rPr>
        <w:t xml:space="preserve">shall be subject to a first priority perfected Lien of the Administrative Agent (to the extent that such Lien can be perfected by execution, delivery and/or recording of the Collateral Documents, UCC financing statements or PPSA financing statements, or possession of such Collateral), free and clear of all Liens other than Liens permitted under </w:t>
      </w:r>
      <w:r>
        <w:rPr>
          <w:rFonts w:ascii="Times New Roman" w:hAnsi="Times New Roman"/>
          <w:b/>
          <w:i/>
          <w:caps w:val="false"/>
          <w:smallCaps w:val="false"/>
          <w:sz w:val="20"/>
        </w:rPr>
        <w:t>Section 7.01</w:t>
      </w:r>
      <w:r>
        <w:rPr>
          <w:rFonts w:ascii="Times New Roman" w:hAnsi="Times New Roman"/>
          <w:caps w:val="false"/>
          <w:smallCaps w:val="false"/>
          <w:sz w:val="20"/>
        </w:rPr>
        <w:t xml:space="preserve">. All actions to be taken pursuant to this </w:t>
      </w:r>
      <w:r>
        <w:rPr>
          <w:rFonts w:ascii="Times New Roman" w:hAnsi="Times New Roman"/>
          <w:b/>
          <w:i/>
          <w:caps w:val="false"/>
          <w:smallCaps w:val="false"/>
          <w:sz w:val="20"/>
        </w:rPr>
        <w:t xml:space="preserve">Section </w:t>
      </w:r>
      <w:r>
        <w:rPr>
          <w:rFonts w:ascii="Times New Roman" w:hAnsi="Times New Roman"/>
          <w:caps w:val="false"/>
          <w:smallCaps w:val="false"/>
          <w:sz w:val="20"/>
        </w:rPr>
        <w:t>shall be at the expense of Borrower or the applicable Loan Party and shall be taken to the reasonable satisfaction of the Administrative Agent.</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380"/>
        <w:gridCol w:w="47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6.14</w:t>
            </w:r>
          </w:p>
        </w:tc>
        <w:tc>
          <w:tcPr>
            <w:tcW w:w="4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Pledged Assets</w:t>
            </w:r>
            <w:r>
              <w:rPr>
                <w:rFonts w:ascii="Times New Roman" w:hAnsi="Times New Roman"/>
                <w:caps w:val="false"/>
                <w:smallCaps w:val="false"/>
                <w:sz w:val="20"/>
              </w:rPr>
              <w:t>. Except with respect to Excluded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Equity Interests</w:t>
      </w:r>
      <w:r>
        <w:rPr>
          <w:rFonts w:ascii="Times New Roman" w:hAnsi="Times New Roman"/>
          <w:caps w:val="false"/>
          <w:smallCaps w:val="false"/>
          <w:sz w:val="20"/>
        </w:rPr>
        <w:t>. Cause (i) 100% of the issued and outstanding Equity Interests of each Domestic Subsidiary and the Hemp Entities and (ii) 66% (or such greater percentage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could not reasonably be expected to cause the undistributed earnings of such Foreign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Subsidiary as determined for United States federal income tax purposes to be treated as a deemed dividend to such Foreign Subsidiary’s United States parent and (B) could not reasonably be expected to cause any material adverse tax consequences) of the issued and outstanding Equity Interests entitled to vote (within the meaning of Treas. Reg. </w:t>
      </w:r>
      <w:r>
        <w:rPr>
          <w:rFonts w:ascii="Times New Roman" w:hAnsi="Times New Roman"/>
          <w:i/>
          <w:caps w:val="false"/>
          <w:smallCaps w:val="false"/>
          <w:sz w:val="20"/>
        </w:rPr>
        <w:t>Section 1.956-2(c)(2)</w:t>
      </w:r>
      <w:r>
        <w:rPr>
          <w:rFonts w:ascii="Times New Roman" w:hAnsi="Times New Roman"/>
          <w:caps w:val="false"/>
          <w:smallCaps w:val="false"/>
          <w:sz w:val="20"/>
        </w:rPr>
        <w:t xml:space="preserve">) and 100% of the issued and outstanding Equity Interests not entitled to vote (within the meaning of Treas. Reg. </w:t>
      </w:r>
      <w:r>
        <w:rPr>
          <w:rFonts w:ascii="Times New Roman" w:hAnsi="Times New Roman"/>
          <w:i/>
          <w:caps w:val="false"/>
          <w:smallCaps w:val="false"/>
          <w:sz w:val="20"/>
        </w:rPr>
        <w:t>Section 1.956-2(c)(2)</w:t>
      </w:r>
      <w:r>
        <w:rPr>
          <w:rFonts w:ascii="Times New Roman" w:hAnsi="Times New Roman"/>
          <w:caps w:val="false"/>
          <w:smallCaps w:val="false"/>
          <w:sz w:val="20"/>
        </w:rPr>
        <w:t>) in each Foreign Subsidiary directly owned by any Loan Party to be subject at all times to a first priority, perfected Lien in favor of the Administrative Agent to secure the Secured Obligations pursuant to the Collateral Documents, and, in connection with the foregoing, deliver to the Administrative Agent such other documentation as the Administrative Agent may request including, any filings and deliveries to perfect such Liens and favorable opinions of counsel all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Other Property</w:t>
      </w:r>
      <w:r>
        <w:rPr>
          <w:rFonts w:ascii="Times New Roman" w:hAnsi="Times New Roman"/>
          <w:caps w:val="false"/>
          <w:smallCaps w:val="false"/>
          <w:sz w:val="20"/>
        </w:rPr>
        <w:t xml:space="preserve">. Cause all personal property of each Loan Party (other than Equity Interests described in </w:t>
      </w:r>
      <w:r>
        <w:rPr>
          <w:rFonts w:ascii="Times New Roman" w:hAnsi="Times New Roman"/>
          <w:b/>
          <w:i/>
          <w:caps w:val="false"/>
          <w:smallCaps w:val="false"/>
          <w:sz w:val="20"/>
        </w:rPr>
        <w:t xml:space="preserve">clause (a) </w:t>
      </w:r>
      <w:r>
        <w:rPr>
          <w:rFonts w:ascii="Times New Roman" w:hAnsi="Times New Roman"/>
          <w:caps w:val="false"/>
          <w:smallCaps w:val="false"/>
          <w:sz w:val="20"/>
        </w:rPr>
        <w:t>above) to be subject at all times to first priority, perfected to secure the Secured Obligations pursuant to the Collateral Documents (subject to Permitted Liens) and, in connection with the foregoing, deliver to the Administrative Agent such other documentation as the Administrative Agent may request including filings and deliveries necessary to perfect such Liens, Organization Documents, resolutions, and favorable opinions of counsel to such Person, all in form, content and scope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Real Property</w:t>
      </w:r>
      <w:r>
        <w:rPr>
          <w:rFonts w:ascii="Times New Roman" w:hAnsi="Times New Roman"/>
          <w:caps w:val="false"/>
          <w:smallCaps w:val="false"/>
          <w:sz w:val="20"/>
        </w:rPr>
        <w:t>. The Administrative Agent may, at its sole discretion cause the applicable Loan Party to provide a Mortgage and such Mortgaged Property Support Documents as the Administrative Agent may request to cause up to two (2) real property locations to be subject at all times to a first priority, perfected Lien (subject in each case to Permitted Liens) in favor of the Administrative Agent for the benefit of the Secured Parties to secure the Secured Obligations pursuant to the terms and conditions of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Landlord Consents</w:t>
      </w:r>
      <w:r>
        <w:rPr>
          <w:rFonts w:ascii="Times New Roman" w:hAnsi="Times New Roman"/>
          <w:caps w:val="false"/>
          <w:smallCaps w:val="false"/>
          <w:sz w:val="20"/>
        </w:rPr>
        <w:t>. Within ninety (90) days (or such later date as the Administrative Agent may agree in its sole discretion) of the Closing Date, use commercially reasonable efforts to deliver or cause to be delivered to the Administrative Agent a duly executed landlord consent from each lessor of any Loan Party’s leased property that is its chief executive office, its principal place of business, any office in which it maintains books or records or any office or facility at which Collateral owned by it in excess of $500,000 is located, which consent shall be in form and substance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Further Assurances</w:t>
      </w:r>
      <w:r>
        <w:rPr>
          <w:rFonts w:ascii="Times New Roman" w:hAnsi="Times New Roman"/>
          <w:caps w:val="false"/>
          <w:smallCaps w:val="false"/>
          <w:sz w:val="20"/>
        </w:rPr>
        <w:t>. (i) At any time upon request of the Administrative Agent, promptly execute and deliver any and all further instruments and documents and take all such other action as the Administrative Agent may deem necessary or desirable to maintain in favor of the Administrative Agent, for the benefit of the Secured Parties, Liens and insurance rights on the Collateral that are duly perfected in accordance with the requirements of, or the obligations of the Loan Parties under, the Loan Documents and all Applicable Laws and (ii) within one hundred fifty</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(150) days following the Second Amendment Effective Date (or such longer period as the Administrative Agent may agree in its sole discretion) complete the Montauk Contribution and the Tilray Beverages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6.15    </w:t>
      </w:r>
      <w:r>
        <w:rPr>
          <w:rFonts w:ascii="Times New Roman" w:hAnsi="Times New Roman"/>
          <w:b/>
          <w:caps w:val="false"/>
          <w:smallCaps w:val="false"/>
          <w:sz w:val="20"/>
        </w:rPr>
        <w:t>Anti-Corruption Laws; Sanctions</w:t>
      </w:r>
      <w:r>
        <w:rPr>
          <w:rFonts w:ascii="Times New Roman" w:hAnsi="Times New Roman"/>
          <w:caps w:val="false"/>
          <w:smallCaps w:val="false"/>
          <w:sz w:val="20"/>
        </w:rPr>
        <w:t>.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380"/>
        <w:gridCol w:w="35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6.16</w:t>
            </w:r>
          </w:p>
        </w:tc>
        <w:tc>
          <w:tcPr>
            <w:tcW w:w="35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Fifth Amendment Post-Closing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Cash Reserve Account</w:t>
      </w:r>
      <w:r>
        <w:rPr>
          <w:rFonts w:ascii="Times New Roman" w:hAnsi="Times New Roman"/>
          <w:caps w:val="false"/>
          <w:smallCaps w:val="false"/>
          <w:sz w:val="20"/>
        </w:rPr>
        <w:t>. On or before the date that is 10 Business Days after the Fifth Amendment Effective Date, (i) the Borrower shall open a separate deposit account with Administrative Agent subject to the Control Agreement for the sole purpose of holding the Cash Reserve Collateral (the “</w:t>
      </w:r>
      <w:r>
        <w:rPr>
          <w:rFonts w:ascii="Times New Roman" w:hAnsi="Times New Roman"/>
          <w:b/>
          <w:i/>
          <w:caps w:val="false"/>
          <w:smallCaps w:val="false"/>
          <w:sz w:val="20"/>
        </w:rPr>
        <w:t>Cash Reserve Collateral Account</w:t>
      </w:r>
      <w:r>
        <w:rPr>
          <w:rFonts w:ascii="Times New Roman" w:hAnsi="Times New Roman"/>
          <w:caps w:val="false"/>
          <w:smallCaps w:val="false"/>
          <w:sz w:val="20"/>
        </w:rPr>
        <w:t>”), (ii) the Borrower shall deposit</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$10,000,000 into the Cash Reserve Collateral Account and (iii) the Borrower shall maintain not less than $10,000,000 in the Cash Reserve Collateral Account at all times during the Minimum TTM EBITDA Testing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Hemp Contribution</w:t>
      </w:r>
      <w:r>
        <w:rPr>
          <w:rFonts w:ascii="Times New Roman" w:hAnsi="Times New Roman"/>
          <w:caps w:val="false"/>
          <w:smallCaps w:val="false"/>
          <w:sz w:val="20"/>
        </w:rPr>
        <w:t>. On or before the date that is 30 days after the Fifth Amendment Effective Date (or such longer period as the Administrative Agent may agree in its sole discretion, but not later than the date that is 60 days after the Fifth Amendment Effective Date),</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the Borrower shall consummate the Hemp Contribution, (ii) the Hemp Entities shall become Guarantors and pledge their assets as required by </w:t>
      </w:r>
      <w:r>
        <w:rPr>
          <w:rFonts w:ascii="Times New Roman" w:hAnsi="Times New Roman"/>
          <w:b/>
          <w:i/>
          <w:caps w:val="false"/>
          <w:smallCaps w:val="false"/>
          <w:sz w:val="20"/>
        </w:rPr>
        <w:t xml:space="preserve">Sections 6.13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6.14 </w:t>
      </w:r>
      <w:r>
        <w:rPr>
          <w:rFonts w:ascii="Times New Roman" w:hAnsi="Times New Roman"/>
          <w:caps w:val="false"/>
          <w:smallCaps w:val="false"/>
          <w:sz w:val="20"/>
        </w:rPr>
        <w:t xml:space="preserve">and (iii) the Borrower shall have delivered a certificate in form and substance satisfactory to the Administrative Agent that the actions set forth in this </w:t>
      </w:r>
      <w:r>
        <w:rPr>
          <w:rFonts w:ascii="Times New Roman" w:hAnsi="Times New Roman"/>
          <w:b/>
          <w:i/>
          <w:caps w:val="false"/>
          <w:smallCaps w:val="false"/>
          <w:sz w:val="20"/>
        </w:rPr>
        <w:t xml:space="preserve">Section 6.16(b) </w:t>
      </w:r>
      <w:r>
        <w:rPr>
          <w:rFonts w:ascii="Times New Roman" w:hAnsi="Times New Roman"/>
          <w:caps w:val="false"/>
          <w:smallCaps w:val="false"/>
          <w:sz w:val="20"/>
        </w:rPr>
        <w:t xml:space="preserve">are in compliance with </w:t>
      </w:r>
      <w:r>
        <w:rPr>
          <w:rFonts w:ascii="Times New Roman" w:hAnsi="Times New Roman"/>
          <w:b/>
          <w:i/>
          <w:caps w:val="false"/>
          <w:smallCaps w:val="false"/>
          <w:sz w:val="20"/>
        </w:rPr>
        <w:t xml:space="preserve">Section 7.12 </w:t>
      </w:r>
      <w:r>
        <w:rPr>
          <w:rFonts w:ascii="Times New Roman" w:hAnsi="Times New Roman"/>
          <w:caps w:val="false"/>
          <w:smallCaps w:val="false"/>
          <w:sz w:val="20"/>
        </w:rPr>
        <w:t xml:space="preserve">and that the Hemp Entities are in compliance with </w:t>
      </w:r>
      <w:r>
        <w:rPr>
          <w:rFonts w:ascii="Times New Roman" w:hAnsi="Times New Roman"/>
          <w:b/>
          <w:i/>
          <w:caps w:val="false"/>
          <w:smallCaps w:val="false"/>
          <w:sz w:val="20"/>
        </w:rPr>
        <w:t xml:space="preserve">Section 7.12 </w:t>
      </w:r>
      <w:r>
        <w:rPr>
          <w:rFonts w:ascii="Times New Roman" w:hAnsi="Times New Roman"/>
          <w:caps w:val="false"/>
          <w:smallCaps w:val="false"/>
          <w:sz w:val="20"/>
        </w:rPr>
        <w:t xml:space="preserve">and </w:t>
      </w:r>
      <w:r>
        <w:rPr>
          <w:rFonts w:ascii="Times New Roman" w:hAnsi="Times New Roman"/>
          <w:b/>
          <w:i/>
          <w:caps w:val="false"/>
          <w:smallCaps w:val="false"/>
          <w:sz w:val="20"/>
        </w:rPr>
        <w:t>Section 6.08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Collateral Updates</w:t>
      </w:r>
      <w:r>
        <w:rPr>
          <w:rFonts w:ascii="Times New Roman" w:hAnsi="Times New Roman"/>
          <w:caps w:val="false"/>
          <w:smallCaps w:val="false"/>
          <w:sz w:val="20"/>
        </w:rPr>
        <w:t xml:space="preserve">. On or before the date that is 45 days after the Fifth Amendment Effective Date, the Borrower shall have delivered to the Administrative Agent, updated intellectual property schedules, intellectual property filings, stock certificates, stock powers, and any other items required to be delivered under </w:t>
      </w:r>
      <w:r>
        <w:rPr>
          <w:rFonts w:ascii="Times New Roman" w:hAnsi="Times New Roman"/>
          <w:b/>
          <w:i/>
          <w:caps w:val="false"/>
          <w:smallCaps w:val="false"/>
          <w:sz w:val="20"/>
        </w:rPr>
        <w:t xml:space="preserve">Section 6.14 </w:t>
      </w:r>
      <w:r>
        <w:rPr>
          <w:rFonts w:ascii="Times New Roman" w:hAnsi="Times New Roman"/>
          <w:caps w:val="false"/>
          <w:smallCaps w:val="false"/>
          <w:sz w:val="20"/>
        </w:rPr>
        <w:t>with respect to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Additional Equity Contribution</w:t>
      </w:r>
      <w:r>
        <w:rPr>
          <w:rFonts w:ascii="Times New Roman" w:hAnsi="Times New Roman"/>
          <w:caps w:val="false"/>
          <w:smallCaps w:val="false"/>
          <w:sz w:val="20"/>
        </w:rPr>
        <w:t xml:space="preserve">. On or before December 31, 2025, Borrower shall have received a cash contribution of not less than $10,000,000 by Holdings (directly or indirectly) in exchange for common Equity Interests of the Borrower and such contribution shall be in compliance with </w:t>
      </w:r>
      <w:r>
        <w:rPr>
          <w:rFonts w:ascii="Times New Roman" w:hAnsi="Times New Roman"/>
          <w:b/>
          <w:i/>
          <w:caps w:val="false"/>
          <w:smallCaps w:val="false"/>
          <w:sz w:val="20"/>
        </w:rPr>
        <w:t>Section 7.12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6.17    </w:t>
      </w:r>
      <w:r>
        <w:rPr>
          <w:rFonts w:ascii="Times New Roman" w:hAnsi="Times New Roman"/>
          <w:b/>
          <w:caps w:val="false"/>
          <w:smallCaps w:val="false"/>
          <w:sz w:val="20"/>
        </w:rPr>
        <w:t xml:space="preserve">Sixth Amendment Post-Closing Covenants. </w:t>
      </w:r>
      <w:r>
        <w:rPr>
          <w:rFonts w:ascii="Times New Roman" w:hAnsi="Times New Roman"/>
          <w:caps w:val="false"/>
          <w:smallCaps w:val="false"/>
          <w:sz w:val="20"/>
        </w:rPr>
        <w:t>On or before the date that is 60 days after the Sixth Amendment Effective Date, the Administrate Agent shall have full dominion and control with respect to the Cash Reserve Collateral Account,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b/>
          <w:caps w:val="false"/>
          <w:smallCaps w:val="false"/>
          <w:sz w:val="20"/>
        </w:rPr>
        <w:t>NEGATIVE COVENANTS</w:t>
      </w:r>
      <w:r>
        <w:rPr>
          <w:rFonts w:ascii="Times New Roman" w:hAnsi="Times New Roman"/>
          <w:caps w:val="false"/>
          <w:smallCaps w:val="false"/>
          <w:sz w:val="20"/>
        </w:rPr>
        <w:t>. Each of the Loan Parties hereby covenants and agrees that until the Facility Termination Date, no Loan Party shall, nor shall it permit any Subsidiary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7.01    </w:t>
      </w:r>
      <w:r>
        <w:rPr>
          <w:rFonts w:ascii="Times New Roman" w:hAnsi="Times New Roman"/>
          <w:b/>
          <w:caps w:val="false"/>
          <w:smallCaps w:val="false"/>
          <w:sz w:val="20"/>
        </w:rPr>
        <w:t>Liens</w:t>
      </w:r>
      <w:r>
        <w:rPr>
          <w:rFonts w:ascii="Times New Roman" w:hAnsi="Times New Roman"/>
          <w:caps w:val="false"/>
          <w:smallCaps w:val="false"/>
          <w:sz w:val="20"/>
        </w:rPr>
        <w:t>. Create, incur, assume or suffer to exist any Lien upon any of its property, assets or revenues, whether now owned or hereafter acquired, except for the following (the “</w:t>
      </w:r>
      <w:r>
        <w:rPr>
          <w:rFonts w:ascii="Times New Roman" w:hAnsi="Times New Roman"/>
          <w:b/>
          <w:i/>
          <w:caps w:val="false"/>
          <w:smallCaps w:val="false"/>
          <w:sz w:val="20"/>
        </w:rPr>
        <w:t>Permitted Liens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230"/>
        <w:gridCol w:w="31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Liens pursuant to any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245"/>
        <w:gridCol w:w="20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Permitted Encumbrances;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any Liens on any property or assets of any Loan Party Group Company existing on the Closing Date set forth on </w:t>
      </w:r>
      <w:r>
        <w:rPr>
          <w:rFonts w:ascii="Times New Roman" w:hAnsi="Times New Roman"/>
          <w:b/>
          <w:i/>
          <w:caps w:val="false"/>
          <w:smallCaps w:val="false"/>
          <w:sz w:val="20"/>
        </w:rPr>
        <w:t xml:space="preserve">Schedule 7.01 </w:t>
      </w:r>
      <w:r>
        <w:rPr>
          <w:rFonts w:ascii="Times New Roman" w:hAnsi="Times New Roman"/>
          <w:caps w:val="false"/>
          <w:smallCaps w:val="false"/>
          <w:sz w:val="20"/>
        </w:rPr>
        <w:t xml:space="preserve">and any improvements, attachments thereto or proceeds thereof; </w:t>
      </w:r>
      <w:r>
        <w:rPr>
          <w:rFonts w:ascii="Times New Roman" w:hAnsi="Times New Roman"/>
          <w:i/>
          <w:caps w:val="false"/>
          <w:smallCaps w:val="false"/>
          <w:sz w:val="20"/>
        </w:rPr>
        <w:t xml:space="preserve">provided </w:t>
      </w:r>
      <w:r>
        <w:rPr>
          <w:rFonts w:ascii="Times New Roman" w:hAnsi="Times New Roman"/>
          <w:caps w:val="false"/>
          <w:smallCaps w:val="false"/>
          <w:sz w:val="20"/>
        </w:rPr>
        <w:t>that such Lien shall not apply to any other property or asset of any Loan Party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purchase money Liens upon or in any fixed or capital assets to secure the purchase price or the cost of construction or improvement of such fixed or capital assets or to secure Indebtedness incurred solely for the purpose of financing the acquisition, construction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improvement of such fixed or capital assets (including Liens securing any Capital Leases);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 such Lien secured Indebtedness permitted by </w:t>
      </w:r>
      <w:r>
        <w:rPr>
          <w:rFonts w:ascii="Times New Roman" w:hAnsi="Times New Roman"/>
          <w:b/>
          <w:i/>
          <w:caps w:val="false"/>
          <w:smallCaps w:val="false"/>
          <w:sz w:val="20"/>
        </w:rPr>
        <w:t>Section 7.02(c)</w:t>
      </w:r>
      <w:r>
        <w:rPr>
          <w:rFonts w:ascii="Times New Roman" w:hAnsi="Times New Roman"/>
          <w:caps w:val="false"/>
          <w:smallCaps w:val="false"/>
          <w:sz w:val="20"/>
        </w:rPr>
        <w:t>, (ii) such Lien attaches to such asset concurrently or within ninety (90) days after the acquisition, improvement or completion of the construction thereof; (iii) such Lien does not extend to any other asset; and (iv) the Indebtedness secured thereby does not exceed the cost of acquiring, constructing or improving such fixed or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Liens on equipment and real property acquired in a Permitted Acquisition so long as such Lien only attaches to such equipment and real property of the acquired business;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Lien shall not have been incurred in contemplation of such Permitted Acquisition and only secures Indebtedness permitted under </w:t>
      </w:r>
      <w:r>
        <w:rPr>
          <w:rFonts w:ascii="Times New Roman" w:hAnsi="Times New Roman"/>
          <w:b/>
          <w:i/>
          <w:caps w:val="false"/>
          <w:smallCaps w:val="false"/>
          <w:sz w:val="20"/>
        </w:rPr>
        <w:t>Section 7.02(i)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Liens in favor of customs and revenue authorities arising as a matter of law which secure payment of customs duties in connection with the importation of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extensions, renewals, or replacements of any Lien referred to in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through </w:t>
      </w:r>
      <w:r>
        <w:rPr>
          <w:rFonts w:ascii="Times New Roman" w:hAnsi="Times New Roman"/>
          <w:b/>
          <w:i/>
          <w:caps w:val="false"/>
          <w:smallCaps w:val="false"/>
          <w:sz w:val="20"/>
        </w:rPr>
        <w:t xml:space="preserve">(f)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7.01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principal amount of the Indebtedness secured thereby is not increased other than with respect to the accrual of interest, fees and other amounts as a result of such extensions, renewals or replacements and that any such extension, renewal or replacement is limited to the assets originally encumbered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Liens on cash earnest money deposits made by the Loan Parties and their Subsidiaries in connection with any letter of intent or purchase agreement in favor of the seller of any property to be acquired in an Investment permitted pursuant to </w:t>
      </w:r>
      <w:r>
        <w:rPr>
          <w:rFonts w:ascii="Times New Roman" w:hAnsi="Times New Roman"/>
          <w:b/>
          <w:i/>
          <w:caps w:val="false"/>
          <w:smallCaps w:val="false"/>
          <w:sz w:val="20"/>
        </w:rPr>
        <w:t xml:space="preserve">Section 7.03(m) </w:t>
      </w:r>
      <w:r>
        <w:rPr>
          <w:rFonts w:ascii="Times New Roman" w:hAnsi="Times New Roman"/>
          <w:caps w:val="false"/>
          <w:smallCaps w:val="false"/>
          <w:sz w:val="20"/>
        </w:rPr>
        <w:t>to be applied against the purchase price for such Investment, solely to the extent such Investment or sale, disposition, transfer or lease would have been permitted on the date of the creation of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Liens on insurance policies and the proceeds thereof and premium refunds securing the financing of the premiums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(j)    (i) Liens on earnest money deposits of cash or Cash Equivalents or cash advances made in connection with any Permitted Acquisition or other permitted Investment permitted pursuant to </w:t>
      </w:r>
      <w:r>
        <w:rPr>
          <w:rFonts w:ascii="Times New Roman" w:hAnsi="Times New Roman"/>
          <w:b/>
          <w:i/>
          <w:caps w:val="false"/>
          <w:smallCaps w:val="false"/>
          <w:sz w:val="20"/>
        </w:rPr>
        <w:t>Section 7.03(m)</w:t>
      </w:r>
      <w:r>
        <w:rPr>
          <w:rFonts w:ascii="Times New Roman" w:hAnsi="Times New Roman"/>
          <w:caps w:val="false"/>
          <w:smallCaps w:val="false"/>
          <w:sz w:val="20"/>
        </w:rPr>
        <w:t xml:space="preserve">, or (ii) Liens consisting of an agreement to dispose of any property in a Disposition permitted under </w:t>
      </w:r>
      <w:r>
        <w:rPr>
          <w:rFonts w:ascii="Times New Roman" w:hAnsi="Times New Roman"/>
          <w:b/>
          <w:i/>
          <w:caps w:val="false"/>
          <w:smallCaps w:val="false"/>
          <w:sz w:val="20"/>
        </w:rPr>
        <w:t>Section 7.05</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245"/>
        <w:gridCol w:w="51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5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other Liens securing Indebtedness permitted by </w:t>
            </w:r>
            <w:r>
              <w:rPr>
                <w:rFonts w:ascii="Times New Roman" w:hAnsi="Times New Roman"/>
                <w:b/>
                <w:i/>
                <w:caps w:val="false"/>
                <w:smallCaps w:val="false"/>
                <w:sz w:val="20"/>
              </w:rPr>
              <w:t>Section 7.02(j)</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at no time shall any Loan Party or any of their Subsidiaries place mortgages, deeds of trust or deeds to secure debt that purport to grant any Person, other than the Administrative Agent, for the benefit of the holders of the Obligations, a security interest in the fee interests and/or leasehold interests of any Loan Party in any real property owned or leased by a Loan Party.</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0"/>
        <w:gridCol w:w="380"/>
        <w:gridCol w:w="639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7.02</w:t>
            </w:r>
          </w:p>
        </w:tc>
        <w:tc>
          <w:tcPr>
            <w:tcW w:w="6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Indebtedness</w:t>
            </w:r>
            <w:r>
              <w:rPr>
                <w:rFonts w:ascii="Times New Roman" w:hAnsi="Times New Roman"/>
                <w:caps w:val="false"/>
                <w:smallCaps w:val="false"/>
                <w:sz w:val="20"/>
              </w:rPr>
              <w:t>. Create, incur, assume or suffer to exist any Indebtedness, except:</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230"/>
        <w:gridCol w:w="33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Indebtedness under the Loan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Indebtedness outstanding on the Closing Date and listed on </w:t>
      </w:r>
      <w:r>
        <w:rPr>
          <w:rFonts w:ascii="Times New Roman" w:hAnsi="Times New Roman"/>
          <w:b/>
          <w:i/>
          <w:caps w:val="false"/>
          <w:smallCaps w:val="false"/>
          <w:sz w:val="20"/>
        </w:rPr>
        <w:t xml:space="preserve">Schedule 7.02 </w:t>
      </w:r>
      <w:r>
        <w:rPr>
          <w:rFonts w:ascii="Times New Roman" w:hAnsi="Times New Roman"/>
          <w:caps w:val="false"/>
          <w:smallCaps w:val="false"/>
          <w:sz w:val="20"/>
        </w:rPr>
        <w:t>and extensions, renewals and replacements of any such Indebtedness that do not increase the outstanding principal amount thereof (immediately prior to giving effect to such extension, renewal or replacement) other than with respect to accrual of interest, fees or similar costs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original issue discount, premium and expenses) or shorten the maturity or the weighted average life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Indebtedness of any Loan Party or any Subsidiary in each case to any Person which is not a Subsidiary incurred to finance the acquisition, construction or improvement of any fixed or capital assets, including obligations under Capital Leases, and any Indebtedness assumed in connection with the acquisition of any such assets or secured by a Lien on any such assets prior to the acquisition thereof;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Indebtedness is incurred prior to or within ninety (90) days after such acquisition or the completion of such construction or improvements or extensions, renewals, and replacements of any such Indebtedness that do not increase the outstanding principal amount thereof (immediately prior to giving effect to such extension, renewal or replacement) or shorten the maturity or the weighted average life thereof; </w:t>
      </w:r>
      <w:r>
        <w:rPr>
          <w:rFonts w:ascii="Times New Roman" w:hAnsi="Times New Roman"/>
          <w:i/>
          <w:caps w:val="false"/>
          <w:smallCaps w:val="false"/>
          <w:sz w:val="20"/>
        </w:rPr>
        <w:t>provided further</w:t>
      </w:r>
      <w:r>
        <w:rPr>
          <w:rFonts w:ascii="Times New Roman" w:hAnsi="Times New Roman"/>
          <w:caps w:val="false"/>
          <w:smallCaps w:val="false"/>
          <w:sz w:val="20"/>
        </w:rPr>
        <w:t xml:space="preserve">, that the aggregate principal amount of all such Indebtedness does not at any time, subject to </w:t>
      </w:r>
      <w:r>
        <w:rPr>
          <w:rFonts w:ascii="Times New Roman" w:hAnsi="Times New Roman"/>
          <w:b/>
          <w:i/>
          <w:caps w:val="false"/>
          <w:smallCaps w:val="false"/>
          <w:sz w:val="20"/>
        </w:rPr>
        <w:t>Section 7.11</w:t>
      </w:r>
      <w:r>
        <w:rPr>
          <w:rFonts w:ascii="Times New Roman" w:hAnsi="Times New Roman"/>
          <w:caps w:val="false"/>
          <w:smallCaps w:val="false"/>
          <w:sz w:val="20"/>
        </w:rPr>
        <w:t>, exceed an amount equal to 5.0% of Net Assets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Indebtedness of a Loan Party owing to any Subsidiary and of any Subsidiary owing to a Loan Party or any other Subsidiary that is not a Loan Party;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aggregate amount of such Indebtedness owed by a Loan Party to a Subsidiary that is not a Loan Party shall be subject to </w:t>
      </w:r>
      <w:r>
        <w:rPr>
          <w:rFonts w:ascii="Times New Roman" w:hAnsi="Times New Roman"/>
          <w:b/>
          <w:i/>
          <w:caps w:val="false"/>
          <w:smallCaps w:val="false"/>
          <w:sz w:val="20"/>
        </w:rPr>
        <w:t>Section 7.03(d)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Guarantees by any Loan Party Group Company of Indebtedness of any other Loan Party Group Company;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Guarantees by any Loan Party of Indebtedness of any Subsidiary that is not a Loan Party shall be subject to </w:t>
      </w:r>
      <w:r>
        <w:rPr>
          <w:rFonts w:ascii="Times New Roman" w:hAnsi="Times New Roman"/>
          <w:b/>
          <w:i/>
          <w:caps w:val="false"/>
          <w:smallCaps w:val="false"/>
          <w:sz w:val="20"/>
        </w:rPr>
        <w:t>Section 7.03(d)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so long as no Event of Default would be caused thereby, other unsecured Indebtedness in an aggregate principal amount not to exceed at any time, subject to </w:t>
      </w:r>
      <w:r>
        <w:rPr>
          <w:rFonts w:ascii="Times New Roman" w:hAnsi="Times New Roman"/>
          <w:b/>
          <w:i/>
          <w:caps w:val="false"/>
          <w:smallCaps w:val="false"/>
          <w:sz w:val="20"/>
        </w:rPr>
        <w:t>Section 7.11</w:t>
      </w:r>
      <w:r>
        <w:rPr>
          <w:rFonts w:ascii="Times New Roman" w:hAnsi="Times New Roman"/>
          <w:caps w:val="false"/>
          <w:smallCaps w:val="false"/>
          <w:sz w:val="20"/>
        </w:rPr>
        <w:t xml:space="preserve">, 5.0% of Net Assets at such time; </w:t>
      </w:r>
      <w:r>
        <w:rPr>
          <w:rFonts w:ascii="Times New Roman" w:hAnsi="Times New Roman"/>
          <w:i/>
          <w:caps w:val="false"/>
          <w:smallCaps w:val="false"/>
          <w:sz w:val="20"/>
        </w:rPr>
        <w:t xml:space="preserve">provided </w:t>
      </w:r>
      <w:r>
        <w:rPr>
          <w:rFonts w:ascii="Times New Roman" w:hAnsi="Times New Roman"/>
          <w:caps w:val="false"/>
          <w:smallCaps w:val="false"/>
          <w:sz w:val="20"/>
        </w:rPr>
        <w:t>that such Indebtedness shall be subordinated to the Obligations (and, in the case of Indebtedness from any Loan Party Group Company, subject to Liens in favor of the Administrative Agent), each on terms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obligations arising under indemnity agreements or other arrangements with title insurers to issue title policies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Indebtedness assumed in connection with a Permitted Acquisition by the relevant Subsidiary which is the purchaser under such Acquisition; provided that (i) such Indebtedness shall not have been incurred in contemplation of such Acquisition, (ii) such Indebtedness remains the Indebtedness of the Persons who were obligors in respect thereof immediately prior to such Acquisition and (iii) the aggregate principal amount of all such Indebtedness shall not, subject to </w:t>
      </w:r>
      <w:r>
        <w:rPr>
          <w:rFonts w:ascii="Times New Roman" w:hAnsi="Times New Roman"/>
          <w:b/>
          <w:i/>
          <w:caps w:val="false"/>
          <w:smallCaps w:val="false"/>
          <w:sz w:val="20"/>
        </w:rPr>
        <w:t>Section 7.11</w:t>
      </w:r>
      <w:r>
        <w:rPr>
          <w:rFonts w:ascii="Times New Roman" w:hAnsi="Times New Roman"/>
          <w:caps w:val="false"/>
          <w:smallCaps w:val="false"/>
          <w:sz w:val="20"/>
        </w:rPr>
        <w:t>, exceed $2,000,000 in the aggregate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(j)    so long as no Event of Default shall have occurred and be continuing or would be caused thereby, other Indebtedness of a Loan Party or any Subsidiary in an aggregate principal amount not to exceed, subject to </w:t>
      </w:r>
      <w:r>
        <w:rPr>
          <w:rFonts w:ascii="Times New Roman" w:hAnsi="Times New Roman"/>
          <w:b/>
          <w:i/>
          <w:caps w:val="false"/>
          <w:smallCaps w:val="false"/>
          <w:sz w:val="20"/>
        </w:rPr>
        <w:t>Section 7.11</w:t>
      </w:r>
      <w:r>
        <w:rPr>
          <w:rFonts w:ascii="Times New Roman" w:hAnsi="Times New Roman"/>
          <w:caps w:val="false"/>
          <w:smallCaps w:val="false"/>
          <w:sz w:val="20"/>
        </w:rPr>
        <w:t xml:space="preserve">, $1,500,000; </w:t>
      </w:r>
      <w:r>
        <w:rPr>
          <w:rFonts w:ascii="Times New Roman" w:hAnsi="Times New Roman"/>
          <w:i/>
          <w:caps w:val="false"/>
          <w:smallCaps w:val="false"/>
          <w:sz w:val="20"/>
        </w:rPr>
        <w:t xml:space="preserve">provided </w:t>
      </w:r>
      <w:r>
        <w:rPr>
          <w:rFonts w:ascii="Times New Roman" w:hAnsi="Times New Roman"/>
          <w:caps w:val="false"/>
          <w:smallCaps w:val="false"/>
          <w:sz w:val="20"/>
        </w:rPr>
        <w:t>that any Indebtedness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any Loan Party Group Company shall be subject to Liens in favor of the Administrative Agent on terms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(k)    Indebtedness for customary indemnification, adjustment of purchase price or similar customary obligations of the relevant Subsidiary which is the purchaser under any documents relating to any Permitted Acquisition or any Acquisition consummated pursuant to </w:t>
      </w:r>
      <w:r>
        <w:rPr>
          <w:rFonts w:ascii="Times New Roman" w:hAnsi="Times New Roman"/>
          <w:b/>
          <w:i/>
          <w:caps w:val="false"/>
          <w:smallCaps w:val="false"/>
          <w:sz w:val="20"/>
        </w:rPr>
        <w:t>Section 7.03(j)</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(l)    Indebtedness in respect of netting services or overdraft protections in connection with deposit accounts and other cash management obligations, in each case solely to the extent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(m)    Indebtedness in respect of Taxes, assessments or governmental charges to the extent that payment thereof shall not be required by </w:t>
      </w:r>
      <w:r>
        <w:rPr>
          <w:rFonts w:ascii="Times New Roman" w:hAnsi="Times New Roman"/>
          <w:b/>
          <w:i/>
          <w:caps w:val="false"/>
          <w:smallCaps w:val="false"/>
          <w:sz w:val="20"/>
        </w:rPr>
        <w:t>Section 6.04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    Indebtedness consisting of judgments not otherwise constituting an Event of Default under </w:t>
      </w:r>
      <w:r>
        <w:rPr>
          <w:rFonts w:ascii="Times New Roman" w:hAnsi="Times New Roman"/>
          <w:b/>
          <w:i/>
          <w:caps w:val="false"/>
          <w:smallCaps w:val="false"/>
          <w:sz w:val="20"/>
        </w:rPr>
        <w:t>Section 8.01(h)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(o)    Indebtedness incurred in the ordinary course of business relating to the financing of liability, casualty, hazard and other insurance premiums in which any Loan Party Group Company is an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(p)    Indebtedness which may be deemed to exist pursuant to any bonds, guaranties, performance, surety, statutory, appeal or similar obligations incurred in the ordinary course of business, or in connection with any letters of credit or bank guarantees posted to support any such bonds, or in connection with the enforcement of rights or claims of any Loan Party Group Company or in connection with judgments that do not result in an Event of Default;</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245"/>
        <w:gridCol w:w="19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w:t>
            </w:r>
          </w:p>
        </w:tc>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Holdings Note;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(r)    unsecured Indebtedness of any Loan Party Group Company owing to any then-existing or former director, officer or employee of any Loan Party Group Company or their respective assigns, estates, heirs or their current or former spouses for the repurchase, redemption or other acquisition or retirement for value of any Equity Interests of any Loan Party Group Company (or any parent company of any Loan Party Group Company) held by them in an aggregate principal amount not to exceed $1,500,000 at any time outstanding;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such Indebtedness is subordinated to the payment in full of the Obligations on terms and conditions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60"/>
        <w:gridCol w:w="380"/>
        <w:gridCol w:w="525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7.03</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Investments, Loans, Etc</w:t>
            </w:r>
            <w:r>
              <w:rPr>
                <w:rFonts w:ascii="Times New Roman" w:hAnsi="Times New Roman"/>
                <w:caps w:val="false"/>
                <w:smallCaps w:val="false"/>
                <w:sz w:val="20"/>
              </w:rPr>
              <w:t>. Make or hold any Investments, except: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Investments existing on the date hereof and set forth on </w:t>
      </w:r>
      <w:r>
        <w:rPr>
          <w:rFonts w:ascii="Times New Roman" w:hAnsi="Times New Roman"/>
          <w:b/>
          <w:i/>
          <w:caps w:val="false"/>
          <w:smallCaps w:val="false"/>
          <w:sz w:val="20"/>
        </w:rPr>
        <w:t xml:space="preserve">Schedule 7.03 </w:t>
      </w:r>
      <w:r>
        <w:rPr>
          <w:rFonts w:ascii="Times New Roman" w:hAnsi="Times New Roman"/>
          <w:caps w:val="false"/>
          <w:smallCaps w:val="false"/>
          <w:sz w:val="20"/>
        </w:rPr>
        <w:t>(including Investments in Subsidiaries);</w:t>
      </w:r>
    </w:p>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60"/>
        <w:gridCol w:w="245"/>
        <w:gridCol w:w="62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of cash and Cash Equivalents in the ordinary course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Guarantees by any Loan Party Group Company constituting Indebtedness permitted by </w:t>
      </w:r>
      <w:r>
        <w:rPr>
          <w:rFonts w:ascii="Times New Roman" w:hAnsi="Times New Roman"/>
          <w:b/>
          <w:i/>
          <w:caps w:val="false"/>
          <w:smallCaps w:val="false"/>
          <w:sz w:val="20"/>
        </w:rPr>
        <w:t xml:space="preserve">Section 7.01; </w:t>
      </w:r>
      <w:r>
        <w:rPr>
          <w:rFonts w:ascii="Times New Roman" w:hAnsi="Times New Roman"/>
          <w:i/>
          <w:caps w:val="false"/>
          <w:smallCaps w:val="false"/>
          <w:sz w:val="20"/>
        </w:rPr>
        <w:t xml:space="preserve">provided </w:t>
      </w:r>
      <w:r>
        <w:rPr>
          <w:rFonts w:ascii="Times New Roman" w:hAnsi="Times New Roman"/>
          <w:caps w:val="false"/>
          <w:smallCaps w:val="false"/>
          <w:sz w:val="20"/>
        </w:rPr>
        <w:t>that no Loan Party may guarantee the obligations of any Subsidiary which is not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Investments made by any Loan Party Group Company in or to any other Loan Party Group Company;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aggregate amount of Investments by Loan Parties in or to, and Guarantees by Loan Parties of Indebtedness (including all such Investments and Guarantees existing on the Closing Date), of any Subsidiary that is not a Loan Party, shall not, subject to </w:t>
      </w:r>
      <w:r>
        <w:rPr>
          <w:rFonts w:ascii="Times New Roman" w:hAnsi="Times New Roman"/>
          <w:b/>
          <w:i/>
          <w:caps w:val="false"/>
          <w:smallCaps w:val="false"/>
          <w:sz w:val="20"/>
        </w:rPr>
        <w:t>Section 7.11</w:t>
      </w:r>
      <w:r>
        <w:rPr>
          <w:rFonts w:ascii="Times New Roman" w:hAnsi="Times New Roman"/>
          <w:caps w:val="false"/>
          <w:smallCaps w:val="false"/>
          <w:sz w:val="20"/>
        </w:rPr>
        <w:t>, exceed an aggregate amount of $1,000,000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loans or advances to employees, officers or directors of any Loan Party Group Company in the ordinary course of business for travel, relocation and related expenses;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aggregate amount of all such loans and advances does not, subject to </w:t>
      </w:r>
      <w:r>
        <w:rPr>
          <w:rFonts w:ascii="Times New Roman" w:hAnsi="Times New Roman"/>
          <w:b/>
          <w:i/>
          <w:caps w:val="false"/>
          <w:smallCaps w:val="false"/>
          <w:sz w:val="20"/>
        </w:rPr>
        <w:t>Section 7.11</w:t>
      </w:r>
      <w:r>
        <w:rPr>
          <w:rFonts w:ascii="Times New Roman" w:hAnsi="Times New Roman"/>
          <w:caps w:val="false"/>
          <w:smallCaps w:val="false"/>
          <w:sz w:val="20"/>
        </w:rPr>
        <w:t>, exceed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$500,000 in the aggregate at any time outstanding;</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60"/>
        <w:gridCol w:w="200"/>
        <w:gridCol w:w="36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Swap Contracts permitted by </w:t>
            </w:r>
            <w:r>
              <w:rPr>
                <w:rFonts w:ascii="Times New Roman" w:hAnsi="Times New Roman"/>
                <w:b/>
                <w:i/>
                <w:caps w:val="false"/>
                <w:smallCaps w:val="false"/>
                <w:sz w:val="20"/>
              </w:rPr>
              <w:t>Section 7.02(f)</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245"/>
        <w:gridCol w:w="60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6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to any Loan Party Group Company to the extent permitted 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b/>
          <w:i/>
          <w:caps w:val="false"/>
          <w:smallCaps w:val="false"/>
          <w:sz w:val="20"/>
        </w:rPr>
        <w:t>Section 7.06(b)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Investments acquired in connection with the settlement of delinquent accounts of a Loan Party in the ordinary course of business or in connection with the bankruptcy or reorganization of suppliers 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Investments consisting of non-cash loans made by a Loan Party to officers, directors and employees of a Loan Party which are used by such Persons to purchase simultaneously Equity Interests of any Loan Party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(j)    Permitted Acquisitions, </w:t>
      </w:r>
      <w:r>
        <w:rPr>
          <w:rFonts w:ascii="Times New Roman" w:hAnsi="Times New Roman"/>
          <w:i/>
          <w:caps w:val="false"/>
          <w:smallCaps w:val="false"/>
          <w:sz w:val="20"/>
        </w:rPr>
        <w:t xml:space="preserve">provided </w:t>
      </w:r>
      <w:r>
        <w:rPr>
          <w:rFonts w:ascii="Times New Roman" w:hAnsi="Times New Roman"/>
          <w:caps w:val="false"/>
          <w:smallCaps w:val="false"/>
          <w:sz w:val="20"/>
        </w:rPr>
        <w:t>that no Permitted Acquisitions may be made during the Minimum TTM EBITDA Testing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(k)    other Investments in non-Affiliates which in the aggregate do not at any time exceed, subject to </w:t>
      </w:r>
      <w:r>
        <w:rPr>
          <w:rFonts w:ascii="Times New Roman" w:hAnsi="Times New Roman"/>
          <w:b/>
          <w:i/>
          <w:caps w:val="false"/>
          <w:smallCaps w:val="false"/>
          <w:sz w:val="20"/>
        </w:rPr>
        <w:t>Section 7.11</w:t>
      </w:r>
      <w:r>
        <w:rPr>
          <w:rFonts w:ascii="Times New Roman" w:hAnsi="Times New Roman"/>
          <w:caps w:val="false"/>
          <w:smallCaps w:val="false"/>
          <w:sz w:val="20"/>
        </w:rPr>
        <w:t xml:space="preserve">, an amount equal to 5.0% of Net Assets at such time; provided that such Investments are not prohibited by </w:t>
      </w:r>
      <w:r>
        <w:rPr>
          <w:rFonts w:ascii="Times New Roman" w:hAnsi="Times New Roman"/>
          <w:b/>
          <w:i/>
          <w:caps w:val="false"/>
          <w:smallCaps w:val="false"/>
          <w:sz w:val="20"/>
        </w:rPr>
        <w:t>Section 7.05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further </w:t>
      </w:r>
      <w:r>
        <w:rPr>
          <w:rFonts w:ascii="Times New Roman" w:hAnsi="Times New Roman"/>
          <w:caps w:val="false"/>
          <w:smallCaps w:val="false"/>
          <w:sz w:val="20"/>
        </w:rPr>
        <w:t>that no Investments under this clause (k) may be made during the Minimum TTM EBITDA Testing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(l)    the creation and capitalization of Subsidiaries that are Domestic Subsidiaries so long as the terms and conditions set forth in </w:t>
      </w:r>
      <w:r>
        <w:rPr>
          <w:rFonts w:ascii="Times New Roman" w:hAnsi="Times New Roman"/>
          <w:b/>
          <w:i/>
          <w:caps w:val="false"/>
          <w:smallCaps w:val="false"/>
          <w:sz w:val="20"/>
        </w:rPr>
        <w:t xml:space="preserve">Section 6.13 </w:t>
      </w:r>
      <w:r>
        <w:rPr>
          <w:rFonts w:ascii="Times New Roman" w:hAnsi="Times New Roman"/>
          <w:caps w:val="false"/>
          <w:smallCaps w:val="false"/>
          <w:sz w:val="20"/>
        </w:rPr>
        <w:t>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(m)    so long as the terms and conditions set forth in </w:t>
      </w:r>
      <w:r>
        <w:rPr>
          <w:rFonts w:ascii="Times New Roman" w:hAnsi="Times New Roman"/>
          <w:b/>
          <w:i/>
          <w:caps w:val="false"/>
          <w:smallCaps w:val="false"/>
          <w:sz w:val="20"/>
        </w:rPr>
        <w:t xml:space="preserve">Section 6.13 </w:t>
      </w:r>
      <w:r>
        <w:rPr>
          <w:rFonts w:ascii="Times New Roman" w:hAnsi="Times New Roman"/>
          <w:caps w:val="false"/>
          <w:smallCaps w:val="false"/>
          <w:sz w:val="20"/>
        </w:rPr>
        <w:t xml:space="preserve">are satisfied, any Investments in Subsidiaries of any Loan Party Group Company that are Domestic Subsidiaries acquired in connection with a Permitted Acquisition and deposits of earnest money paid in connection with such Permitted Acquisition; provided that such Investments are not prohibited by </w:t>
      </w:r>
      <w:r>
        <w:rPr>
          <w:rFonts w:ascii="Times New Roman" w:hAnsi="Times New Roman"/>
          <w:b/>
          <w:i/>
          <w:caps w:val="false"/>
          <w:smallCaps w:val="false"/>
          <w:sz w:val="20"/>
        </w:rPr>
        <w:t>Section 7.05</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245"/>
        <w:gridCol w:w="56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t>
            </w:r>
          </w:p>
        </w:tc>
        <w:tc>
          <w:tcPr>
            <w:tcW w:w="5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by Subsidiaries to Loan Parties to fund Expansion Costs.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60"/>
        <w:gridCol w:w="380"/>
        <w:gridCol w:w="37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7.04</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Fundamental Changes; Conduct of Business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any line of business or all or substantially all of the stock of any of its Subsidiaries (in each case, whether now owned or hereafter acquired) or liquidate or dissolve (each a “</w:t>
      </w:r>
      <w:r>
        <w:rPr>
          <w:rFonts w:ascii="Times New Roman" w:hAnsi="Times New Roman"/>
          <w:b/>
          <w:i/>
          <w:caps w:val="false"/>
          <w:smallCaps w:val="false"/>
          <w:sz w:val="20"/>
        </w:rPr>
        <w:t>Merger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at the time thereof and immediately after giving effect thereto, no Default or Event of Default shall have occurred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be continuing (i) Borrower may merge or consolidate with any other Loan Party Group Company so long as Borrower shall be the continuing or surviving entity, (ii) any Loan Party Group Company (other than Borrower) may merge or consolidate with any other Loan Party Group Company so long as, (A) if any Loan Party is party to such merger or consolidation, a Loan Party shall be the continuing or surviving entity or the Person surviving such merger or consolidation or shall become a Loan Party in accordance with </w:t>
      </w:r>
      <w:r>
        <w:rPr>
          <w:rFonts w:ascii="Times New Roman" w:hAnsi="Times New Roman"/>
          <w:b/>
          <w:i/>
          <w:caps w:val="false"/>
          <w:smallCaps w:val="false"/>
          <w:sz w:val="20"/>
        </w:rPr>
        <w:t>Section 6.13</w:t>
      </w:r>
      <w:r>
        <w:rPr>
          <w:rFonts w:ascii="Times New Roman" w:hAnsi="Times New Roman"/>
          <w:caps w:val="false"/>
          <w:smallCaps w:val="false"/>
          <w:sz w:val="20"/>
        </w:rPr>
        <w:t xml:space="preserve">, (iii) any merger or consolidation, the purpose of which is to effect a Permitted Acquisition so long as (A) if Borrower is a party to such merger or consolidation, Borrower shall be the continuing or surviving entity and (B) if a Loan Party other than Borrower is a party to such merger or consolidation, such Loan Party shall be the continuing or surviving entity or the Person surviving such merger or consolidation shall be a Loan Party or become a Loan Party pursuant to </w:t>
      </w:r>
      <w:r>
        <w:rPr>
          <w:rFonts w:ascii="Times New Roman" w:hAnsi="Times New Roman"/>
          <w:b/>
          <w:i/>
          <w:caps w:val="false"/>
          <w:smallCaps w:val="false"/>
          <w:sz w:val="20"/>
        </w:rPr>
        <w:t>Section 6.13</w:t>
      </w:r>
      <w:r>
        <w:rPr>
          <w:rFonts w:ascii="Times New Roman" w:hAnsi="Times New Roman"/>
          <w:caps w:val="false"/>
          <w:smallCaps w:val="false"/>
          <w:sz w:val="20"/>
        </w:rPr>
        <w:t>; (iv) any Subsidiary may sell, transfer, lease or otherwise dispose of all or substantially all of its assets to any Loan Party and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(v) any Loan Party Group Company (other than the Borrower) may liquidate or dissolve if Borrower determines in good faith that such liquidation or dissolution is in the best interests of Borrower and is not materially disadvantageous to the Lenders;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 its assets are all disposed of pursuant to </w:t>
      </w:r>
      <w:r>
        <w:rPr>
          <w:rFonts w:ascii="Times New Roman" w:hAnsi="Times New Roman"/>
          <w:b/>
          <w:i/>
          <w:caps w:val="false"/>
          <w:smallCaps w:val="false"/>
          <w:sz w:val="20"/>
        </w:rPr>
        <w:t xml:space="preserve">Section 2.12(a) </w:t>
      </w:r>
      <w:r>
        <w:rPr>
          <w:rFonts w:ascii="Times New Roman" w:hAnsi="Times New Roman"/>
          <w:caps w:val="false"/>
          <w:smallCaps w:val="false"/>
          <w:sz w:val="20"/>
        </w:rPr>
        <w:t xml:space="preserve">provided that assets of a Loan Party may only be distributed to a Loan Party, and (B) any such merger involving a Person that is not a wholly-owned Subsidiary immediately prior to such merger shall not be permitted unless also permitted by </w:t>
      </w:r>
      <w:r>
        <w:rPr>
          <w:rFonts w:ascii="Times New Roman" w:hAnsi="Times New Roman"/>
          <w:b/>
          <w:i/>
          <w:caps w:val="false"/>
          <w:smallCaps w:val="false"/>
          <w:sz w:val="20"/>
        </w:rPr>
        <w:t xml:space="preserve">Section 7.03 </w:t>
      </w:r>
      <w:r>
        <w:rPr>
          <w:rFonts w:ascii="Times New Roman" w:hAnsi="Times New Roman"/>
          <w:caps w:val="false"/>
          <w:smallCaps w:val="false"/>
          <w:sz w:val="20"/>
        </w:rPr>
        <w:t xml:space="preserve">provided further that notwithstanding any other provision of this </w:t>
      </w:r>
      <w:r>
        <w:rPr>
          <w:rFonts w:ascii="Times New Roman" w:hAnsi="Times New Roman"/>
          <w:b/>
          <w:i/>
          <w:caps w:val="false"/>
          <w:smallCaps w:val="false"/>
          <w:sz w:val="20"/>
        </w:rPr>
        <w:t>Section 7.04</w:t>
      </w:r>
      <w:r>
        <w:rPr>
          <w:rFonts w:ascii="Times New Roman" w:hAnsi="Times New Roman"/>
          <w:caps w:val="false"/>
          <w:smallCaps w:val="false"/>
          <w:sz w:val="20"/>
        </w:rPr>
        <w:t xml:space="preserve">, no Loan Party may enter into or commit to enter into any Merger unless the Administrative Agent is satisfied, acting reasonably, that the amount guaranteed under </w:t>
      </w:r>
      <w:r>
        <w:rPr>
          <w:rFonts w:ascii="Times New Roman" w:hAnsi="Times New Roman"/>
          <w:b/>
          <w:i/>
          <w:caps w:val="false"/>
          <w:smallCaps w:val="false"/>
          <w:sz w:val="20"/>
        </w:rPr>
        <w:t xml:space="preserve">Article X </w:t>
      </w:r>
      <w:r>
        <w:rPr>
          <w:rFonts w:ascii="Times New Roman" w:hAnsi="Times New Roman"/>
          <w:caps w:val="false"/>
          <w:smallCaps w:val="false"/>
          <w:sz w:val="20"/>
        </w:rPr>
        <w:t>by such Loan Party will (I) not be reduced as a result of the surviving Person not being a Loan Party, and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(II) continue in full force and effect after completion of such Merger.</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380"/>
        <w:gridCol w:w="35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7.05</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Dispositions</w:t>
            </w:r>
            <w:r>
              <w:rPr>
                <w:rFonts w:ascii="Times New Roman" w:hAnsi="Times New Roman"/>
                <w:caps w:val="false"/>
                <w:smallCaps w:val="false"/>
                <w:sz w:val="20"/>
              </w:rPr>
              <w:t>. Make any Disposition except: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60"/>
        <w:gridCol w:w="230"/>
        <w:gridCol w:w="1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Permitted Transfers;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Dispositions of obsolete or worn out machinery and equipment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Dispositions of equipment or real property to the extent that such property is exchanged for credit against the purchase price of similar replacement property;</w:t>
      </w:r>
    </w:p>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245"/>
        <w:gridCol w:w="64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the extent constituting a Disposition, transactions permitted by </w:t>
            </w:r>
            <w:r>
              <w:rPr>
                <w:rFonts w:ascii="Times New Roman" w:hAnsi="Times New Roman"/>
                <w:b/>
                <w:i/>
                <w:caps w:val="false"/>
                <w:smallCaps w:val="false"/>
                <w:sz w:val="20"/>
              </w:rPr>
              <w:t>Section 7.04</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other Dispositions so long as (i) 75% of the consideration paid in connection therewith shall be cash or Cash Equivalents paid contemporaneously with the consummation of the transaction and the consideration shall be in an amount not less than the fair market value of the property disposed of, (ii) such transaction is not prohibited by the terms of </w:t>
      </w:r>
      <w:r>
        <w:rPr>
          <w:rFonts w:ascii="Times New Roman" w:hAnsi="Times New Roman"/>
          <w:b/>
          <w:i/>
          <w:caps w:val="false"/>
          <w:smallCaps w:val="false"/>
          <w:sz w:val="20"/>
        </w:rPr>
        <w:t xml:space="preserve">Sections 7.05 </w:t>
      </w:r>
      <w:r>
        <w:rPr>
          <w:rFonts w:ascii="Times New Roman" w:hAnsi="Times New Roman"/>
          <w:i/>
          <w:caps w:val="false"/>
          <w:smallCaps w:val="false"/>
          <w:sz w:val="20"/>
        </w:rPr>
        <w:t xml:space="preserve">and </w:t>
      </w:r>
      <w:r>
        <w:rPr>
          <w:rFonts w:ascii="Times New Roman" w:hAnsi="Times New Roman"/>
          <w:b/>
          <w:i/>
          <w:caps w:val="false"/>
          <w:smallCaps w:val="false"/>
          <w:sz w:val="20"/>
        </w:rPr>
        <w:t>7.07</w:t>
      </w:r>
      <w:r>
        <w:rPr>
          <w:rFonts w:ascii="Times New Roman" w:hAnsi="Times New Roman"/>
          <w:caps w:val="false"/>
          <w:smallCaps w:val="false"/>
          <w:sz w:val="20"/>
        </w:rPr>
        <w:t>,</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(iii) such transaction does not involve the sale or other disposition of a minority Equity Interests in any Subsidiary, (iv) such transaction does not involve a sale or other disposition of receivables other than receivables owned by or attributable to other property concurrently being disposed of in a transaction otherwise permitted under this </w:t>
      </w:r>
      <w:r>
        <w:rPr>
          <w:rFonts w:ascii="Times New Roman" w:hAnsi="Times New Roman"/>
          <w:b/>
          <w:i/>
          <w:caps w:val="false"/>
          <w:smallCaps w:val="false"/>
          <w:sz w:val="20"/>
        </w:rPr>
        <w:t>Section</w:t>
      </w:r>
      <w:r>
        <w:rPr>
          <w:rFonts w:ascii="Times New Roman" w:hAnsi="Times New Roman"/>
          <w:caps w:val="false"/>
          <w:smallCaps w:val="false"/>
          <w:sz w:val="20"/>
        </w:rPr>
        <w:t xml:space="preserve">, (v) the aggregate net book value of all of the assets sold or otherwise disposed of by the Loan Parties and their Subsidiaries in all such transactions in any Fiscal Year shall not, subject to </w:t>
      </w:r>
      <w:r>
        <w:rPr>
          <w:rFonts w:ascii="Times New Roman" w:hAnsi="Times New Roman"/>
          <w:b/>
          <w:i/>
          <w:caps w:val="false"/>
          <w:smallCaps w:val="false"/>
          <w:sz w:val="20"/>
        </w:rPr>
        <w:t>Section 7.11</w:t>
      </w:r>
      <w:r>
        <w:rPr>
          <w:rFonts w:ascii="Times New Roman" w:hAnsi="Times New Roman"/>
          <w:caps w:val="false"/>
          <w:smallCaps w:val="false"/>
          <w:sz w:val="20"/>
        </w:rPr>
        <w:t xml:space="preserve">, exceed $750,000, and (vi) the Net Cash Proceeds thereof are applied in accordance with by </w:t>
      </w:r>
      <w:r>
        <w:rPr>
          <w:rFonts w:ascii="Times New Roman" w:hAnsi="Times New Roman"/>
          <w:b/>
          <w:i/>
          <w:caps w:val="false"/>
          <w:smallCaps w:val="false"/>
          <w:sz w:val="20"/>
        </w:rPr>
        <w:t xml:space="preserve">Section 2.05(b) </w:t>
      </w:r>
      <w:r>
        <w:rPr>
          <w:rFonts w:ascii="Times New Roman" w:hAnsi="Times New Roman"/>
          <w:caps w:val="false"/>
          <w:smallCaps w:val="false"/>
          <w:sz w:val="20"/>
        </w:rPr>
        <w:t>to the extent applicable; and</w:t>
      </w:r>
    </w:p>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
        <w:gridCol w:w="200"/>
        <w:gridCol w:w="13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Atwater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7.06    </w:t>
      </w:r>
      <w:r>
        <w:rPr>
          <w:rFonts w:ascii="Times New Roman" w:hAnsi="Times New Roman"/>
          <w:b/>
          <w:caps w:val="false"/>
          <w:smallCaps w:val="false"/>
          <w:sz w:val="20"/>
        </w:rPr>
        <w:t>Restricted Payments</w:t>
      </w:r>
      <w:r>
        <w:rPr>
          <w:rFonts w:ascii="Times New Roman" w:hAnsi="Times New Roman"/>
          <w:caps w:val="false"/>
          <w:smallCaps w:val="false"/>
          <w:sz w:val="20"/>
        </w:rPr>
        <w:t>. Declare or make, directly or indirectly, any Restricted Payment, or incur any obligation (contingent or otherwise) to do so,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dividends payable by any Loan Party solely in shares of any class of its common stock, provided no Event of Default is continuing or would occur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Restricted Payments by a Subsidiary of the Borrower (the “</w:t>
      </w:r>
      <w:r>
        <w:rPr>
          <w:rFonts w:ascii="Times New Roman" w:hAnsi="Times New Roman"/>
          <w:b/>
          <w:i/>
          <w:caps w:val="false"/>
          <w:smallCaps w:val="false"/>
          <w:sz w:val="20"/>
        </w:rPr>
        <w:t>Disposing Company</w:t>
      </w:r>
      <w:r>
        <w:rPr>
          <w:rFonts w:ascii="Times New Roman" w:hAnsi="Times New Roman"/>
          <w:caps w:val="false"/>
          <w:smallCaps w:val="false"/>
          <w:sz w:val="20"/>
        </w:rPr>
        <w:t>”) to the Borrower or another Loan Party Group Company (the “</w:t>
      </w:r>
      <w:r>
        <w:rPr>
          <w:rFonts w:ascii="Times New Roman" w:hAnsi="Times New Roman"/>
          <w:b/>
          <w:i/>
          <w:caps w:val="false"/>
          <w:smallCaps w:val="false"/>
          <w:sz w:val="20"/>
        </w:rPr>
        <w:t>Acquiring Company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the Disposing Company is a Loan Party, the Acquiring Company must be a Loan Party;</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230"/>
        <w:gridCol w:w="26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Permitted Tax Distributions;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payments of operating and overhead costs and expenses of any Loan Party Group Company to the extent such costs and expenses are incurred in the ordinary course of business and are directly related to the business of the Loan Party Group Companies and the payment of such costs and expenses are not in violation of </w:t>
      </w:r>
      <w:r>
        <w:rPr>
          <w:rFonts w:ascii="Times New Roman" w:hAnsi="Times New Roman"/>
          <w:b/>
          <w:i/>
          <w:caps w:val="false"/>
          <w:smallCaps w:val="false"/>
          <w:sz w:val="20"/>
        </w:rPr>
        <w:t>Section 7.05</w:t>
      </w:r>
      <w:r>
        <w:rPr>
          <w:rFonts w:ascii="Times New Roman" w:hAnsi="Times New Roman"/>
          <w:i/>
          <w:caps w:val="false"/>
          <w:smallCaps w:val="false"/>
          <w:sz w:val="20"/>
        </w:rPr>
        <w:t>Error! Reference source not found.</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7.07    </w:t>
      </w:r>
      <w:r>
        <w:rPr>
          <w:rFonts w:ascii="Times New Roman" w:hAnsi="Times New Roman"/>
          <w:b/>
          <w:caps w:val="false"/>
          <w:smallCaps w:val="false"/>
          <w:sz w:val="20"/>
        </w:rPr>
        <w:t>Payment of Holdings Note</w:t>
      </w:r>
      <w:r>
        <w:rPr>
          <w:rFonts w:ascii="Times New Roman" w:hAnsi="Times New Roman"/>
          <w:caps w:val="false"/>
          <w:smallCaps w:val="false"/>
          <w:sz w:val="20"/>
        </w:rPr>
        <w:t>. Make any interest, principal or other payment under the Holdings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7.01    </w:t>
      </w:r>
      <w:r>
        <w:rPr>
          <w:rFonts w:ascii="Times New Roman" w:hAnsi="Times New Roman"/>
          <w:b/>
          <w:caps w:val="false"/>
          <w:smallCaps w:val="false"/>
          <w:sz w:val="20"/>
        </w:rPr>
        <w:t>Transactions with Affiliates</w:t>
      </w:r>
      <w:r>
        <w:rPr>
          <w:rFonts w:ascii="Times New Roman" w:hAnsi="Times New Roman"/>
          <w:caps w:val="false"/>
          <w:smallCaps w:val="false"/>
          <w:sz w:val="20"/>
        </w:rPr>
        <w:t xml:space="preserve">. Sell, lease or otherwise transfer any property or assets to, or purchase, lease or otherwise acquire any property or assets from, or otherwise engage in any other transactions with, any of its Affiliates, except, so long as not in violation of </w:t>
      </w:r>
      <w:r>
        <w:rPr>
          <w:rFonts w:ascii="Times New Roman" w:hAnsi="Times New Roman"/>
          <w:b/>
          <w:i/>
          <w:caps w:val="false"/>
          <w:smallCaps w:val="false"/>
          <w:sz w:val="20"/>
        </w:rPr>
        <w:t>Section 7.05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in the ordinary course of business at prices and on terms and conditions not less favorable to such Loan Party or such Subsidiary than could be obtained on an arm’s-length basis from unrelated third parties including royalty payments from any Loan Party Group Company to Holdings or any Subsidiary of Holdings or from Holdings or any Subsidiary of Holdings to any Loan Party Group Company, in each case, that do not constitute Indebtedness and have payment terms not longer than ninety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transactions between or among the Loan Parties and transactions from a Loan Party to any other Loan Party Group Company; </w:t>
      </w:r>
      <w:r>
        <w:rPr>
          <w:rFonts w:ascii="Times New Roman" w:hAnsi="Times New Roman"/>
          <w:i/>
          <w:caps w:val="false"/>
          <w:smallCaps w:val="false"/>
          <w:sz w:val="20"/>
        </w:rPr>
        <w:t xml:space="preserve">provided </w:t>
      </w:r>
      <w:r>
        <w:rPr>
          <w:rFonts w:ascii="Times New Roman" w:hAnsi="Times New Roman"/>
          <w:caps w:val="false"/>
          <w:smallCaps w:val="false"/>
          <w:sz w:val="20"/>
        </w:rPr>
        <w:t>that, in each case, a Loan Party must not enter into any such transaction with a Subsidiary which is not a Loan Party;</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230"/>
        <w:gridCol w:w="41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any Restricted Payment permitted by </w:t>
            </w:r>
            <w:r>
              <w:rPr>
                <w:rFonts w:ascii="Times New Roman" w:hAnsi="Times New Roman"/>
                <w:b/>
                <w:i/>
                <w:caps w:val="false"/>
                <w:smallCaps w:val="false"/>
                <w:sz w:val="20"/>
              </w:rPr>
              <w:t>Section 7.06</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60"/>
        <w:gridCol w:w="245"/>
        <w:gridCol w:w="15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Holdings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usual and customary compensation, and expense reimbursements for travel expenses and fees to outside directors, paid to directors (including, without limitation, the lead director) of the Loan Parties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usual and customary indemnifications of directors of the Loan Parties permitted under this Agreement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the Loan Party Group Companies may enter into, and may make payments under, employment agreements, employee benefits plans, stock option plans, indemnification provisions, other similar compensatory arrangements and severance agreements with officers, employees, consultants and directors of the Loan Party Group Companies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the transactions contemplated by this Agreement and the payment of fees and expenses as part of or in connection with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the Loan Party Group Companies may enter into transactions pursuant to agreements in existence on the Closing Date and set forth on </w:t>
      </w:r>
      <w:r>
        <w:rPr>
          <w:rFonts w:ascii="Times New Roman" w:hAnsi="Times New Roman"/>
          <w:b/>
          <w:i/>
          <w:caps w:val="false"/>
          <w:smallCaps w:val="false"/>
          <w:sz w:val="20"/>
        </w:rPr>
        <w:t>Schedule 7.08</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(j)    transactions on arm’s length terms in connection with Expansion Costs between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7.02    </w:t>
      </w:r>
      <w:r>
        <w:rPr>
          <w:rFonts w:ascii="Times New Roman" w:hAnsi="Times New Roman"/>
          <w:b/>
          <w:caps w:val="false"/>
          <w:smallCaps w:val="false"/>
          <w:sz w:val="20"/>
        </w:rPr>
        <w:t>Burdensome Agreements</w:t>
      </w:r>
      <w:r>
        <w:rPr>
          <w:rFonts w:ascii="Times New Roman" w:hAnsi="Times New Roman"/>
          <w:caps w:val="false"/>
          <w:smallCaps w:val="false"/>
          <w:sz w:val="20"/>
        </w:rPr>
        <w:t xml:space="preserve">. Enter into, incur or permit to exist any agreement that prohibits, restricts or imposes any condition upon (a) the ability of any Loan Party or any Subsidiary to create, incur or permit any Lien upon any of its assets or properties, whether now owned or hereafter acquired, or (b) the ability of any Subsidiary to pay dividends or other distributions with respect to its Equity Interests, to make or repay loans or advances to any Loan Party or any other Subsidiary, to Guarantee Indebtedness of any Loan Party or any other Subsidiary or to transfer any of its property or assets to any Loan Party or any Subsidiary;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 the foregoing shall not apply to restrictions or conditions imposed by Law, by this Agreement or any other Loan Document, (ii) the foregoing shall not apply to customary restrictions and conditions contained in agreements relating to the sale of a Subsidiary pending such sale, provided such restrictions and conditions apply only to the Subsidiary that is sold and such sale is permitted hereunder, (iii) </w:t>
      </w:r>
      <w:r>
        <w:rPr>
          <w:rFonts w:ascii="Times New Roman" w:hAnsi="Times New Roman"/>
          <w:b/>
          <w:i/>
          <w:caps w:val="false"/>
          <w:smallCaps w:val="false"/>
          <w:sz w:val="20"/>
        </w:rPr>
        <w:t xml:space="preserve">clause (a) </w:t>
      </w:r>
      <w:r>
        <w:rPr>
          <w:rFonts w:ascii="Times New Roman" w:hAnsi="Times New Roman"/>
          <w:caps w:val="false"/>
          <w:smallCaps w:val="false"/>
          <w:sz w:val="20"/>
        </w:rPr>
        <w:t xml:space="preserve">shall not apply to (A) restrictions or conditions imposed by any agreement relating to secured Indebtedness or obligations under Capital Leases permitted by this Agreement so long as such restrictions and conditions apply only to the property or assets securing such Indebtedness (B) customary provision in leases restricting the assignment thereof, (C) customary provisions in any licensing agreement restricting the assignment thereof (in which any Loan Party or any Subsidiary is the licensee), (D) encumbrances or restrictions on deposits imposed by customers under agreements entered into in the ordinary course of business, (E) customary provisions in joint venture agreements and other similar agreements applicable to joint ventures permitted hereunder (other than any Loan Party) and applicable solely to such joint venture, (F) any agreement or instrument governing Indebtedness permitted under </w:t>
      </w:r>
      <w:r>
        <w:rPr>
          <w:rFonts w:ascii="Times New Roman" w:hAnsi="Times New Roman"/>
          <w:b/>
          <w:i/>
          <w:caps w:val="false"/>
          <w:smallCaps w:val="false"/>
          <w:sz w:val="20"/>
        </w:rPr>
        <w:t>Section 7.01(i)</w:t>
      </w:r>
      <w:r>
        <w:rPr>
          <w:rFonts w:ascii="Times New Roman" w:hAnsi="Times New Roman"/>
          <w:caps w:val="false"/>
          <w:smallCaps w:val="false"/>
          <w:sz w:val="20"/>
        </w:rPr>
        <w:t>, to the extent the relevant encumbrance or restriction was not agreed to or adopted in contemplation of such Permitted Acquisition and does not apply to any Loan Party or any Subsidiary, or the property of any such Person, other than the property acquired in such Permitted Acquisition and (G) customary provisions in any governmental contract entered into in the ordinary course of business restricting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7.03    </w:t>
      </w:r>
      <w:r>
        <w:rPr>
          <w:rFonts w:ascii="Times New Roman" w:hAnsi="Times New Roman"/>
          <w:b/>
          <w:caps w:val="false"/>
          <w:smallCaps w:val="false"/>
          <w:sz w:val="20"/>
        </w:rPr>
        <w:t>Use of Proceeds</w:t>
      </w:r>
      <w:r>
        <w:rPr>
          <w:rFonts w:ascii="Times New Roman" w:hAnsi="Times New Roman"/>
          <w:caps w:val="false"/>
          <w:smallCaps w:val="false"/>
          <w:sz w:val="20"/>
        </w:rPr>
        <w:t xml:space="preserve">. 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 or in violation of </w:t>
      </w:r>
      <w:r>
        <w:rPr>
          <w:rFonts w:ascii="Times New Roman" w:hAnsi="Times New Roman"/>
          <w:b/>
          <w:i/>
          <w:caps w:val="false"/>
          <w:smallCaps w:val="false"/>
          <w:sz w:val="20"/>
        </w:rPr>
        <w:t>Section 7.05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380"/>
        <w:gridCol w:w="180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7.04</w:t>
            </w:r>
          </w:p>
        </w:tc>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Covenants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Consolidated Leverage Ratio</w:t>
      </w:r>
      <w:r>
        <w:rPr>
          <w:rFonts w:ascii="Times New Roman" w:hAnsi="Times New Roman"/>
          <w:caps w:val="false"/>
          <w:smallCaps w:val="false"/>
          <w:sz w:val="20"/>
        </w:rPr>
        <w:t>. Permit the Consolidated Leverage Ratio as of the end of any four Fiscal Quarter period ending as of the end of any Fiscal Quarter of the Borrower set forth below to be greater than the ratio set forth below opposite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1625"/>
        <w:gridCol w:w="2495"/>
      </w:tblGrid>
      <w:tr>
        <w:trPr/>
        <w:tc>
          <w:tcPr>
            <w:tcW w:w="16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249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Maximum</w:t>
            </w:r>
          </w:p>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Leverage Ratio</w:t>
            </w:r>
          </w:p>
        </w:tc>
      </w:tr>
      <w:tr>
        <w:trPr/>
        <w:tc>
          <w:tcPr>
            <w:tcW w:w="16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August 31, 2026</w:t>
            </w:r>
          </w:p>
        </w:tc>
        <w:tc>
          <w:tcPr>
            <w:tcW w:w="2495" w:type="dxa"/>
            <w:tcBorders>
              <w:bottom w:val="single" w:sz="2" w:space="0" w:color="000000"/>
            </w:tcBorders>
            <w:vAlign w:val="center"/>
          </w:tcPr>
          <w:p>
            <w:pPr>
              <w:pStyle w:val="TableContents"/>
              <w:bidi w:val="0"/>
              <w:spacing w:before="0" w:after="0"/>
              <w:ind w:left="680" w:right="0" w:hanging="0"/>
              <w:jc w:val="left"/>
              <w:rPr>
                <w:rFonts w:ascii="Times New Roman" w:hAnsi="Times New Roman"/>
                <w:caps w:val="false"/>
                <w:smallCaps w:val="false"/>
                <w:sz w:val="20"/>
              </w:rPr>
            </w:pPr>
            <w:r>
              <w:rPr>
                <w:rFonts w:ascii="Times New Roman" w:hAnsi="Times New Roman"/>
                <w:caps w:val="false"/>
                <w:smallCaps w:val="false"/>
                <w:sz w:val="20"/>
              </w:rPr>
              <w:t>5.25 to 1.00</w:t>
            </w:r>
          </w:p>
        </w:tc>
      </w:tr>
      <w:tr>
        <w:trPr/>
        <w:tc>
          <w:tcPr>
            <w:tcW w:w="16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November 30, 2026</w:t>
            </w:r>
          </w:p>
        </w:tc>
        <w:tc>
          <w:tcPr>
            <w:tcW w:w="2495" w:type="dxa"/>
            <w:tcBorders>
              <w:bottom w:val="single" w:sz="2" w:space="0" w:color="000000"/>
            </w:tcBorders>
            <w:vAlign w:val="center"/>
          </w:tcPr>
          <w:p>
            <w:pPr>
              <w:pStyle w:val="TableContents"/>
              <w:bidi w:val="0"/>
              <w:spacing w:before="0" w:after="0"/>
              <w:ind w:left="680" w:right="0" w:hanging="0"/>
              <w:jc w:val="left"/>
              <w:rPr>
                <w:rFonts w:ascii="Times New Roman" w:hAnsi="Times New Roman"/>
                <w:caps w:val="false"/>
                <w:smallCaps w:val="false"/>
                <w:sz w:val="20"/>
              </w:rPr>
            </w:pPr>
            <w:r>
              <w:rPr>
                <w:rFonts w:ascii="Times New Roman" w:hAnsi="Times New Roman"/>
                <w:caps w:val="false"/>
                <w:smallCaps w:val="false"/>
                <w:sz w:val="20"/>
              </w:rPr>
              <w:t>4.25 to 1.00</w:t>
            </w:r>
          </w:p>
        </w:tc>
      </w:tr>
    </w:tbl>
    <w:tbl>
      <w:tblPr>
        <w:tblW w:w="5245" w:type="dxa"/>
        <w:jc w:val="left"/>
        <w:tblInd w:w="0" w:type="dxa"/>
        <w:tblLayout w:type="fixed"/>
        <w:tblCellMar>
          <w:top w:w="0" w:type="dxa"/>
          <w:left w:w="0" w:type="dxa"/>
          <w:bottom w:w="28" w:type="dxa"/>
          <w:right w:w="0" w:type="dxa"/>
        </w:tblCellMar>
      </w:tblPr>
      <w:tblGrid>
        <w:gridCol w:w="4250"/>
        <w:gridCol w:w="995"/>
      </w:tblGrid>
      <w:tr>
        <w:trPr/>
        <w:tc>
          <w:tcPr>
            <w:tcW w:w="4250" w:type="dxa"/>
            <w:tcBorders>
              <w:bottom w:val="single" w:sz="2" w:space="0" w:color="000000"/>
            </w:tcBorders>
            <w:vAlign w:val="center"/>
          </w:tcPr>
          <w:p>
            <w:pPr>
              <w:pStyle w:val="TableContents"/>
              <w:bidi w:val="0"/>
              <w:spacing w:before="0" w:after="0"/>
              <w:ind w:left="420" w:right="0" w:hanging="0"/>
              <w:jc w:val="left"/>
              <w:rPr>
                <w:rFonts w:ascii="Times New Roman" w:hAnsi="Times New Roman"/>
                <w:caps w:val="false"/>
                <w:smallCaps w:val="false"/>
                <w:sz w:val="20"/>
              </w:rPr>
            </w:pPr>
            <w:r>
              <w:rPr>
                <w:rFonts w:ascii="Times New Roman" w:hAnsi="Times New Roman"/>
                <w:caps w:val="false"/>
                <w:smallCaps w:val="false"/>
                <w:sz w:val="20"/>
              </w:rPr>
              <w:t>February 28, 2027 and each Fiscal Quarter thereafter</w:t>
            </w:r>
          </w:p>
        </w:tc>
        <w:tc>
          <w:tcPr>
            <w:tcW w:w="995" w:type="dxa"/>
            <w:tcBorders>
              <w:bottom w:val="single" w:sz="2" w:space="0" w:color="000000"/>
            </w:tcBorders>
            <w:vAlign w:val="center"/>
          </w:tcPr>
          <w:p>
            <w:pPr>
              <w:pStyle w:val="TableContents"/>
              <w:bidi w:val="0"/>
              <w:spacing w:before="0" w:after="0"/>
              <w:ind w:left="680" w:right="0" w:hanging="0"/>
              <w:jc w:val="left"/>
              <w:rPr>
                <w:rFonts w:ascii="Times New Roman" w:hAnsi="Times New Roman"/>
                <w:caps w:val="false"/>
                <w:smallCaps w:val="false"/>
                <w:sz w:val="20"/>
              </w:rPr>
            </w:pPr>
            <w:r>
              <w:rPr>
                <w:rFonts w:ascii="Times New Roman" w:hAnsi="Times New Roman"/>
                <w:caps w:val="false"/>
                <w:smallCaps w:val="false"/>
                <w:sz w:val="20"/>
              </w:rPr>
              <w:t>4.00 to 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Consolidated Fixed Charge Coverage Ratio</w:t>
      </w:r>
      <w:r>
        <w:rPr>
          <w:rFonts w:ascii="Times New Roman" w:hAnsi="Times New Roman"/>
          <w:caps w:val="false"/>
          <w:smallCaps w:val="false"/>
          <w:sz w:val="20"/>
        </w:rPr>
        <w:t>. Permit the Consolidated Fixed Charge Coverage Ratio as of the end of any four Fiscal Quarter period ending as of the end of any Fiscal Quarter of the Borrower set forth below to be less than the ratio set forth below opposite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28" w:type="dxa"/>
          <w:right w:w="0" w:type="dxa"/>
        </w:tblCellMar>
      </w:tblPr>
      <w:tblGrid>
        <w:gridCol w:w="4115"/>
        <w:gridCol w:w="4595"/>
      </w:tblGrid>
      <w:tr>
        <w:trPr/>
        <w:tc>
          <w:tcPr>
            <w:tcW w:w="411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4595" w:type="dxa"/>
            <w:tcBorders>
              <w:bottom w:val="single" w:sz="2" w:space="0" w:color="000000"/>
            </w:tcBorders>
            <w:vAlign w:val="center"/>
          </w:tcPr>
          <w:p>
            <w:pPr>
              <w:pStyle w:val="TableContents"/>
              <w:bidi w:val="0"/>
              <w:spacing w:before="0" w:after="0"/>
              <w:ind w:left="440" w:right="0" w:hanging="300"/>
              <w:jc w:val="left"/>
              <w:rPr>
                <w:rFonts w:ascii="Times New Roman" w:hAnsi="Times New Roman"/>
                <w:b/>
                <w:caps w:val="false"/>
                <w:smallCaps w:val="false"/>
                <w:sz w:val="20"/>
              </w:rPr>
            </w:pPr>
            <w:r>
              <w:rPr>
                <w:rFonts w:ascii="Times New Roman" w:hAnsi="Times New Roman"/>
                <w:b/>
                <w:caps w:val="false"/>
                <w:smallCaps w:val="false"/>
                <w:sz w:val="20"/>
              </w:rPr>
              <w:t>Minimum Consolidated Fixed Charge Coverage Ratio</w:t>
            </w:r>
          </w:p>
        </w:tc>
      </w:tr>
      <w:tr>
        <w:trPr/>
        <w:tc>
          <w:tcPr>
            <w:tcW w:w="411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August 31, 2027 and each Fiscal Quarter thereafter</w:t>
            </w:r>
          </w:p>
        </w:tc>
        <w:tc>
          <w:tcPr>
            <w:tcW w:w="459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Minimum Liquidity</w:t>
      </w:r>
      <w:r>
        <w:rPr>
          <w:rFonts w:ascii="Times New Roman" w:hAnsi="Times New Roman"/>
          <w:caps w:val="false"/>
          <w:smallCaps w:val="false"/>
          <w:sz w:val="20"/>
        </w:rPr>
        <w:t>. During the Minimum TTM EBITDA Testing Period, permit the sum of the Revolving Availability plus Unrestricted Cash on hand that is held by a Loan Party in an account with the Administrative Agent or any other Lender to be less than $30,000,000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Minimum EBITDA</w:t>
      </w:r>
      <w:r>
        <w:rPr>
          <w:rFonts w:ascii="Times New Roman" w:hAnsi="Times New Roman"/>
          <w:caps w:val="false"/>
          <w:smallCaps w:val="false"/>
          <w:sz w:val="20"/>
        </w:rPr>
        <w:t>. Permit Consolidated EBITDA as of the end of any four Fiscal Quarter period ending as of the end of any Fiscal Quarter of the Borrower set forth below to be less than the amount set forth below opposite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625"/>
        <w:gridCol w:w="1925"/>
      </w:tblGrid>
      <w:tr>
        <w:trPr/>
        <w:tc>
          <w:tcPr>
            <w:tcW w:w="1625" w:type="dxa"/>
            <w:tcBorders>
              <w:bottom w:val="single" w:sz="2" w:space="0" w:color="000000"/>
            </w:tcBorders>
            <w:vAlign w:val="center"/>
          </w:tcPr>
          <w:p>
            <w:pPr>
              <w:pStyle w:val="TableContents"/>
              <w:bidi w:val="0"/>
              <w:spacing w:before="0" w:after="0"/>
              <w:ind w:left="120" w:right="0" w:hanging="0"/>
              <w:jc w:val="left"/>
              <w:rPr>
                <w:rFonts w:ascii="Times New Roman" w:hAnsi="Times New Roman"/>
                <w:b/>
                <w:caps w:val="false"/>
                <w:smallCaps w:val="false"/>
                <w:sz w:val="20"/>
              </w:rPr>
            </w:pPr>
            <w:r>
              <w:rPr>
                <w:rFonts w:ascii="Times New Roman" w:hAnsi="Times New Roman"/>
                <w:b/>
                <w:caps w:val="false"/>
                <w:smallCaps w:val="false"/>
                <w:sz w:val="20"/>
              </w:rPr>
              <w:t>Period Ending</w:t>
            </w:r>
          </w:p>
        </w:tc>
        <w:tc>
          <w:tcPr>
            <w:tcW w:w="19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EBITDA</w:t>
            </w:r>
          </w:p>
        </w:tc>
      </w:tr>
      <w:tr>
        <w:trPr/>
        <w:tc>
          <w:tcPr>
            <w:tcW w:w="162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August 31, 2026</w:t>
            </w:r>
          </w:p>
        </w:tc>
        <w:tc>
          <w:tcPr>
            <w:tcW w:w="19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$10,600,000</w:t>
            </w:r>
          </w:p>
        </w:tc>
      </w:tr>
      <w:tr>
        <w:trPr/>
        <w:tc>
          <w:tcPr>
            <w:tcW w:w="162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November 30, 2026</w:t>
            </w:r>
          </w:p>
        </w:tc>
        <w:tc>
          <w:tcPr>
            <w:tcW w:w="19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$10,430,000</w:t>
            </w:r>
          </w:p>
        </w:tc>
      </w:tr>
      <w:tr>
        <w:trPr/>
        <w:tc>
          <w:tcPr>
            <w:tcW w:w="162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February 28, 2027</w:t>
            </w:r>
          </w:p>
        </w:tc>
        <w:tc>
          <w:tcPr>
            <w:tcW w:w="19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$11,165,000</w:t>
            </w:r>
          </w:p>
        </w:tc>
      </w:tr>
      <w:tr>
        <w:trPr/>
        <w:tc>
          <w:tcPr>
            <w:tcW w:w="1625" w:type="dxa"/>
            <w:tcBorders>
              <w:bottom w:val="single" w:sz="2"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May 31, 2027</w:t>
            </w:r>
          </w:p>
        </w:tc>
        <w:tc>
          <w:tcPr>
            <w:tcW w:w="192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$12,500,000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Certain Cure Rights</w:t>
      </w:r>
      <w:r>
        <w:rPr>
          <w:rFonts w:ascii="Times New Roman" w:hAnsi="Times New Roman"/>
          <w:caps w:val="false"/>
          <w:smallCaps w:val="false"/>
          <w:sz w:val="20"/>
        </w:rPr>
        <w:t>. Notwithstanding any provision to the contrary contained in this Agreement or in any other Loan Document, upon written notice provided by the Borrower to the Administrative Agent (the “</w:t>
      </w:r>
      <w:r>
        <w:rPr>
          <w:rFonts w:ascii="Times New Roman" w:hAnsi="Times New Roman"/>
          <w:b/>
          <w:i/>
          <w:caps w:val="false"/>
          <w:smallCaps w:val="false"/>
          <w:sz w:val="20"/>
        </w:rPr>
        <w:t>Notice of Intent to Cure</w:t>
      </w:r>
      <w:r>
        <w:rPr>
          <w:rFonts w:ascii="Times New Roman" w:hAnsi="Times New Roman"/>
          <w:caps w:val="false"/>
          <w:smallCaps w:val="false"/>
          <w:sz w:val="20"/>
        </w:rPr>
        <w:t xml:space="preserve">”) on or before the day on which a Compliance Certificate is required to be delivered pursuant to </w:t>
      </w:r>
      <w:r>
        <w:rPr>
          <w:rFonts w:ascii="Times New Roman" w:hAnsi="Times New Roman"/>
          <w:b/>
          <w:i/>
          <w:caps w:val="false"/>
          <w:smallCaps w:val="false"/>
          <w:sz w:val="20"/>
        </w:rPr>
        <w:t>Section 6.01(c)</w:t>
      </w:r>
      <w:r>
        <w:rPr>
          <w:rFonts w:ascii="Times New Roman" w:hAnsi="Times New Roman"/>
          <w:caps w:val="false"/>
          <w:smallCaps w:val="false"/>
          <w:sz w:val="20"/>
        </w:rPr>
        <w:t xml:space="preserve">, for the Fiscal Quarter to which the Cure Payment (as defined below) relates, and so long as no Event of Default (other than in respect of the preceding </w:t>
      </w:r>
      <w:r>
        <w:rPr>
          <w:rFonts w:ascii="Times New Roman" w:hAnsi="Times New Roman"/>
          <w:b/>
          <w:i/>
          <w:caps w:val="false"/>
          <w:smallCaps w:val="false"/>
          <w:sz w:val="20"/>
        </w:rPr>
        <w:t xml:space="preserve">subsection (a)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7.04</w:t>
      </w:r>
      <w:r>
        <w:rPr>
          <w:rFonts w:ascii="Times New Roman" w:hAnsi="Times New Roman"/>
          <w:caps w:val="false"/>
          <w:smallCaps w:val="false"/>
          <w:sz w:val="20"/>
        </w:rPr>
        <w:t xml:space="preserve">) shall then exist, the Borrower may cure such violation of the preceding </w:t>
      </w:r>
      <w:r>
        <w:rPr>
          <w:rFonts w:ascii="Times New Roman" w:hAnsi="Times New Roman"/>
          <w:b/>
          <w:i/>
          <w:caps w:val="false"/>
          <w:smallCaps w:val="false"/>
          <w:sz w:val="20"/>
        </w:rPr>
        <w:t xml:space="preserve">subsection (a)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7.04 </w:t>
      </w:r>
      <w:r>
        <w:rPr>
          <w:rFonts w:ascii="Times New Roman" w:hAnsi="Times New Roman"/>
          <w:caps w:val="false"/>
          <w:smallCaps w:val="false"/>
          <w:sz w:val="20"/>
        </w:rPr>
        <w:t xml:space="preserve">by making a prepayment of the Term Loans with proceeds of the issuance of Equity Interests by, or from a capital contribution to, a Loan Party from a parent company that is not a Loan Party that would not result in a violation of </w:t>
      </w:r>
      <w:r>
        <w:rPr>
          <w:rFonts w:ascii="Times New Roman" w:hAnsi="Times New Roman"/>
          <w:b/>
          <w:i/>
          <w:caps w:val="false"/>
          <w:smallCaps w:val="false"/>
          <w:sz w:val="20"/>
        </w:rPr>
        <w:t>Section 7.05</w:t>
      </w:r>
      <w:r>
        <w:rPr>
          <w:rFonts w:ascii="Times New Roman" w:hAnsi="Times New Roman"/>
          <w:caps w:val="false"/>
          <w:smallCaps w:val="false"/>
          <w:sz w:val="20"/>
        </w:rPr>
        <w:t>, in an amount not less than the applicable Minimum Cure Amount (each such prepayment, a “</w:t>
      </w:r>
      <w:r>
        <w:rPr>
          <w:rFonts w:ascii="Times New Roman" w:hAnsi="Times New Roman"/>
          <w:b/>
          <w:i/>
          <w:caps w:val="false"/>
          <w:smallCaps w:val="false"/>
          <w:sz w:val="20"/>
        </w:rPr>
        <w:t>Cure Payment</w:t>
      </w:r>
      <w:r>
        <w:rPr>
          <w:rFonts w:ascii="Times New Roman" w:hAnsi="Times New Roman"/>
          <w:caps w:val="false"/>
          <w:smallCaps w:val="false"/>
          <w:sz w:val="20"/>
        </w:rPr>
        <w:t xml:space="preserve">”), not later than the earlier of (i) the date that the Borrower completes the financial information required to be delivered pursuant to </w:t>
      </w:r>
      <w:r>
        <w:rPr>
          <w:rFonts w:ascii="Times New Roman" w:hAnsi="Times New Roman"/>
          <w:b/>
          <w:i/>
          <w:caps w:val="false"/>
          <w:smallCaps w:val="false"/>
          <w:sz w:val="20"/>
        </w:rPr>
        <w:t xml:space="preserve">Section 6.01(a)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that would reflect failure to comply with </w:t>
      </w:r>
      <w:r>
        <w:rPr>
          <w:rFonts w:ascii="Times New Roman" w:hAnsi="Times New Roman"/>
          <w:b/>
          <w:i/>
          <w:caps w:val="false"/>
          <w:smallCaps w:val="false"/>
          <w:sz w:val="20"/>
        </w:rPr>
        <w:t xml:space="preserve">Section 7.04(a) </w:t>
      </w:r>
      <w:r>
        <w:rPr>
          <w:rFonts w:ascii="Times New Roman" w:hAnsi="Times New Roman"/>
          <w:caps w:val="false"/>
          <w:smallCaps w:val="false"/>
          <w:sz w:val="20"/>
        </w:rPr>
        <w:t>and (ii) the date that is five</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(5) Business Days after the date that the Administrative Agent receives the Compliance Certificate required by </w:t>
      </w:r>
      <w:r>
        <w:rPr>
          <w:rFonts w:ascii="Times New Roman" w:hAnsi="Times New Roman"/>
          <w:b/>
          <w:i/>
          <w:caps w:val="false"/>
          <w:smallCaps w:val="false"/>
          <w:sz w:val="20"/>
        </w:rPr>
        <w:t xml:space="preserve">Section 6.01(c) </w:t>
      </w:r>
      <w:r>
        <w:rPr>
          <w:rFonts w:ascii="Times New Roman" w:hAnsi="Times New Roman"/>
          <w:caps w:val="false"/>
          <w:smallCaps w:val="false"/>
          <w:sz w:val="20"/>
        </w:rPr>
        <w:t>with respect to the Fiscal Quarter to which such financial covenant violation relates. As used herein, “</w:t>
      </w:r>
      <w:r>
        <w:rPr>
          <w:rFonts w:ascii="Times New Roman" w:hAnsi="Times New Roman"/>
          <w:b/>
          <w:i/>
          <w:caps w:val="false"/>
          <w:smallCaps w:val="false"/>
          <w:sz w:val="20"/>
        </w:rPr>
        <w:t>Minimum Cure Amount</w:t>
      </w:r>
      <w:r>
        <w:rPr>
          <w:rFonts w:ascii="Times New Roman" w:hAnsi="Times New Roman"/>
          <w:caps w:val="false"/>
          <w:smallCaps w:val="false"/>
          <w:sz w:val="20"/>
        </w:rPr>
        <w:t xml:space="preserve">” means (i) with respect to the Fiscal Quarter ending November 30, 2026, $10,000,000, and (II) with respect to each of the Fiscal Quarters ending February 28, 2027 and May 31, 2027, $5,000,000. Such Cure Payment shall be included in the calculation of the Consolidated Leverage Ratio solely for determining compliance with this </w:t>
      </w:r>
      <w:r>
        <w:rPr>
          <w:rFonts w:ascii="Times New Roman" w:hAnsi="Times New Roman"/>
          <w:b/>
          <w:i/>
          <w:caps w:val="false"/>
          <w:smallCaps w:val="false"/>
          <w:sz w:val="20"/>
        </w:rPr>
        <w:t xml:space="preserve">Section 7.04(a) </w:t>
      </w:r>
      <w:r>
        <w:rPr>
          <w:rFonts w:ascii="Times New Roman" w:hAnsi="Times New Roman"/>
          <w:caps w:val="false"/>
          <w:smallCaps w:val="false"/>
          <w:sz w:val="20"/>
        </w:rPr>
        <w:t>for the Fiscal Quarter to which the cure applies and for the three (3) subsequent Fiscal Quarters following such cure and shall be disregarded and shall not affect the calculation of Consolidated Funded Indebtedness or the Consolidated Leverage Ratio for all other purposes (including the purpose of the calculation of other covenants (including the calculation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financial covenants on a Pro Forma Basis to determine whether a Specified Transaction is permitted hereunder) or for the purpose of the calculation of the Applicable Rate). The cure rights described in this </w:t>
      </w:r>
      <w:r>
        <w:rPr>
          <w:rFonts w:ascii="Times New Roman" w:hAnsi="Times New Roman"/>
          <w:b/>
          <w:i/>
          <w:caps w:val="false"/>
          <w:smallCaps w:val="false"/>
          <w:sz w:val="20"/>
        </w:rPr>
        <w:t xml:space="preserve">Section 7.04(e) </w:t>
      </w:r>
      <w:r>
        <w:rPr>
          <w:rFonts w:ascii="Times New Roman" w:hAnsi="Times New Roman"/>
          <w:caps w:val="false"/>
          <w:smallCaps w:val="false"/>
          <w:sz w:val="20"/>
        </w:rPr>
        <w:t>(i) may only be exercised with respect to the Fiscal Quarters ending November 30, 2026, February 28, 2027 and May 31, 2027 (each, a “</w:t>
      </w:r>
      <w:r>
        <w:rPr>
          <w:rFonts w:ascii="Times New Roman" w:hAnsi="Times New Roman"/>
          <w:b/>
          <w:i/>
          <w:caps w:val="false"/>
          <w:smallCaps w:val="false"/>
          <w:sz w:val="20"/>
        </w:rPr>
        <w:t>Cure-Eligible Quarter</w:t>
      </w:r>
      <w:r>
        <w:rPr>
          <w:rFonts w:ascii="Times New Roman" w:hAnsi="Times New Roman"/>
          <w:caps w:val="false"/>
          <w:smallCaps w:val="false"/>
          <w:sz w:val="20"/>
        </w:rPr>
        <w:t>”), and</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(ii) may only be exercised three (3) times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contained herein, upon the Administrative Agent’s receipt of a Notice of Intent to Cure and until the earlier of (i) the date that the Borrower completes the financial information required to be delivered pursuant to </w:t>
      </w:r>
      <w:r>
        <w:rPr>
          <w:rFonts w:ascii="Times New Roman" w:hAnsi="Times New Roman"/>
          <w:b/>
          <w:i/>
          <w:caps w:val="false"/>
          <w:smallCaps w:val="false"/>
          <w:sz w:val="20"/>
        </w:rPr>
        <w:t xml:space="preserve">Section 6.01(a)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that would reflect failure to comply with </w:t>
      </w:r>
      <w:r>
        <w:rPr>
          <w:rFonts w:ascii="Times New Roman" w:hAnsi="Times New Roman"/>
          <w:b/>
          <w:i/>
          <w:caps w:val="false"/>
          <w:smallCaps w:val="false"/>
          <w:sz w:val="20"/>
        </w:rPr>
        <w:t xml:space="preserve">Section 7.04(a) </w:t>
      </w:r>
      <w:r>
        <w:rPr>
          <w:rFonts w:ascii="Times New Roman" w:hAnsi="Times New Roman"/>
          <w:caps w:val="false"/>
          <w:smallCaps w:val="false"/>
          <w:sz w:val="20"/>
        </w:rPr>
        <w:t xml:space="preserve">and (ii) the fifth (5th) Business Day after the date on which a Compliance Certificate is required to be delivered pursuant to </w:t>
      </w:r>
      <w:r>
        <w:rPr>
          <w:rFonts w:ascii="Times New Roman" w:hAnsi="Times New Roman"/>
          <w:b/>
          <w:i/>
          <w:caps w:val="false"/>
          <w:smallCaps w:val="false"/>
          <w:sz w:val="20"/>
        </w:rPr>
        <w:t xml:space="preserve">Section 6.01(c) </w:t>
      </w:r>
      <w:r>
        <w:rPr>
          <w:rFonts w:ascii="Times New Roman" w:hAnsi="Times New Roman"/>
          <w:caps w:val="false"/>
          <w:smallCaps w:val="false"/>
          <w:sz w:val="20"/>
        </w:rPr>
        <w:t xml:space="preserve">with respect to the applicable Cure-Eligible Quarter, to the extent that no Event of Default exists (other than in respect of </w:t>
      </w:r>
      <w:r>
        <w:rPr>
          <w:rFonts w:ascii="Times New Roman" w:hAnsi="Times New Roman"/>
          <w:b/>
          <w:i/>
          <w:caps w:val="false"/>
          <w:smallCaps w:val="false"/>
          <w:sz w:val="20"/>
        </w:rPr>
        <w:t>Section 7.11(a)</w:t>
      </w:r>
      <w:r>
        <w:rPr>
          <w:rFonts w:ascii="Times New Roman" w:hAnsi="Times New Roman"/>
          <w:caps w:val="false"/>
          <w:smallCaps w:val="false"/>
          <w:sz w:val="20"/>
        </w:rPr>
        <w:t xml:space="preserve">) at such time, the Administrative Agent and the Lenders shall not be permitted to (x) accelerate the Obligations, (y) terminate the Commitments or (z) exercise remedies under the Loan Documents (including against the Collateral), in each case, solely as a result of such Event(s) of Default under </w:t>
      </w:r>
      <w:r>
        <w:rPr>
          <w:rFonts w:ascii="Times New Roman" w:hAnsi="Times New Roman"/>
          <w:b/>
          <w:i/>
          <w:caps w:val="false"/>
          <w:smallCaps w:val="false"/>
          <w:sz w:val="20"/>
        </w:rPr>
        <w:t>Section 7.11(a)</w:t>
      </w:r>
      <w:r>
        <w:rPr>
          <w:rFonts w:ascii="Times New Roman" w:hAnsi="Times New Roman"/>
          <w:caps w:val="false"/>
          <w:smallCaps w:val="false"/>
          <w:sz w:val="20"/>
        </w:rPr>
        <w:t>, until the end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7.05    </w:t>
      </w:r>
      <w:r>
        <w:rPr>
          <w:rFonts w:ascii="Times New Roman" w:hAnsi="Times New Roman"/>
          <w:b/>
          <w:caps w:val="false"/>
          <w:smallCaps w:val="false"/>
          <w:sz w:val="20"/>
        </w:rPr>
        <w:t>Restricted Activities</w:t>
      </w:r>
      <w:r>
        <w:rPr>
          <w:rFonts w:ascii="Times New Roman" w:hAnsi="Times New Roman"/>
          <w:caps w:val="false"/>
          <w:smallCaps w:val="false"/>
          <w:sz w:val="20"/>
        </w:rPr>
        <w:t xml:space="preserve">. No Loan Party Group Company shall (a) engage, or agree to engage, directly or indirectly, in any activities, relating to or in connection with the importation, exportation, cultivation, production, purchase, distribution or sale of Cannabis, products containing Cannabis, extracts of Cannabis or any paraphernalia related to any of the foregoing (provided, that, for the purposes of the foregoing, a product shall not be deemed “paraphernalia related to any of the foregoing” solely as the result of any name, logo or brand set forth on such product or used in connection with the marketing thereof to the extent the use of such name, logo or brand does not violate any applicable law), including advertising or promotional activities with respect thereto or (b) conduct their business in a manner that would violate the Controlled Substances Act, the Civil Asset Forfeiture Reform Act or applicable anti-money laundering laws (in each case, solely as it relates to an alleged violation of the Controlled Substances Act). For the avoidance of doubt, (a) no proceeds of the Loans and Letters of Credit shall be used, directly or indirectly, for any of the activities set forth in this </w:t>
      </w:r>
      <w:r>
        <w:rPr>
          <w:rFonts w:ascii="Times New Roman" w:hAnsi="Times New Roman"/>
          <w:b/>
          <w:i/>
          <w:caps w:val="false"/>
          <w:smallCaps w:val="false"/>
          <w:sz w:val="20"/>
        </w:rPr>
        <w:t xml:space="preserve">Section 7.05 </w:t>
      </w:r>
      <w:r>
        <w:rPr>
          <w:rFonts w:ascii="Times New Roman" w:hAnsi="Times New Roman"/>
          <w:caps w:val="false"/>
          <w:smallCaps w:val="false"/>
          <w:sz w:val="20"/>
        </w:rPr>
        <w:t xml:space="preserve">and (b) any payments made by any Loan Party Group Company to any Affiliate who is not a Loan Party shall be made with Internally Generated Cash. No Loan Party Group Company may receive any Investments from a Person that is not a Loan Party Group Company, unless the applicable Loan Party Group Company has provided a written confirmation to the Lenders (together with supporting documentation) that such Loan Party Group Company has concluded that its receipt of such Investment does not violate this </w:t>
      </w:r>
      <w:r>
        <w:rPr>
          <w:rFonts w:ascii="Times New Roman" w:hAnsi="Times New Roman"/>
          <w:b/>
          <w:i/>
          <w:caps w:val="false"/>
          <w:smallCaps w:val="false"/>
          <w:sz w:val="20"/>
        </w:rPr>
        <w:t>Section 7.05</w:t>
      </w:r>
      <w:r>
        <w:rPr>
          <w:rFonts w:ascii="Times New Roman" w:hAnsi="Times New Roman"/>
          <w:i/>
          <w:caps w:val="false"/>
          <w:smallCaps w:val="false"/>
          <w:sz w:val="20"/>
        </w:rPr>
        <w:t xml:space="preserve">Error! Reference source not found. </w:t>
      </w:r>
      <w:r>
        <w:rPr>
          <w:rFonts w:ascii="Times New Roman" w:hAnsi="Times New Roman"/>
          <w:caps w:val="false"/>
          <w:smallCaps w:val="false"/>
          <w:sz w:val="20"/>
        </w:rPr>
        <w:t xml:space="preserve">and no Lender has objected to such Investment by delivery of a notice of objection to such Loan Party Group Company within 3 Business Days following receipt by such Lender of such written confirmation and supporting documentation. Notwithstanding the foregoing, this </w:t>
      </w:r>
      <w:r>
        <w:rPr>
          <w:rFonts w:ascii="Times New Roman" w:hAnsi="Times New Roman"/>
          <w:b/>
          <w:i/>
          <w:caps w:val="false"/>
          <w:smallCaps w:val="false"/>
          <w:sz w:val="20"/>
        </w:rPr>
        <w:t xml:space="preserve">Section 7.05 </w:t>
      </w:r>
      <w:r>
        <w:rPr>
          <w:rFonts w:ascii="Times New Roman" w:hAnsi="Times New Roman"/>
          <w:caps w:val="false"/>
          <w:smallCaps w:val="false"/>
          <w:sz w:val="20"/>
        </w:rPr>
        <w:t>shall not prohibit any Loan Party Group Company from engaging, or agreeing to engage, directly or indirectly, in any activities, relating to or in connection with the importation, exportation, cultivation, production, purchase, distribution or sale of Hemp to the extent such activities are permitted by Law and not in violation of the Controlled Substances Act, the Civil Asset Forfeiture Reform Act or applicable anti-money laundering laws (in each case, solely as it relates to an alleged violation of the Controlled Substances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7.06    </w:t>
      </w:r>
      <w:r>
        <w:rPr>
          <w:rFonts w:ascii="Times New Roman" w:hAnsi="Times New Roman"/>
          <w:b/>
          <w:caps w:val="false"/>
          <w:smallCaps w:val="false"/>
          <w:sz w:val="20"/>
        </w:rPr>
        <w:t>Amendments of Organization Documents; Fiscal Year; Legal Name, State of Formation; Form of Entity and Accounting Changes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Amend, modify or waive any of its rights under, the Organization Documents of any Loan Party, in each case, in a manner materially adverse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Make any significant change in accounting treatment or reporting practices, except as required by GAAP, or change the Fiscal Year of any Loan Party Group Company except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change the Fiscal Year of a Subsidiary to conform its Fiscal Year to that of the Borrower, in each case, without the consent of the Administrative Agent.</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380"/>
        <w:gridCol w:w="67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7.07</w:t>
            </w:r>
          </w:p>
        </w:tc>
        <w:tc>
          <w:tcPr>
            <w:tcW w:w="6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Sale and Leaseback Transactions</w:t>
            </w:r>
            <w:r>
              <w:rPr>
                <w:rFonts w:ascii="Times New Roman" w:hAnsi="Times New Roman"/>
                <w:caps w:val="false"/>
                <w:smallCaps w:val="false"/>
                <w:sz w:val="20"/>
              </w:rPr>
              <w:t>. Enter into any Sale and Leaseback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7.08    </w:t>
      </w:r>
      <w:r>
        <w:rPr>
          <w:rFonts w:ascii="Times New Roman" w:hAnsi="Times New Roman"/>
          <w:b/>
          <w:caps w:val="false"/>
          <w:smallCaps w:val="false"/>
          <w:sz w:val="20"/>
        </w:rPr>
        <w:t>Sanctions</w:t>
      </w:r>
      <w:r>
        <w:rPr>
          <w:rFonts w:ascii="Times New Roman" w:hAnsi="Times New Roman"/>
          <w:caps w:val="false"/>
          <w:smallCaps w:val="false"/>
          <w:sz w:val="20"/>
        </w:rPr>
        <w:t>. 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7.09    </w:t>
      </w:r>
      <w:r>
        <w:rPr>
          <w:rFonts w:ascii="Times New Roman" w:hAnsi="Times New Roman"/>
          <w:b/>
          <w:caps w:val="false"/>
          <w:smallCaps w:val="false"/>
          <w:sz w:val="20"/>
        </w:rPr>
        <w:t>Anti-Corruption Laws</w:t>
      </w:r>
      <w:r>
        <w:rPr>
          <w:rFonts w:ascii="Times New Roman" w:hAnsi="Times New Roman"/>
          <w:caps w:val="false"/>
          <w:smallCaps w:val="false"/>
          <w:sz w:val="20"/>
        </w:rPr>
        <w:t>. Directly or indirectly, use any Credit Extension or the proceeds of any Credit Extension for any purpose which would breach the United States Foreign Corrupt Practices Act of 1977, the UK Bribery Act 2010 and other anti-corruption legislation in other jurisdictions.</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0"/>
        <w:gridCol w:w="380"/>
        <w:gridCol w:w="9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7.10</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7.11    </w:t>
      </w:r>
      <w:r>
        <w:rPr>
          <w:rFonts w:ascii="Times New Roman" w:hAnsi="Times New Roman"/>
          <w:b/>
          <w:caps w:val="false"/>
          <w:smallCaps w:val="false"/>
          <w:sz w:val="20"/>
        </w:rPr>
        <w:t>Grower Basket</w:t>
      </w:r>
      <w:r>
        <w:rPr>
          <w:rFonts w:ascii="Times New Roman" w:hAnsi="Times New Roman"/>
          <w:caps w:val="false"/>
          <w:smallCaps w:val="false"/>
          <w:sz w:val="20"/>
        </w:rPr>
        <w:t xml:space="preserve">. Notwithstanding the provisions of </w:t>
      </w:r>
      <w:r>
        <w:rPr>
          <w:rFonts w:ascii="Times New Roman" w:hAnsi="Times New Roman"/>
          <w:b/>
          <w:i/>
          <w:caps w:val="false"/>
          <w:smallCaps w:val="false"/>
          <w:sz w:val="20"/>
        </w:rPr>
        <w:t>Sections 1.09</w:t>
      </w:r>
      <w:r>
        <w:rPr>
          <w:rFonts w:ascii="Times New Roman" w:hAnsi="Times New Roman"/>
          <w:caps w:val="false"/>
          <w:smallCaps w:val="false"/>
          <w:sz w:val="20"/>
        </w:rPr>
        <w:t xml:space="preserve">, </w:t>
      </w:r>
      <w:r>
        <w:rPr>
          <w:rFonts w:ascii="Times New Roman" w:hAnsi="Times New Roman"/>
          <w:b/>
          <w:i/>
          <w:caps w:val="false"/>
          <w:smallCaps w:val="false"/>
          <w:sz w:val="20"/>
        </w:rPr>
        <w:t>7.02(c)</w:t>
      </w:r>
      <w:r>
        <w:rPr>
          <w:rFonts w:ascii="Times New Roman" w:hAnsi="Times New Roman"/>
          <w:caps w:val="false"/>
          <w:smallCaps w:val="false"/>
          <w:sz w:val="20"/>
        </w:rPr>
        <w:t xml:space="preserve">, </w:t>
      </w:r>
      <w:r>
        <w:rPr>
          <w:rFonts w:ascii="Times New Roman" w:hAnsi="Times New Roman"/>
          <w:b/>
          <w:i/>
          <w:caps w:val="false"/>
          <w:smallCaps w:val="false"/>
          <w:sz w:val="20"/>
        </w:rPr>
        <w:t>7.02(g)</w:t>
      </w:r>
      <w:r>
        <w:rPr>
          <w:rFonts w:ascii="Times New Roman" w:hAnsi="Times New Roman"/>
          <w:caps w:val="false"/>
          <w:smallCaps w:val="false"/>
          <w:sz w:val="20"/>
        </w:rPr>
        <w:t xml:space="preserve">, </w:t>
      </w:r>
      <w:r>
        <w:rPr>
          <w:rFonts w:ascii="Times New Roman" w:hAnsi="Times New Roman"/>
          <w:b/>
          <w:i/>
          <w:caps w:val="false"/>
          <w:smallCaps w:val="false"/>
          <w:sz w:val="20"/>
        </w:rPr>
        <w:t>7.02(i)</w:t>
      </w:r>
      <w:r>
        <w:rPr>
          <w:rFonts w:ascii="Times New Roman" w:hAnsi="Times New Roman"/>
          <w:caps w:val="false"/>
          <w:smallCaps w:val="false"/>
          <w:sz w:val="20"/>
        </w:rPr>
        <w:t xml:space="preserve">, </w:t>
      </w:r>
      <w:r>
        <w:rPr>
          <w:rFonts w:ascii="Times New Roman" w:hAnsi="Times New Roman"/>
          <w:b/>
          <w:i/>
          <w:caps w:val="false"/>
          <w:smallCaps w:val="false"/>
          <w:sz w:val="20"/>
        </w:rPr>
        <w:t>7.02(j)</w:t>
      </w:r>
      <w:r>
        <w:rPr>
          <w:rFonts w:ascii="Times New Roman" w:hAnsi="Times New Roman"/>
          <w:caps w:val="false"/>
          <w:smallCaps w:val="false"/>
          <w:sz w:val="20"/>
        </w:rPr>
        <w:t xml:space="preserve">, </w:t>
      </w:r>
      <w:r>
        <w:rPr>
          <w:rFonts w:ascii="Times New Roman" w:hAnsi="Times New Roman"/>
          <w:b/>
          <w:i/>
          <w:caps w:val="false"/>
          <w:smallCaps w:val="false"/>
          <w:sz w:val="20"/>
        </w:rPr>
        <w:t>7.03(d)</w:t>
      </w:r>
      <w:r>
        <w:rPr>
          <w:rFonts w:ascii="Times New Roman" w:hAnsi="Times New Roman"/>
          <w:caps w:val="false"/>
          <w:smallCaps w:val="false"/>
          <w:sz w:val="20"/>
        </w:rPr>
        <w:t xml:space="preserve">, </w:t>
      </w:r>
      <w:r>
        <w:rPr>
          <w:rFonts w:ascii="Times New Roman" w:hAnsi="Times New Roman"/>
          <w:b/>
          <w:i/>
          <w:caps w:val="false"/>
          <w:smallCaps w:val="false"/>
          <w:sz w:val="20"/>
        </w:rPr>
        <w:t>7.03(e)</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7.03(k) </w:t>
      </w:r>
      <w:r>
        <w:rPr>
          <w:rFonts w:ascii="Times New Roman" w:hAnsi="Times New Roman"/>
          <w:caps w:val="false"/>
          <w:smallCaps w:val="false"/>
          <w:sz w:val="20"/>
        </w:rPr>
        <w:t xml:space="preserve">and </w:t>
      </w:r>
      <w:r>
        <w:rPr>
          <w:rFonts w:ascii="Times New Roman" w:hAnsi="Times New Roman"/>
          <w:b/>
          <w:i/>
          <w:caps w:val="false"/>
          <w:smallCaps w:val="false"/>
          <w:sz w:val="20"/>
        </w:rPr>
        <w:t>7.05(e)</w:t>
      </w:r>
      <w:r>
        <w:rPr>
          <w:rFonts w:ascii="Times New Roman" w:hAnsi="Times New Roman"/>
          <w:caps w:val="false"/>
          <w:smallCaps w:val="false"/>
          <w:sz w:val="20"/>
        </w:rPr>
        <w:t xml:space="preserve">, the total aggregate Dollar amounts referred to in all of those clauses shall not, at any time that Consolidated Leverage Ratio (as shown in the Compliance Certificate most recently delivered before that time under </w:t>
      </w:r>
      <w:r>
        <w:rPr>
          <w:rFonts w:ascii="Times New Roman" w:hAnsi="Times New Roman"/>
          <w:b/>
          <w:i/>
          <w:caps w:val="false"/>
          <w:smallCaps w:val="false"/>
          <w:sz w:val="20"/>
        </w:rPr>
        <w:t>Section 6.01(c)</w:t>
      </w:r>
      <w:r>
        <w:rPr>
          <w:rFonts w:ascii="Times New Roman" w:hAnsi="Times New Roman"/>
          <w:caps w:val="false"/>
          <w:smallCaps w:val="false"/>
          <w:sz w:val="20"/>
        </w:rPr>
        <w:t xml:space="preserve">), is more than or equal to 3.00:1.00, exceed an amount equal to the lesser or (x) such applicable total aggregate Dollar amount and (y) 50% of Consolidated EBITDA (as shown in the Compliance Certificate most recently delivered before that time under </w:t>
      </w:r>
      <w:r>
        <w:rPr>
          <w:rFonts w:ascii="Times New Roman" w:hAnsi="Times New Roman"/>
          <w:b/>
          <w:i/>
          <w:caps w:val="false"/>
          <w:smallCaps w:val="false"/>
          <w:sz w:val="20"/>
        </w:rPr>
        <w:t>Section 6.01(c)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7.12    </w:t>
      </w:r>
      <w:r>
        <w:rPr>
          <w:rFonts w:ascii="Times New Roman" w:hAnsi="Times New Roman"/>
          <w:b/>
          <w:caps w:val="false"/>
          <w:smallCaps w:val="false"/>
          <w:sz w:val="20"/>
        </w:rPr>
        <w:t>Outbound Investment</w:t>
      </w:r>
      <w:r>
        <w:rPr>
          <w:rFonts w:ascii="Times New Roman" w:hAnsi="Times New Roman"/>
          <w:caps w:val="false"/>
          <w:smallCaps w:val="false"/>
          <w:sz w:val="20"/>
        </w:rPr>
        <w:t>. Will not, and will not permit any of its Subsidiaries to, (a) be or become a “</w:t>
      </w:r>
      <w:r>
        <w:rPr>
          <w:rFonts w:ascii="Times New Roman" w:hAnsi="Times New Roman"/>
          <w:i/>
          <w:caps w:val="false"/>
          <w:smallCaps w:val="false"/>
          <w:sz w:val="20"/>
        </w:rPr>
        <w:t>covered foreign person</w:t>
      </w:r>
      <w:r>
        <w:rPr>
          <w:rFonts w:ascii="Times New Roman" w:hAnsi="Times New Roman"/>
          <w:caps w:val="false"/>
          <w:smallCaps w:val="false"/>
          <w:sz w:val="20"/>
        </w:rPr>
        <w:t>”, as that term is defined in the Outbound Investment Rules,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engage, directly or indirectly, in (i)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(ii) any activity or transaction that would constitute a “</w:t>
      </w:r>
      <w:r>
        <w:rPr>
          <w:rFonts w:ascii="Times New Roman" w:hAnsi="Times New Roman"/>
          <w:i/>
          <w:caps w:val="false"/>
          <w:smallCaps w:val="false"/>
          <w:sz w:val="20"/>
        </w:rPr>
        <w:t>covered activity</w:t>
      </w:r>
      <w:r>
        <w:rPr>
          <w:rFonts w:ascii="Times New Roman" w:hAnsi="Times New Roman"/>
          <w:caps w:val="false"/>
          <w:smallCaps w:val="false"/>
          <w:sz w:val="20"/>
        </w:rPr>
        <w:t>” or a “</w:t>
      </w:r>
      <w:r>
        <w:rPr>
          <w:rFonts w:ascii="Times New Roman" w:hAnsi="Times New Roman"/>
          <w:i/>
          <w:caps w:val="false"/>
          <w:smallCaps w:val="false"/>
          <w:sz w:val="20"/>
        </w:rPr>
        <w:t>covered transaction</w:t>
      </w:r>
      <w:r>
        <w:rPr>
          <w:rFonts w:ascii="Times New Roman" w:hAnsi="Times New Roman"/>
          <w:caps w:val="false"/>
          <w:smallCaps w:val="false"/>
          <w:sz w:val="20"/>
        </w:rPr>
        <w:t>”, as each such term is defined in the Outbound Investment Rules, if such Person were a U.S. Outbound Investment Person or (iii) any other activity that would cause Administrative Agent and/or Lenders to be in violation of the Outbound Investment Rules or cause Administrative Agent and/or Lenders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380"/>
        <w:gridCol w:w="36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3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EVENTS OF DEFAULT AND REMEDIES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8.01    </w:t>
      </w:r>
      <w:r>
        <w:rPr>
          <w:rFonts w:ascii="Times New Roman" w:hAnsi="Times New Roman"/>
          <w:b/>
          <w:caps w:val="false"/>
          <w:smallCaps w:val="false"/>
          <w:sz w:val="20"/>
        </w:rPr>
        <w:t>Events of Default</w:t>
      </w:r>
      <w:r>
        <w:rPr>
          <w:rFonts w:ascii="Times New Roman" w:hAnsi="Times New Roman"/>
          <w:caps w:val="false"/>
          <w:smallCaps w:val="false"/>
          <w:sz w:val="20"/>
        </w:rPr>
        <w:t>. Any of the following shall constitute an event of default (each, an “</w:t>
      </w:r>
      <w:r>
        <w:rPr>
          <w:rFonts w:ascii="Times New Roman" w:hAnsi="Times New Roman"/>
          <w:b/>
          <w:i/>
          <w:caps w:val="false"/>
          <w:smallCaps w:val="false"/>
          <w:sz w:val="20"/>
        </w:rPr>
        <w:t>Event of Default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Non-Payment</w:t>
      </w:r>
      <w:r>
        <w:rPr>
          <w:rFonts w:ascii="Times New Roman" w:hAnsi="Times New Roman"/>
          <w:caps w:val="false"/>
          <w:smallCaps w:val="false"/>
          <w:sz w:val="20"/>
        </w:rPr>
        <w:t>. Any Loan Party fails to pay (i) when and as required to be paid herein,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Specific Covenants</w:t>
      </w:r>
      <w:r>
        <w:rPr>
          <w:rFonts w:ascii="Times New Roman" w:hAnsi="Times New Roman"/>
          <w:caps w:val="false"/>
          <w:smallCaps w:val="false"/>
          <w:sz w:val="20"/>
        </w:rPr>
        <w:t xml:space="preserve">. Any Loan Party fails to perform or observe any term, covenant or agreement contained in any of </w:t>
      </w:r>
      <w:r>
        <w:rPr>
          <w:rFonts w:ascii="Times New Roman" w:hAnsi="Times New Roman"/>
          <w:b/>
          <w:i/>
          <w:caps w:val="false"/>
          <w:smallCaps w:val="false"/>
          <w:sz w:val="20"/>
        </w:rPr>
        <w:t>Section 6.01</w:t>
      </w:r>
      <w:r>
        <w:rPr>
          <w:rFonts w:ascii="Times New Roman" w:hAnsi="Times New Roman"/>
          <w:caps w:val="false"/>
          <w:smallCaps w:val="false"/>
          <w:sz w:val="20"/>
        </w:rPr>
        <w:t xml:space="preserve">, </w:t>
      </w:r>
      <w:r>
        <w:rPr>
          <w:rFonts w:ascii="Times New Roman" w:hAnsi="Times New Roman"/>
          <w:b/>
          <w:i/>
          <w:caps w:val="false"/>
          <w:smallCaps w:val="false"/>
          <w:sz w:val="20"/>
        </w:rPr>
        <w:t>6.03(a)</w:t>
      </w:r>
      <w:r>
        <w:rPr>
          <w:rFonts w:ascii="Times New Roman" w:hAnsi="Times New Roman"/>
          <w:caps w:val="false"/>
          <w:smallCaps w:val="false"/>
          <w:sz w:val="20"/>
        </w:rPr>
        <w:t>,</w:t>
      </w:r>
      <w:r>
        <w:rPr>
          <w:rFonts w:ascii="Times New Roman" w:hAnsi="Times New Roman"/>
          <w:b/>
          <w:i/>
          <w:caps w:val="false"/>
          <w:smallCaps w:val="false"/>
          <w:sz w:val="20"/>
        </w:rPr>
        <w:t xml:space="preserve">6.05(a) </w:t>
      </w:r>
      <w:r>
        <w:rPr>
          <w:rFonts w:ascii="Times New Roman" w:hAnsi="Times New Roman"/>
          <w:caps w:val="false"/>
          <w:smallCaps w:val="false"/>
          <w:sz w:val="20"/>
        </w:rPr>
        <w:t xml:space="preserve">(solely with respect to the legal existence of the Borrower), </w:t>
      </w:r>
      <w:r>
        <w:rPr>
          <w:rFonts w:ascii="Times New Roman" w:hAnsi="Times New Roman"/>
          <w:b/>
          <w:i/>
          <w:caps w:val="false"/>
          <w:smallCaps w:val="false"/>
          <w:sz w:val="20"/>
        </w:rPr>
        <w:t>6.11</w:t>
      </w:r>
      <w:r>
        <w:rPr>
          <w:rFonts w:ascii="Times New Roman" w:hAnsi="Times New Roman"/>
          <w:caps w:val="false"/>
          <w:smallCaps w:val="false"/>
          <w:sz w:val="20"/>
        </w:rPr>
        <w:t xml:space="preserve">, </w:t>
      </w:r>
      <w:r>
        <w:rPr>
          <w:rFonts w:ascii="Times New Roman" w:hAnsi="Times New Roman"/>
          <w:b/>
          <w:i/>
          <w:caps w:val="false"/>
          <w:smallCaps w:val="false"/>
          <w:sz w:val="20"/>
        </w:rPr>
        <w:t>6.16</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Article VII </w:t>
      </w:r>
      <w:r>
        <w:rPr>
          <w:rFonts w:ascii="Times New Roman" w:hAnsi="Times New Roman"/>
          <w:caps w:val="false"/>
          <w:smallCaps w:val="false"/>
          <w:sz w:val="20"/>
        </w:rPr>
        <w:t xml:space="preserve">or </w:t>
      </w:r>
      <w:r>
        <w:rPr>
          <w:rFonts w:ascii="Times New Roman" w:hAnsi="Times New Roman"/>
          <w:b/>
          <w:i/>
          <w:caps w:val="false"/>
          <w:smallCaps w:val="false"/>
          <w:sz w:val="20"/>
        </w:rPr>
        <w:t>Article X</w:t>
      </w:r>
      <w:r>
        <w:rPr>
          <w:rFonts w:ascii="Times New Roman" w:hAnsi="Times New Roman"/>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Other Defaults</w:t>
      </w:r>
      <w:r>
        <w:rPr>
          <w:rFonts w:ascii="Times New Roman" w:hAnsi="Times New Roman"/>
          <w:caps w:val="false"/>
          <w:smallCaps w:val="false"/>
          <w:sz w:val="20"/>
        </w:rPr>
        <w:t xml:space="preserve">. Any Loan Party fails to perform or observe any other covenant or agreement (not specified in </w:t>
      </w:r>
      <w:r>
        <w:rPr>
          <w:rFonts w:ascii="Times New Roman" w:hAnsi="Times New Roman"/>
          <w:b/>
          <w:i/>
          <w:caps w:val="false"/>
          <w:smallCaps w:val="false"/>
          <w:sz w:val="20"/>
        </w:rPr>
        <w:t xml:space="preserve">Section 8.01(a)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above) contained in any Loan Document on its part to be performed or observed and such failure continues for thirty (30)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Representations and Warranties</w:t>
      </w:r>
      <w:r>
        <w:rPr>
          <w:rFonts w:ascii="Times New Roman" w:hAnsi="Times New Roman"/>
          <w:caps w:val="false"/>
          <w:smallCaps w:val="false"/>
          <w:sz w:val="20"/>
        </w:rPr>
        <w:t>. Any representation or warranty made or deemed made by or on behalf of any Loan Party or any Subsidiary in or in connection with this Agreement or any other Loan Document (including the Schedules attached thereto) or Holdings in connection with the Holdings Pledge Agreement or the Holdings Guaranty and, in each case, any amendments or modifications hereof or waivers hereunder, or in any certificate submitted to the Administrative Agent or the Lenders by any Loan Party or any representative of any Loan Party pursuant to or in connection with this Agreement or any other Loan Document shall prove to be incorrect in any material respect (other than a representation or warranty that is expressly qualified by a Material Adverse Effect or materiality, in which case such representation or warranty shall prove to be incorrect in all respects) when made or deemed made or submitted;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Cross-Default</w:t>
      </w:r>
      <w:r>
        <w:rPr>
          <w:rFonts w:ascii="Times New Roman" w:hAnsi="Times New Roman"/>
          <w:caps w:val="false"/>
          <w:smallCaps w:val="false"/>
          <w:sz w:val="20"/>
        </w:rPr>
        <w:t>.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is the Defaulting Party (as defined in such Swap Contract) or (B) any Termination Event (as so defined) under such Swap Contract as to which a Loan Party or any Subsidiary is an Affected Party (as so defined) and, in either event, the Swap Termination Value owed by such Loan Party or such Subsidiary as a result thereof is greater than the Threshold Amount;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Insolvency Proceedings, Etc</w:t>
      </w:r>
      <w:r>
        <w:rPr>
          <w:rFonts w:ascii="Times New Roman" w:hAnsi="Times New Roman"/>
          <w:caps w:val="false"/>
          <w:smallCaps w:val="false"/>
          <w:sz w:val="20"/>
        </w:rPr>
        <w:t>. Any Loan Party or any Subsidiary or Holdings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(60) calendar days, or an order for relief is entered in any such proceeding;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Inability to Pay Debts; Attachment</w:t>
      </w:r>
      <w:r>
        <w:rPr>
          <w:rFonts w:ascii="Times New Roman" w:hAnsi="Times New Roman"/>
          <w:caps w:val="false"/>
          <w:smallCaps w:val="false"/>
          <w:sz w:val="20"/>
        </w:rPr>
        <w:t>. (i) Any Loan Party or any Subsidiary or Holdings becomes unable or admits in writing its inability or fails generally to pay its debts as they become due, or (ii) any writ or warrant of attachment or execution or similar process is issued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levied against all or any material part of the property of any such Person and is not released, vacated or fully bonded within thirty (30) days after its issue or levy;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Judgments</w:t>
      </w:r>
      <w:r>
        <w:rPr>
          <w:rFonts w:ascii="Times New Roman" w:hAnsi="Times New Roman"/>
          <w:caps w:val="false"/>
          <w:smallCaps w:val="false"/>
          <w:sz w:val="20"/>
        </w:rPr>
        <w:t>. There is entered against any Loan Party or any Subsidiary (i) one (1) or more final judgments or orders for the payment of money in an aggregate amount (as to all such judgments and orders) exceeding the Threshold Amount (to the extent not covered by independent third-party insurance as to which the insurer is rated at least “</w:t>
      </w:r>
      <w:r>
        <w:rPr>
          <w:rFonts w:ascii="Times New Roman" w:hAnsi="Times New Roman"/>
          <w:b/>
          <w:i/>
          <w:caps w:val="false"/>
          <w:smallCaps w:val="false"/>
          <w:sz w:val="20"/>
        </w:rPr>
        <w:t>A</w:t>
      </w:r>
      <w:r>
        <w:rPr>
          <w:rFonts w:ascii="Times New Roman" w:hAnsi="Times New Roman"/>
          <w:caps w:val="false"/>
          <w:smallCaps w:val="false"/>
          <w:sz w:val="20"/>
        </w:rPr>
        <w:t>” by A.M. Best Borrower, has been notified of the potential claim and does not dispute coverage), or (ii) any one (1) or more non-monetary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ERISA</w:t>
      </w:r>
      <w:r>
        <w:rPr>
          <w:rFonts w:ascii="Times New Roman" w:hAnsi="Times New Roman"/>
          <w:caps w:val="false"/>
          <w:smallCaps w:val="false"/>
          <w:sz w:val="20"/>
        </w:rPr>
        <w:t xml:space="preserve">. (i) An ERISA Event occurs with respect to a Pension Plan or Multiemployer Plan which has resulted or could reasonably be expected to result in liability of any Loan Party under </w:t>
      </w:r>
      <w:r>
        <w:rPr>
          <w:rFonts w:ascii="Times New Roman" w:hAnsi="Times New Roman"/>
          <w:i/>
          <w:caps w:val="false"/>
          <w:smallCaps w:val="false"/>
          <w:sz w:val="20"/>
        </w:rPr>
        <w:t xml:space="preserve">Title IV </w:t>
      </w:r>
      <w:r>
        <w:rPr>
          <w:rFonts w:ascii="Times New Roman" w:hAnsi="Times New Roman"/>
          <w:caps w:val="false"/>
          <w:smallCaps w:val="false"/>
          <w:sz w:val="20"/>
        </w:rPr>
        <w:t xml:space="preserve">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w:t>
      </w:r>
      <w:r>
        <w:rPr>
          <w:rFonts w:ascii="Times New Roman" w:hAnsi="Times New Roman"/>
          <w:i/>
          <w:caps w:val="false"/>
          <w:smallCaps w:val="false"/>
          <w:sz w:val="20"/>
        </w:rPr>
        <w:t xml:space="preserve">Section 4201 </w:t>
      </w:r>
      <w:r>
        <w:rPr>
          <w:rFonts w:ascii="Times New Roman" w:hAnsi="Times New Roman"/>
          <w:caps w:val="false"/>
          <w:smallCaps w:val="false"/>
          <w:sz w:val="20"/>
        </w:rPr>
        <w:t>of ERISA under a Multiemployer Plan in an aggregate amount in excess of the Threshold Amount;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Invalidity of Loan Documents</w:t>
      </w:r>
      <w:r>
        <w:rPr>
          <w:rFonts w:ascii="Times New Roman" w:hAnsi="Times New Roman"/>
          <w:caps w:val="false"/>
          <w:smallCaps w:val="false"/>
          <w:sz w:val="20"/>
        </w:rPr>
        <w:t>. Any provision of any Loan Document, at any time after its execution and delivery and for any reason other than as expressly permitted hereunder or thereunder or satisfaction in full of all Obligations arising under the Loan Documents, ceases to be in full force and effect; or Holdings,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is or becomes unlawful for Holdings, a Loan Party to perform any of its obligations under the Loan Documents;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rPr>
        <w:t>Collateral Documents</w:t>
      </w:r>
      <w:r>
        <w:rPr>
          <w:rFonts w:ascii="Times New Roman" w:hAnsi="Times New Roman"/>
          <w:caps w:val="false"/>
          <w:smallCaps w:val="false"/>
          <w:sz w:val="20"/>
        </w:rPr>
        <w:t>. Any Collateral Document after delivery thereof pursuant to the terms of the Loan Documents shall for any reason cease to create a valid and perfected first priority Lien (subject to Permitted Liens) on the Collateral purported to be covered thereby, or any Loan Party shall assert the invalidity of such Liens; or</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200"/>
        <w:gridCol w:w="46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 of Control</w:t>
            </w:r>
            <w:r>
              <w:rPr>
                <w:rFonts w:ascii="Times New Roman" w:hAnsi="Times New Roman"/>
                <w:caps w:val="false"/>
                <w:smallCaps w:val="false"/>
                <w:sz w:val="20"/>
              </w:rPr>
              <w:t>. There occurs any Change of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8.02    </w:t>
      </w:r>
      <w:r>
        <w:rPr>
          <w:rFonts w:ascii="Times New Roman" w:hAnsi="Times New Roman"/>
          <w:b/>
          <w:caps w:val="false"/>
          <w:smallCaps w:val="false"/>
          <w:sz w:val="20"/>
        </w:rPr>
        <w:t>Remedies upon Event of Default</w:t>
      </w:r>
      <w:r>
        <w:rPr>
          <w:rFonts w:ascii="Times New Roman" w:hAnsi="Times New Roman"/>
          <w:caps w:val="false"/>
          <w:smallCaps w:val="false"/>
          <w:sz w:val="20"/>
        </w:rPr>
        <w:t>. If any Event of Default occurs and is continuing, the Administrative Agent shall, at the request of, or may, with the consent of, the Required Lenders, take any or all of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declare the Commitment of each Lender to make Loans and any obligation of the L/C Issuer to make L/C Credit Extensions to be terminated, whereupon such commitments and obligation shall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require that the Borrower Cash Collateralize the L/C Obligations (in an amount equal to the Minimum Collateral Amount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apply some or all of the Cash Reserve Collateral to reduce the outstanding Secured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exercise on behalf of itself, the Lenders and the L/C Issuer all rights and remedies available to it, the Lenders and the L/C Issuer under the Loan Documents or Applicable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upon the occurrence of an event described in </w:t>
      </w:r>
      <w:r>
        <w:rPr>
          <w:rFonts w:ascii="Times New Roman" w:hAnsi="Times New Roman"/>
          <w:b/>
          <w:i/>
          <w:caps w:val="false"/>
          <w:smallCaps w:val="false"/>
          <w:sz w:val="20"/>
        </w:rPr>
        <w:t>Section 8.01(f)</w:t>
      </w:r>
      <w:r>
        <w:rPr>
          <w:rFonts w:ascii="Times New Roman" w:hAnsi="Times New Roman"/>
          <w:caps w:val="false"/>
          <w:smallCaps w:val="false"/>
          <w:sz w:val="20"/>
        </w:rPr>
        <w:t>, the Commitment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380"/>
        <w:gridCol w:w="182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8.03</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Application of Funds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Waterfall</w:t>
      </w:r>
      <w:r>
        <w:rPr>
          <w:rFonts w:ascii="Times New Roman" w:hAnsi="Times New Roman"/>
          <w:caps w:val="false"/>
          <w:smallCaps w:val="false"/>
          <w:sz w:val="20"/>
        </w:rPr>
        <w:t xml:space="preserve">. After the exercise of remedies provided for in </w:t>
      </w:r>
      <w:r>
        <w:rPr>
          <w:rFonts w:ascii="Times New Roman" w:hAnsi="Times New Roman"/>
          <w:b/>
          <w:i/>
          <w:caps w:val="false"/>
          <w:smallCaps w:val="false"/>
          <w:sz w:val="20"/>
        </w:rPr>
        <w:t xml:space="preserve">Section 8.02 </w:t>
      </w:r>
      <w:r>
        <w:rPr>
          <w:rFonts w:ascii="Times New Roman" w:hAnsi="Times New Roman"/>
          <w:caps w:val="false"/>
          <w:smallCaps w:val="false"/>
          <w:sz w:val="20"/>
        </w:rPr>
        <w:t xml:space="preserve">(or after the Loans have automatically become immediately due and payable and the L/C Obligations have automatically been required to be Cash Collateralized as set forth in the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to </w:t>
      </w:r>
      <w:r>
        <w:rPr>
          <w:rFonts w:ascii="Times New Roman" w:hAnsi="Times New Roman"/>
          <w:b/>
          <w:i/>
          <w:caps w:val="false"/>
          <w:smallCaps w:val="false"/>
          <w:sz w:val="20"/>
        </w:rPr>
        <w:t>Section 8.02</w:t>
      </w:r>
      <w:r>
        <w:rPr>
          <w:rFonts w:ascii="Times New Roman" w:hAnsi="Times New Roman"/>
          <w:caps w:val="false"/>
          <w:smallCaps w:val="false"/>
          <w:sz w:val="20"/>
        </w:rPr>
        <w:t xml:space="preserve">), any amounts received on account of the Secured Obligations shall, subject to the provisions of </w:t>
      </w:r>
      <w:r>
        <w:rPr>
          <w:rFonts w:ascii="Times New Roman" w:hAnsi="Times New Roman"/>
          <w:b/>
          <w:i/>
          <w:caps w:val="false"/>
          <w:smallCaps w:val="false"/>
          <w:sz w:val="20"/>
        </w:rPr>
        <w:t xml:space="preserve">Sections 2.14 </w:t>
      </w:r>
      <w:r>
        <w:rPr>
          <w:rFonts w:ascii="Times New Roman" w:hAnsi="Times New Roman"/>
          <w:caps w:val="false"/>
          <w:smallCaps w:val="false"/>
          <w:sz w:val="20"/>
        </w:rPr>
        <w:t xml:space="preserve">and </w:t>
      </w:r>
      <w:r>
        <w:rPr>
          <w:rFonts w:ascii="Times New Roman" w:hAnsi="Times New Roman"/>
          <w:b/>
          <w:i/>
          <w:caps w:val="false"/>
          <w:smallCaps w:val="false"/>
          <w:sz w:val="20"/>
        </w:rPr>
        <w:t>2.15</w:t>
      </w:r>
      <w:r>
        <w:rPr>
          <w:rFonts w:ascii="Times New Roman" w:hAnsi="Times New Roman"/>
          <w:caps w:val="false"/>
          <w:smallCaps w:val="false"/>
          <w:sz w:val="20"/>
        </w:rPr>
        <w:t>, be applied by the Administrative Agent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i/>
          <w:caps w:val="false"/>
          <w:smallCaps w:val="false"/>
          <w:sz w:val="20"/>
        </w:rPr>
        <w:t>First</w:t>
      </w:r>
      <w:r>
        <w:rPr>
          <w:rFonts w:ascii="Times New Roman" w:hAnsi="Times New Roman"/>
          <w:caps w:val="false"/>
          <w:smallCaps w:val="false"/>
          <w:sz w:val="20"/>
        </w:rPr>
        <w:t xml:space="preserve">, to payment of that portion of the Secured Obligations constituting fees, indemnities, expenses and other amounts (including fees, charges and disbursements of counsel to the Administrative Agent and amounts payable under </w:t>
      </w:r>
      <w:r>
        <w:rPr>
          <w:rFonts w:ascii="Times New Roman" w:hAnsi="Times New Roman"/>
          <w:b/>
          <w:i/>
          <w:caps w:val="false"/>
          <w:smallCaps w:val="false"/>
          <w:sz w:val="20"/>
        </w:rPr>
        <w:t>Article III</w:t>
      </w:r>
      <w:r>
        <w:rPr>
          <w:rFonts w:ascii="Times New Roman" w:hAnsi="Times New Roman"/>
          <w:caps w:val="false"/>
          <w:smallCaps w:val="false"/>
          <w:sz w:val="20"/>
        </w:rPr>
        <w:t>)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i/>
          <w:caps w:val="false"/>
          <w:smallCaps w:val="false"/>
          <w:sz w:val="20"/>
        </w:rPr>
        <w:t>Second</w:t>
      </w:r>
      <w:r>
        <w:rPr>
          <w:rFonts w:ascii="Times New Roman" w:hAnsi="Times New Roman"/>
          <w:caps w:val="false"/>
          <w:smallCaps w:val="false"/>
          <w:sz w:val="20"/>
        </w:rPr>
        <w:t xml:space="preserve">, to payment of that portion of the Secured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arising under the Loan Documents and amounts payable under </w:t>
      </w:r>
      <w:r>
        <w:rPr>
          <w:rFonts w:ascii="Times New Roman" w:hAnsi="Times New Roman"/>
          <w:b/>
          <w:i/>
          <w:caps w:val="false"/>
          <w:smallCaps w:val="false"/>
          <w:sz w:val="20"/>
        </w:rPr>
        <w:t>Article III</w:t>
      </w:r>
      <w:r>
        <w:rPr>
          <w:rFonts w:ascii="Times New Roman" w:hAnsi="Times New Roman"/>
          <w:caps w:val="false"/>
          <w:smallCaps w:val="false"/>
          <w:sz w:val="20"/>
        </w:rPr>
        <w:t xml:space="preserve">, ratably among them in proportion to the respective amounts described in this </w:t>
      </w:r>
      <w:r>
        <w:rPr>
          <w:rFonts w:ascii="Times New Roman" w:hAnsi="Times New Roman"/>
          <w:b/>
          <w:i/>
          <w:caps w:val="false"/>
          <w:smallCaps w:val="false"/>
          <w:sz w:val="20"/>
        </w:rPr>
        <w:t xml:space="preserve">clause Second </w:t>
      </w:r>
      <w:r>
        <w:rPr>
          <w:rFonts w:ascii="Times New Roman" w:hAnsi="Times New Roman"/>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i/>
          <w:caps w:val="false"/>
          <w:smallCaps w:val="false"/>
          <w:sz w:val="20"/>
        </w:rPr>
        <w:t>Third</w:t>
      </w:r>
      <w:r>
        <w:rPr>
          <w:rFonts w:ascii="Times New Roman" w:hAnsi="Times New Roman"/>
          <w:caps w:val="false"/>
          <w:smallCaps w:val="false"/>
          <w:sz w:val="20"/>
        </w:rPr>
        <w:t xml:space="preserve">, to payment of that portion of the Secured Obligations constituting accrued and unpaid Letter of Credit Fees and interest on the Loans, L/C Borrowings and other Secured Obligations arising under the Loan Documents, ratably among the Lenders and the L/C Issuer in proportion to the respective amounts described in this </w:t>
      </w:r>
      <w:r>
        <w:rPr>
          <w:rFonts w:ascii="Times New Roman" w:hAnsi="Times New Roman"/>
          <w:b/>
          <w:i/>
          <w:caps w:val="false"/>
          <w:smallCaps w:val="false"/>
          <w:sz w:val="20"/>
        </w:rPr>
        <w:t xml:space="preserve">clause Third </w:t>
      </w:r>
      <w:r>
        <w:rPr>
          <w:rFonts w:ascii="Times New Roman" w:hAnsi="Times New Roman"/>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i/>
          <w:caps w:val="false"/>
          <w:smallCaps w:val="false"/>
          <w:sz w:val="20"/>
        </w:rPr>
        <w:t>Fourth</w:t>
      </w:r>
      <w:r>
        <w:rPr>
          <w:rFonts w:ascii="Times New Roman" w:hAnsi="Times New Roman"/>
          <w:caps w:val="false"/>
          <w:smallCaps w:val="false"/>
          <w:sz w:val="20"/>
        </w:rPr>
        <w:t xml:space="preserve">, to payment of that portion of the Secured Obligations constituting unpaid principal of the Loans, L/C Borrowings and Secured Obligations then owing under Secured Hedge Agreements and Secured Cash Management Agreements and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hAnsi="Times New Roman"/>
          <w:b/>
          <w:i/>
          <w:caps w:val="false"/>
          <w:smallCaps w:val="false"/>
          <w:sz w:val="20"/>
        </w:rPr>
        <w:t xml:space="preserve">Sections 2.03 </w:t>
      </w:r>
      <w:r>
        <w:rPr>
          <w:rFonts w:ascii="Times New Roman" w:hAnsi="Times New Roman"/>
          <w:caps w:val="false"/>
          <w:smallCaps w:val="false"/>
          <w:sz w:val="20"/>
        </w:rPr>
        <w:t xml:space="preserve">and </w:t>
      </w:r>
      <w:r>
        <w:rPr>
          <w:rFonts w:ascii="Times New Roman" w:hAnsi="Times New Roman"/>
          <w:b/>
          <w:i/>
          <w:caps w:val="false"/>
          <w:smallCaps w:val="false"/>
          <w:sz w:val="20"/>
        </w:rPr>
        <w:t>2.14</w:t>
      </w:r>
      <w:r>
        <w:rPr>
          <w:rFonts w:ascii="Times New Roman" w:hAnsi="Times New Roman"/>
          <w:caps w:val="false"/>
          <w:smallCaps w:val="false"/>
          <w:sz w:val="20"/>
        </w:rPr>
        <w:t>,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case ratably among the Administrative Agent, the Lenders, the L/C Issuers, the Hedge Banks and the Cash Management Banks in proportion to the respective amounts described in this </w:t>
      </w:r>
      <w:r>
        <w:rPr>
          <w:rFonts w:ascii="Times New Roman" w:hAnsi="Times New Roman"/>
          <w:b/>
          <w:i/>
          <w:caps w:val="false"/>
          <w:smallCaps w:val="false"/>
          <w:sz w:val="20"/>
        </w:rPr>
        <w:t xml:space="preserve">clause Fourth </w:t>
      </w:r>
      <w:r>
        <w:rPr>
          <w:rFonts w:ascii="Times New Roman" w:hAnsi="Times New Roman"/>
          <w:caps w:val="false"/>
          <w:smallCaps w:val="false"/>
          <w:sz w:val="20"/>
        </w:rPr>
        <w:t>held by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i/>
          <w:caps w:val="false"/>
          <w:smallCaps w:val="false"/>
          <w:sz w:val="20"/>
        </w:rPr>
        <w:t>Last</w:t>
      </w:r>
      <w:r>
        <w:rPr>
          <w:rFonts w:ascii="Times New Roman" w:hAnsi="Times New Roman"/>
          <w:caps w:val="false"/>
          <w:smallCaps w:val="false"/>
          <w:sz w:val="20"/>
        </w:rPr>
        <w:t>, the balance, if any, after all of the Secured Obligations have been indefeasibly paid in full,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Letters of Credit</w:t>
      </w:r>
      <w:r>
        <w:rPr>
          <w:rFonts w:ascii="Times New Roman" w:hAnsi="Times New Roman"/>
          <w:caps w:val="false"/>
          <w:smallCaps w:val="false"/>
          <w:sz w:val="20"/>
        </w:rPr>
        <w:t xml:space="preserve">. Subject to </w:t>
      </w:r>
      <w:r>
        <w:rPr>
          <w:rFonts w:ascii="Times New Roman" w:hAnsi="Times New Roman"/>
          <w:b/>
          <w:i/>
          <w:caps w:val="false"/>
          <w:smallCaps w:val="false"/>
          <w:sz w:val="20"/>
        </w:rPr>
        <w:t xml:space="preserve">Sections 2.03(c) </w:t>
      </w:r>
      <w:r>
        <w:rPr>
          <w:rFonts w:ascii="Times New Roman" w:hAnsi="Times New Roman"/>
          <w:caps w:val="false"/>
          <w:smallCaps w:val="false"/>
          <w:sz w:val="20"/>
        </w:rPr>
        <w:t xml:space="preserve">and </w:t>
      </w:r>
      <w:r>
        <w:rPr>
          <w:rFonts w:ascii="Times New Roman" w:hAnsi="Times New Roman"/>
          <w:b/>
          <w:i/>
          <w:caps w:val="false"/>
          <w:smallCaps w:val="false"/>
          <w:sz w:val="20"/>
        </w:rPr>
        <w:t>2.14</w:t>
      </w:r>
      <w:r>
        <w:rPr>
          <w:rFonts w:ascii="Times New Roman" w:hAnsi="Times New Roman"/>
          <w:caps w:val="false"/>
          <w:smallCaps w:val="false"/>
          <w:sz w:val="20"/>
        </w:rPr>
        <w:t xml:space="preserve">, amounts used to Cash Collateralize the aggregate undrawn amount of Letters of Credit pursuant to the </w:t>
      </w:r>
      <w:r>
        <w:rPr>
          <w:rFonts w:ascii="Times New Roman" w:hAnsi="Times New Roman"/>
          <w:b/>
          <w:i/>
          <w:caps w:val="false"/>
          <w:smallCaps w:val="false"/>
          <w:sz w:val="20"/>
        </w:rPr>
        <w:t xml:space="preserve">clause Fourth </w:t>
      </w:r>
      <w:r>
        <w:rPr>
          <w:rFonts w:ascii="Times New Roman" w:hAnsi="Times New Roman"/>
          <w:caps w:val="false"/>
          <w:smallCaps w:val="false"/>
          <w:sz w:val="20"/>
        </w:rPr>
        <w:t xml:space="preserve">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hAnsi="Times New Roman"/>
          <w:b/>
          <w:i/>
          <w:caps w:val="false"/>
          <w:smallCaps w:val="false"/>
          <w:sz w:val="20"/>
        </w:rPr>
        <w:t>Section 8.03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Cash Management and Swap Contracts</w:t>
      </w:r>
      <w:r>
        <w:rPr>
          <w:rFonts w:ascii="Times New Roman" w:hAnsi="Times New Roman"/>
          <w:caps w:val="false"/>
          <w:smallCaps w:val="false"/>
          <w:sz w:val="20"/>
        </w:rPr>
        <w:t xml:space="preserve">. 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b/>
          <w:i/>
          <w:caps w:val="false"/>
          <w:smallCaps w:val="false"/>
          <w:sz w:val="20"/>
        </w:rPr>
        <w:t xml:space="preserve">Article IX </w:t>
      </w:r>
      <w:r>
        <w:rPr>
          <w:rFonts w:ascii="Times New Roman" w:hAnsi="Times New Roman"/>
          <w:caps w:val="false"/>
          <w:smallCaps w:val="false"/>
          <w:sz w:val="20"/>
        </w:rPr>
        <w:t>for itself and its Affiliates as if a “</w:t>
      </w:r>
      <w:r>
        <w:rPr>
          <w:rFonts w:ascii="Times New Roman" w:hAnsi="Times New Roman"/>
          <w:i/>
          <w:caps w:val="false"/>
          <w:smallCaps w:val="false"/>
          <w:sz w:val="20"/>
        </w:rPr>
        <w:t>Lender</w:t>
      </w:r>
      <w:r>
        <w:rPr>
          <w:rFonts w:ascii="Times New Roman" w:hAnsi="Times New Roman"/>
          <w:caps w:val="false"/>
          <w:smallCaps w:val="false"/>
          <w:sz w:val="20"/>
        </w:rPr>
        <w:t>”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Holdings Guaranty and Holdings Pledge Agreement</w:t>
      </w:r>
      <w:r>
        <w:rPr>
          <w:rFonts w:ascii="Times New Roman" w:hAnsi="Times New Roman"/>
          <w:caps w:val="false"/>
          <w:smallCaps w:val="false"/>
          <w:sz w:val="20"/>
        </w:rPr>
        <w:t xml:space="preserve">. Notwithstanding the foregoing, this </w:t>
      </w:r>
      <w:r>
        <w:rPr>
          <w:rFonts w:ascii="Times New Roman" w:hAnsi="Times New Roman"/>
          <w:b/>
          <w:i/>
          <w:caps w:val="false"/>
          <w:smallCaps w:val="false"/>
          <w:sz w:val="20"/>
        </w:rPr>
        <w:t xml:space="preserve">Section 8.03 </w:t>
      </w:r>
      <w:r>
        <w:rPr>
          <w:rFonts w:ascii="Times New Roman" w:hAnsi="Times New Roman"/>
          <w:caps w:val="false"/>
          <w:smallCaps w:val="false"/>
          <w:sz w:val="20"/>
        </w:rPr>
        <w:t xml:space="preserve">shall be subject to the terms and provisions set forth in </w:t>
      </w:r>
      <w:r>
        <w:rPr>
          <w:rFonts w:ascii="Times New Roman" w:hAnsi="Times New Roman"/>
          <w:b/>
          <w:i/>
          <w:caps w:val="false"/>
          <w:smallCaps w:val="false"/>
          <w:sz w:val="20"/>
        </w:rPr>
        <w:t xml:space="preserve">Section 9.14 </w:t>
      </w:r>
      <w:r>
        <w:rPr>
          <w:rFonts w:ascii="Times New Roman" w:hAnsi="Times New Roman"/>
          <w:caps w:val="false"/>
          <w:smallCaps w:val="false"/>
          <w:sz w:val="20"/>
        </w:rPr>
        <w:t xml:space="preserve">solely as it relates to the Holdings Guaranty and the Holdings Pledge Agreement;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nothing contained in this </w:t>
      </w:r>
      <w:r>
        <w:rPr>
          <w:rFonts w:ascii="Times New Roman" w:hAnsi="Times New Roman"/>
          <w:b/>
          <w:i/>
          <w:caps w:val="false"/>
          <w:smallCaps w:val="false"/>
          <w:sz w:val="20"/>
        </w:rPr>
        <w:t>Section 8.03(d)</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Section 9.14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Section 9.15 </w:t>
      </w:r>
      <w:r>
        <w:rPr>
          <w:rFonts w:ascii="Times New Roman" w:hAnsi="Times New Roman"/>
          <w:caps w:val="false"/>
          <w:smallCaps w:val="false"/>
          <w:sz w:val="20"/>
        </w:rPr>
        <w:t>shall be construed or deemed to constitute a waiver of (i) any rights or remedies that any Secured Party may have under this Agreement or any other Loan Document or under applicable Law, or (ii) the Loan Parties’ obligation to comply fully with, or the Administrative Agent’s right to strictly enforce, all duties, terms, conditions, obligations and covenants of the Loan Parties contained in the Loan Documents.</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260"/>
        <w:gridCol w:w="252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ADMINISTRATIVE AGENT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380"/>
        <w:gridCol w:w="239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9.01</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Appointment and Authority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Appointment</w:t>
      </w:r>
      <w:r>
        <w:rPr>
          <w:rFonts w:ascii="Times New Roman" w:hAnsi="Times New Roman"/>
          <w:caps w:val="false"/>
          <w:smallCaps w:val="false"/>
          <w:sz w:val="20"/>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hAnsi="Times New Roman"/>
          <w:b/>
          <w:i/>
          <w:caps w:val="false"/>
          <w:smallCaps w:val="false"/>
          <w:sz w:val="20"/>
        </w:rPr>
        <w:t xml:space="preserve">Article IX </w:t>
      </w:r>
      <w:r>
        <w:rPr>
          <w:rFonts w:ascii="Times New Roman" w:hAnsi="Times New Roman"/>
          <w:caps w:val="false"/>
          <w:smallCaps w:val="false"/>
          <w:sz w:val="20"/>
        </w:rPr>
        <w:t>are solely for the benefit of the Administrative Agent, the Lenders and the L/C Issuer, and no Loan Party shall have rights as a third party beneficiary of any of such provisions. It is understood and agreed that the use of the term “</w:t>
      </w:r>
      <w:r>
        <w:rPr>
          <w:rFonts w:ascii="Times New Roman" w:hAnsi="Times New Roman"/>
          <w:i/>
          <w:caps w:val="false"/>
          <w:smallCaps w:val="false"/>
          <w:sz w:val="20"/>
        </w:rPr>
        <w:t>agent</w:t>
      </w:r>
      <w:r>
        <w:rPr>
          <w:rFonts w:ascii="Times New Roman" w:hAnsi="Times New Roman"/>
          <w:caps w:val="false"/>
          <w:smallCaps w:val="false"/>
          <w:sz w:val="20"/>
        </w:rPr>
        <w:t>” herein or in any other Loan Documents (or any other similar term) with reference to the Administrative Agent is not intended to connote any fiduciary or other implied (or express) obligations arising under agency doctrine of any Applicable Law. Instead such term is used as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Collateral Agent</w:t>
      </w:r>
      <w:r>
        <w:rPr>
          <w:rFonts w:ascii="Times New Roman" w:hAnsi="Times New Roman"/>
          <w:caps w:val="false"/>
          <w:smallCaps w:val="false"/>
          <w:sz w:val="20"/>
        </w:rPr>
        <w:t>. The Administrative Agent shall also act as the “</w:t>
      </w:r>
      <w:r>
        <w:rPr>
          <w:rFonts w:ascii="Times New Roman" w:hAnsi="Times New Roman"/>
          <w:i/>
          <w:caps w:val="false"/>
          <w:smallCaps w:val="false"/>
          <w:sz w:val="20"/>
        </w:rPr>
        <w:t>collateral agent</w:t>
      </w:r>
      <w:r>
        <w:rPr>
          <w:rFonts w:ascii="Times New Roman" w:hAnsi="Times New Roman"/>
          <w:caps w:val="false"/>
          <w:smallCaps w:val="false"/>
          <w:sz w:val="20"/>
        </w:rPr>
        <w: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w:t>
      </w:r>
      <w:r>
        <w:rPr>
          <w:rFonts w:ascii="Times New Roman" w:hAnsi="Times New Roman"/>
          <w:i/>
          <w:caps w:val="false"/>
          <w:smallCaps w:val="false"/>
          <w:sz w:val="20"/>
        </w:rPr>
        <w:t>collateral agent</w:t>
      </w:r>
      <w:r>
        <w:rPr>
          <w:rFonts w:ascii="Times New Roman" w:hAnsi="Times New Roman"/>
          <w:caps w:val="false"/>
          <w:smallCaps w:val="false"/>
          <w:sz w:val="20"/>
        </w:rPr>
        <w:t xml:space="preserve">” and any co-agents, sub-agents and attorneys-in-fact appointed by the Administrative Agent pursuant to </w:t>
      </w:r>
      <w:r>
        <w:rPr>
          <w:rFonts w:ascii="Times New Roman" w:hAnsi="Times New Roman"/>
          <w:b/>
          <w:i/>
          <w:caps w:val="false"/>
          <w:smallCaps w:val="false"/>
          <w:sz w:val="20"/>
        </w:rPr>
        <w:t xml:space="preserve">Section 9.05 </w:t>
      </w:r>
      <w:r>
        <w:rPr>
          <w:rFonts w:ascii="Times New Roman" w:hAnsi="Times New Roman"/>
          <w:caps w:val="false"/>
          <w:smallCaps w:val="false"/>
          <w:sz w:val="20"/>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b/>
          <w:i/>
          <w:caps w:val="false"/>
          <w:smallCaps w:val="false"/>
          <w:sz w:val="20"/>
        </w:rPr>
        <w:t xml:space="preserve">Article IX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Article XI </w:t>
      </w:r>
      <w:r>
        <w:rPr>
          <w:rFonts w:ascii="Times New Roman" w:hAnsi="Times New Roman"/>
          <w:caps w:val="false"/>
          <w:smallCaps w:val="false"/>
          <w:sz w:val="20"/>
        </w:rPr>
        <w:t xml:space="preserve">(including </w:t>
      </w:r>
      <w:r>
        <w:rPr>
          <w:rFonts w:ascii="Times New Roman" w:hAnsi="Times New Roman"/>
          <w:b/>
          <w:i/>
          <w:caps w:val="false"/>
          <w:smallCaps w:val="false"/>
          <w:sz w:val="20"/>
        </w:rPr>
        <w:t>Section 11.04(c)</w:t>
      </w:r>
      <w:r>
        <w:rPr>
          <w:rFonts w:ascii="Times New Roman" w:hAnsi="Times New Roman"/>
          <w:caps w:val="false"/>
          <w:smallCaps w:val="false"/>
          <w:sz w:val="20"/>
        </w:rPr>
        <w:t>, as though such co-agents, sub-agents and attorneys-in-fact were the “</w:t>
      </w:r>
      <w:r>
        <w:rPr>
          <w:rFonts w:ascii="Times New Roman" w:hAnsi="Times New Roman"/>
          <w:i/>
          <w:caps w:val="false"/>
          <w:smallCaps w:val="false"/>
          <w:sz w:val="20"/>
        </w:rPr>
        <w:t>collateral agent</w:t>
      </w:r>
      <w:r>
        <w:rPr>
          <w:rFonts w:ascii="Times New Roman" w:hAnsi="Times New Roman"/>
          <w:caps w:val="false"/>
          <w:smallCaps w:val="false"/>
          <w:sz w:val="20"/>
        </w:rPr>
        <w:t>” under the Loan Documents) as if set forth in full herein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9.02    </w:t>
      </w:r>
      <w:r>
        <w:rPr>
          <w:rFonts w:ascii="Times New Roman" w:hAnsi="Times New Roman"/>
          <w:b/>
          <w:caps w:val="false"/>
          <w:smallCaps w:val="false"/>
          <w:sz w:val="20"/>
        </w:rPr>
        <w:t>Rights as a Lender</w:t>
      </w:r>
      <w:r>
        <w:rPr>
          <w:rFonts w:ascii="Times New Roman" w:hAnsi="Times New Roman"/>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w:t>
      </w:r>
      <w:r>
        <w:rPr>
          <w:rFonts w:ascii="Times New Roman" w:hAnsi="Times New Roman"/>
          <w:i/>
          <w:caps w:val="false"/>
          <w:smallCaps w:val="false"/>
          <w:sz w:val="20"/>
        </w:rPr>
        <w:t>Lender</w:t>
      </w:r>
      <w:r>
        <w:rPr>
          <w:rFonts w:ascii="Times New Roman" w:hAnsi="Times New Roman"/>
          <w:caps w:val="false"/>
          <w:smallCaps w:val="false"/>
          <w:sz w:val="20"/>
        </w:rPr>
        <w:t>” or “</w:t>
      </w:r>
      <w:r>
        <w:rPr>
          <w:rFonts w:ascii="Times New Roman" w:hAnsi="Times New Roman"/>
          <w:i/>
          <w:caps w:val="false"/>
          <w:smallCaps w:val="false"/>
          <w:sz w:val="20"/>
        </w:rPr>
        <w:t>Lenders</w:t>
      </w:r>
      <w:r>
        <w:rPr>
          <w:rFonts w:ascii="Times New Roman" w:hAnsi="Times New Roman"/>
          <w:caps w:val="false"/>
          <w:smallCaps w:val="false"/>
          <w:sz w:val="20"/>
        </w:rPr>
        <w:t>”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380"/>
        <w:gridCol w:w="207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9.03</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Exculpatory Provisions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The Administrative Agent or its Related Parties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shall not be subject to any fiduciary or other implied duties, regardless of whether a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b/>
          <w:i/>
          <w:caps w:val="false"/>
          <w:smallCaps w:val="false"/>
          <w:sz w:val="20"/>
        </w:rPr>
        <w:t xml:space="preserve">Sections 11.01 </w:t>
      </w:r>
      <w:r>
        <w:rPr>
          <w:rFonts w:ascii="Times New Roman" w:hAnsi="Times New Roman"/>
          <w:caps w:val="false"/>
          <w:smallCaps w:val="false"/>
          <w:sz w:val="20"/>
        </w:rPr>
        <w:t xml:space="preserve">and </w:t>
      </w:r>
      <w:r>
        <w:rPr>
          <w:rFonts w:ascii="Times New Roman" w:hAnsi="Times New Roman"/>
          <w:b/>
          <w:i/>
          <w:caps w:val="false"/>
          <w:smallCaps w:val="false"/>
          <w:sz w:val="20"/>
        </w:rPr>
        <w:t>8.02</w:t>
      </w:r>
      <w:r>
        <w:rPr>
          <w:rFonts w:ascii="Times New Roman" w:hAnsi="Times New Roman"/>
          <w:caps w:val="false"/>
          <w:smallCaps w:val="false"/>
          <w:sz w:val="2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hAnsi="Times New Roman"/>
          <w:b/>
          <w:i/>
          <w:caps w:val="false"/>
          <w:smallCaps w:val="false"/>
          <w:sz w:val="20"/>
        </w:rPr>
        <w:t xml:space="preserve">Article IV </w:t>
      </w:r>
      <w:r>
        <w:rPr>
          <w:rFonts w:ascii="Times New Roman" w:hAnsi="Times New Roman"/>
          <w:caps w:val="false"/>
          <w:smallCaps w:val="false"/>
          <w:sz w:val="20"/>
        </w:rPr>
        <w:t>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prospective Lender is a Disqualified Institution or (ii) have any liability with respect to or arising out of any assignment or participation of Loans, or disclosure of confidential information, to any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9.04    </w:t>
      </w:r>
      <w:r>
        <w:rPr>
          <w:rFonts w:ascii="Times New Roman" w:hAnsi="Times New Roman"/>
          <w:b/>
          <w:caps w:val="false"/>
          <w:smallCaps w:val="false"/>
          <w:sz w:val="20"/>
        </w:rPr>
        <w:t>Reliance by Administrative Agent</w:t>
      </w:r>
      <w:r>
        <w:rPr>
          <w:rFonts w:ascii="Times New Roman" w:hAnsi="Times New Roman"/>
          <w:caps w:val="false"/>
          <w:smallCaps w:val="false"/>
          <w:sz w:val="20"/>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hAnsi="Times New Roman"/>
          <w:b/>
          <w:i/>
          <w:caps w:val="false"/>
          <w:smallCaps w:val="false"/>
          <w:sz w:val="20"/>
        </w:rPr>
        <w:t>Section 4.01</w:t>
      </w:r>
      <w:r>
        <w:rPr>
          <w:rFonts w:ascii="Times New Roman" w:hAnsi="Times New Roman"/>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9.05    </w:t>
      </w:r>
      <w:r>
        <w:rPr>
          <w:rFonts w:ascii="Times New Roman" w:hAnsi="Times New Roman"/>
          <w:b/>
          <w:caps w:val="false"/>
          <w:smallCaps w:val="false"/>
          <w:sz w:val="20"/>
        </w:rPr>
        <w:t>Delegation of Duties</w:t>
      </w:r>
      <w:r>
        <w:rPr>
          <w:rFonts w:ascii="Times New Roman" w:hAnsi="Times New Roman"/>
          <w:caps w:val="false"/>
          <w:smallCaps w:val="false"/>
          <w:sz w:val="20"/>
        </w:rPr>
        <w:t xml:space="preserve">. The Administrative Agent may perform any and all of its duties and exercise its rights and powers hereunder or under any other Loan Document by or through any one (1)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hAnsi="Times New Roman"/>
          <w:b/>
          <w:i/>
          <w:caps w:val="false"/>
          <w:smallCaps w:val="false"/>
          <w:sz w:val="20"/>
        </w:rPr>
        <w:t xml:space="preserve">Article IX </w:t>
      </w:r>
      <w:r>
        <w:rPr>
          <w:rFonts w:ascii="Times New Roman" w:hAnsi="Times New Roman"/>
          <w:caps w:val="false"/>
          <w:smallCaps w:val="false"/>
          <w:sz w:val="20"/>
        </w:rPr>
        <w:t>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380"/>
        <w:gridCol w:w="31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9.06</w:t>
            </w:r>
          </w:p>
        </w:tc>
        <w:tc>
          <w:tcPr>
            <w:tcW w:w="3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Resignation of Administrative Agent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Notice</w:t>
      </w:r>
      <w:r>
        <w:rPr>
          <w:rFonts w:ascii="Times New Roman" w:hAnsi="Times New Roman"/>
          <w:caps w:val="false"/>
          <w:smallCaps w:val="false"/>
          <w:sz w:val="20"/>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hAnsi="Times New Roman"/>
          <w:b/>
          <w:i/>
          <w:caps w:val="false"/>
          <w:smallCaps w:val="false"/>
          <w:sz w:val="20"/>
        </w:rPr>
        <w:t>Resignation Effective Date</w:t>
      </w:r>
      <w:r>
        <w:rPr>
          <w:rFonts w:ascii="Times New Roman" w:hAnsi="Times New Roman"/>
          <w:caps w:val="false"/>
          <w:smallCaps w:val="false"/>
          <w:sz w:val="20"/>
        </w:rPr>
        <w:t xml:space="preserve">”), then the retiring Administrative Agent may (but shall not be obligated to) on behalf of the Lenders and the L/C Issuer, appoint a successor Administrative Agent meeting the qualifications set forth above; </w:t>
      </w:r>
      <w:r>
        <w:rPr>
          <w:rFonts w:ascii="Times New Roman" w:hAnsi="Times New Roman"/>
          <w:i/>
          <w:caps w:val="false"/>
          <w:smallCaps w:val="false"/>
          <w:sz w:val="20"/>
        </w:rPr>
        <w:t xml:space="preserve">provided </w:t>
      </w:r>
      <w:r>
        <w:rPr>
          <w:rFonts w:ascii="Times New Roman" w:hAnsi="Times New Roman"/>
          <w:caps w:val="false"/>
          <w:smallCaps w:val="false"/>
          <w:sz w:val="20"/>
        </w:rPr>
        <w:t>that in no event shall any successor Administrative Agent be a Defaulting Lender or a Disqualified Institution.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Defaulting Lender</w:t>
      </w:r>
      <w:r>
        <w:rPr>
          <w:rFonts w:ascii="Times New Roman" w:hAnsi="Times New Roman"/>
          <w:caps w:val="false"/>
          <w:smallCaps w:val="false"/>
          <w:sz w:val="20"/>
        </w:rPr>
        <w:t xml:space="preserve">. If the Person serving as Administrative Agent is a Defaulting Lender pursuant to </w:t>
      </w:r>
      <w:r>
        <w:rPr>
          <w:rFonts w:ascii="Times New Roman" w:hAnsi="Times New Roman"/>
          <w:b/>
          <w:i/>
          <w:caps w:val="false"/>
          <w:smallCaps w:val="false"/>
          <w:sz w:val="20"/>
        </w:rPr>
        <w:t xml:space="preserve">clause (d) </w:t>
      </w:r>
      <w:r>
        <w:rPr>
          <w:rFonts w:ascii="Times New Roman" w:hAnsi="Times New Roman"/>
          <w:caps w:val="false"/>
          <w:smallCaps w:val="false"/>
          <w:sz w:val="20"/>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hAnsi="Times New Roman"/>
          <w:b/>
          <w:i/>
          <w:caps w:val="false"/>
          <w:smallCaps w:val="false"/>
          <w:sz w:val="20"/>
        </w:rPr>
        <w:t>Removal Effective Date</w:t>
      </w:r>
      <w:r>
        <w:rPr>
          <w:rFonts w:ascii="Times New Roman" w:hAnsi="Times New Roman"/>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Effect of Resignation or Removal</w:t>
      </w:r>
      <w:r>
        <w:rPr>
          <w:rFonts w:ascii="Times New Roman" w:hAnsi="Times New Roman"/>
          <w:caps w:val="false"/>
          <w:smallCaps w:val="false"/>
          <w:sz w:val="20"/>
        </w:rPr>
        <w:t>.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hAnsi="Times New Roman"/>
          <w:b/>
          <w:i/>
          <w:caps w:val="false"/>
          <w:smallCaps w:val="false"/>
          <w:sz w:val="20"/>
        </w:rPr>
        <w:t xml:space="preserve">Section 3.01(g) </w:t>
      </w:r>
      <w:r>
        <w:rPr>
          <w:rFonts w:ascii="Times New Roman" w:hAnsi="Times New Roman"/>
          <w:caps w:val="false"/>
          <w:smallCaps w:val="false"/>
          <w:sz w:val="20"/>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hAnsi="Times New Roman"/>
          <w:b/>
          <w:i/>
          <w:caps w:val="false"/>
          <w:smallCaps w:val="false"/>
          <w:sz w:val="20"/>
        </w:rPr>
        <w:t>Section 9.06</w:t>
      </w:r>
      <w:r>
        <w:rPr>
          <w:rFonts w:ascii="Times New Roman" w:hAnsi="Times New Roman"/>
          <w:caps w:val="false"/>
          <w:smallCaps w:val="false"/>
          <w:sz w:val="20"/>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hAnsi="Times New Roman"/>
          <w:b/>
          <w:i/>
          <w:caps w:val="false"/>
          <w:smallCaps w:val="false"/>
          <w:sz w:val="20"/>
        </w:rPr>
        <w:t xml:space="preserve">Article IX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Section 11.04 </w:t>
      </w:r>
      <w:r>
        <w:rPr>
          <w:rFonts w:ascii="Times New Roman" w:hAnsi="Times New Roman"/>
          <w:caps w:val="false"/>
          <w:smallCaps w:val="false"/>
          <w:sz w:val="20"/>
        </w:rPr>
        <w:t>shall continue in effect for the benefit of such retiring or removed Administrative Agent, its sub 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L/C Issuer and Swingline Lender</w:t>
      </w:r>
      <w:r>
        <w:rPr>
          <w:rFonts w:ascii="Times New Roman" w:hAnsi="Times New Roman"/>
          <w:caps w:val="false"/>
          <w:smallCaps w:val="false"/>
          <w:sz w:val="20"/>
        </w:rPr>
        <w:t xml:space="preserve">. Any resignation or removal by Bank of America as Administrative Agent pursuant to this </w:t>
      </w:r>
      <w:r>
        <w:rPr>
          <w:rFonts w:ascii="Times New Roman" w:hAnsi="Times New Roman"/>
          <w:b/>
          <w:i/>
          <w:caps w:val="false"/>
          <w:smallCaps w:val="false"/>
          <w:sz w:val="20"/>
        </w:rPr>
        <w:t xml:space="preserve">Section 9.06 </w:t>
      </w:r>
      <w:r>
        <w:rPr>
          <w:rFonts w:ascii="Times New Roman" w:hAnsi="Times New Roman"/>
          <w:caps w:val="false"/>
          <w:smallCaps w:val="false"/>
          <w:sz w:val="20"/>
        </w:rPr>
        <w:t xml:space="preserve">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hAnsi="Times New Roman"/>
          <w:b/>
          <w:i/>
          <w:caps w:val="false"/>
          <w:smallCaps w:val="false"/>
          <w:sz w:val="20"/>
        </w:rPr>
        <w:t>Section 2.03(c)</w:t>
      </w:r>
      <w:r>
        <w:rPr>
          <w:rFonts w:ascii="Times New Roman" w:hAnsi="Times New Roman"/>
          <w:caps w:val="false"/>
          <w:smallCaps w:val="false"/>
          <w:sz w:val="20"/>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hAnsi="Times New Roman"/>
          <w:b/>
          <w:i/>
          <w:caps w:val="false"/>
          <w:smallCaps w:val="false"/>
          <w:sz w:val="20"/>
        </w:rPr>
        <w:t>Section 2.04(c)</w:t>
      </w:r>
      <w:r>
        <w:rPr>
          <w:rFonts w:ascii="Times New Roman" w:hAnsi="Times New Roman"/>
          <w:caps w:val="false"/>
          <w:smallCaps w:val="false"/>
          <w:sz w:val="20"/>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9.07    </w:t>
      </w:r>
      <w:r>
        <w:rPr>
          <w:rFonts w:ascii="Times New Roman" w:hAnsi="Times New Roman"/>
          <w:b/>
          <w:caps w:val="false"/>
          <w:smallCaps w:val="false"/>
          <w:sz w:val="20"/>
        </w:rPr>
        <w:t>Non-Reliance on Administrative Agent and Other Lenders</w:t>
      </w:r>
      <w:r>
        <w:rPr>
          <w:rFonts w:ascii="Times New Roman" w:hAnsi="Times New Roman"/>
          <w:caps w:val="false"/>
          <w:smallCaps w:val="false"/>
          <w:sz w:val="20"/>
        </w:rPr>
        <w:t>. Each Lender and the L/C Issuer expressly acknowledges that none of the Administrative Agent nor the Arranger has made any representation or warranty to it, and that no act by the Administrative Agent or the Arranger hereafter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9.08    </w:t>
      </w:r>
      <w:r>
        <w:rPr>
          <w:rFonts w:ascii="Times New Roman" w:hAnsi="Times New Roman"/>
          <w:b/>
          <w:caps w:val="false"/>
          <w:smallCaps w:val="false"/>
          <w:sz w:val="20"/>
        </w:rPr>
        <w:t>No Other Duties, Etc</w:t>
      </w:r>
      <w:r>
        <w:rPr>
          <w:rFonts w:ascii="Times New Roman" w:hAnsi="Times New Roman"/>
          <w:caps w:val="false"/>
          <w:smallCaps w:val="false"/>
          <w:sz w:val="20"/>
        </w:rPr>
        <w:t>. Anything herein to the contrary notwithstanding, none of the titles listed on the cover page hereof shall have any powers, duties or responsibilities under this Agreement or any of the other Loan Documents, except in its capacity, as applicable, as the Administrative Agent, the Documentation Agent, the Arranger, a Lender or the L/C Issuer hereunder.</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380"/>
        <w:gridCol w:w="543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9.09</w:t>
            </w:r>
          </w:p>
        </w:tc>
        <w:tc>
          <w:tcPr>
            <w:tcW w:w="5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Administrative Agent May File Proofs of Claim; Credit Bidding</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Issuer and the Administrative Agent under </w:t>
      </w:r>
      <w:r>
        <w:rPr>
          <w:rFonts w:ascii="Times New Roman" w:hAnsi="Times New Roman"/>
          <w:b/>
          <w:i/>
          <w:caps w:val="false"/>
          <w:smallCaps w:val="false"/>
          <w:sz w:val="20"/>
        </w:rPr>
        <w:t xml:space="preserve">Sections 2.03(h) </w:t>
      </w:r>
      <w:r>
        <w:rPr>
          <w:rFonts w:ascii="Times New Roman" w:hAnsi="Times New Roman"/>
          <w:caps w:val="false"/>
          <w:smallCaps w:val="false"/>
          <w:sz w:val="20"/>
        </w:rPr>
        <w:t xml:space="preserve">and </w:t>
      </w:r>
      <w:r>
        <w:rPr>
          <w:rFonts w:ascii="Times New Roman" w:hAnsi="Times New Roman"/>
          <w:b/>
          <w:i/>
          <w:caps w:val="false"/>
          <w:smallCaps w:val="false"/>
          <w:sz w:val="20"/>
        </w:rPr>
        <w:t>(i)</w:t>
      </w:r>
      <w:r>
        <w:rPr>
          <w:rFonts w:ascii="Times New Roman" w:hAnsi="Times New Roman"/>
          <w:caps w:val="false"/>
          <w:smallCaps w:val="false"/>
          <w:sz w:val="20"/>
        </w:rPr>
        <w:t xml:space="preserve">, </w:t>
      </w:r>
      <w:r>
        <w:rPr>
          <w:rFonts w:ascii="Times New Roman" w:hAnsi="Times New Roman"/>
          <w:b/>
          <w:i/>
          <w:caps w:val="false"/>
          <w:smallCaps w:val="false"/>
          <w:sz w:val="20"/>
        </w:rPr>
        <w:t>2.09</w:t>
      </w:r>
      <w:r>
        <w:rPr>
          <w:rFonts w:ascii="Times New Roman" w:hAnsi="Times New Roman"/>
          <w:caps w:val="false"/>
          <w:smallCaps w:val="false"/>
          <w:sz w:val="20"/>
        </w:rPr>
        <w:t xml:space="preserve">, </w:t>
      </w:r>
      <w:r>
        <w:rPr>
          <w:rFonts w:ascii="Times New Roman" w:hAnsi="Times New Roman"/>
          <w:b/>
          <w:i/>
          <w:caps w:val="false"/>
          <w:smallCaps w:val="false"/>
          <w:sz w:val="20"/>
        </w:rPr>
        <w:t>2.10(b)</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and </w:t>
      </w:r>
      <w:r>
        <w:rPr>
          <w:rFonts w:ascii="Times New Roman" w:hAnsi="Times New Roman"/>
          <w:b/>
          <w:i/>
          <w:caps w:val="false"/>
          <w:smallCaps w:val="false"/>
          <w:sz w:val="20"/>
        </w:rPr>
        <w:t>11.04</w:t>
      </w:r>
      <w:r>
        <w:rPr>
          <w:rFonts w:ascii="Times New Roman" w:hAnsi="Times New Roman"/>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b/>
          <w:i/>
          <w:caps w:val="false"/>
          <w:smallCaps w:val="false"/>
          <w:sz w:val="20"/>
        </w:rPr>
        <w:t>Sections 2.09</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2.10(b) </w:t>
      </w:r>
      <w:r>
        <w:rPr>
          <w:rFonts w:ascii="Times New Roman" w:hAnsi="Times New Roman"/>
          <w:caps w:val="false"/>
          <w:smallCaps w:val="false"/>
          <w:sz w:val="20"/>
        </w:rPr>
        <w:t xml:space="preserve">and </w:t>
      </w:r>
      <w:r>
        <w:rPr>
          <w:rFonts w:ascii="Times New Roman" w:hAnsi="Times New Roman"/>
          <w:b/>
          <w:i/>
          <w:caps w:val="false"/>
          <w:smallCaps w:val="false"/>
          <w:sz w:val="20"/>
        </w:rPr>
        <w:t>11.04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(1) or more acquisition vehicles) all or any portion of the Collateral</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at any sale thereof conducted under the provisions of the Bankruptcy Code of the United States, including under </w:t>
      </w:r>
      <w:r>
        <w:rPr>
          <w:rFonts w:ascii="Times New Roman" w:hAnsi="Times New Roman"/>
          <w:i/>
          <w:caps w:val="false"/>
          <w:smallCaps w:val="false"/>
          <w:sz w:val="20"/>
        </w:rPr>
        <w:t>Sections 363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1123 </w:t>
      </w:r>
      <w:r>
        <w:rPr>
          <w:rFonts w:ascii="Times New Roman" w:hAnsi="Times New Roman"/>
          <w:caps w:val="false"/>
          <w:smallCaps w:val="false"/>
          <w:sz w:val="20"/>
        </w:rPr>
        <w:t xml:space="preserve">or </w:t>
      </w:r>
      <w:r>
        <w:rPr>
          <w:rFonts w:ascii="Times New Roman" w:hAnsi="Times New Roman"/>
          <w:i/>
          <w:caps w:val="false"/>
          <w:smallCaps w:val="false"/>
          <w:sz w:val="20"/>
        </w:rPr>
        <w:t xml:space="preserve">1129 </w:t>
      </w:r>
      <w:r>
        <w:rPr>
          <w:rFonts w:ascii="Times New Roman" w:hAnsi="Times New Roman"/>
          <w:caps w:val="false"/>
          <w:smallCaps w:val="false"/>
          <w:sz w:val="20"/>
        </w:rPr>
        <w:t xml:space="preserve">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(1)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b/>
          <w:i/>
          <w:caps w:val="false"/>
          <w:smallCaps w:val="false"/>
          <w:sz w:val="20"/>
        </w:rPr>
        <w:t>Section 11.01(a)</w:t>
      </w:r>
      <w:r>
        <w:rPr>
          <w:rFonts w:ascii="Times New Roman" w:hAnsi="Times New Roman"/>
          <w:caps w:val="false"/>
          <w:smallCaps w:val="false"/>
          <w:sz w:val="20"/>
        </w:rPr>
        <w:t xml:space="preserve">),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hAnsi="Times New Roman"/>
          <w:i/>
          <w:caps w:val="false"/>
          <w:smallCaps w:val="false"/>
          <w:sz w:val="20"/>
        </w:rPr>
        <w:t xml:space="preserve">pro rata </w:t>
      </w:r>
      <w:r>
        <w:rPr>
          <w:rFonts w:ascii="Times New Roman" w:hAnsi="Times New Roman"/>
          <w:caps w:val="false"/>
          <w:smallCaps w:val="false"/>
          <w:sz w:val="20"/>
        </w:rPr>
        <w:t>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380"/>
        <w:gridCol w:w="287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9.10</w:t>
            </w:r>
          </w:p>
        </w:tc>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Collateral and Guaranty Matters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Each of the Lenders (including in its capacities as a potential Cash Management Bank and a potential Hedge Bank) and the L/C Issuer irrevocably authorize the Administrative Agent, at its option and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to release any Lien on any property granted to or held by the Administrative Agent under any Loan Document (i) upon the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Times New Roman" w:hAnsi="Times New Roman"/>
          <w:b/>
          <w:i/>
          <w:caps w:val="false"/>
          <w:smallCaps w:val="false"/>
          <w:sz w:val="20"/>
        </w:rPr>
        <w:t>Section 11.01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to subordinate any Lien on any property granted to or held by the Administrative Agent under any Loan Document to the holder of any Lien on such property that is permitted by </w:t>
      </w:r>
      <w:r>
        <w:rPr>
          <w:rFonts w:ascii="Times New Roman" w:hAnsi="Times New Roman"/>
          <w:b/>
          <w:i/>
          <w:caps w:val="false"/>
          <w:smallCaps w:val="false"/>
          <w:sz w:val="20"/>
        </w:rPr>
        <w:t>Section 7.01(i)</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to release any Guarantor from its obligations under the Guaranty if such Person ceases to be a Subsidiary as a result of a transaction permitted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hAnsi="Times New Roman"/>
          <w:b/>
          <w:i/>
          <w:caps w:val="false"/>
          <w:smallCaps w:val="false"/>
          <w:sz w:val="20"/>
        </w:rPr>
        <w:t>Section 9.10</w:t>
      </w:r>
      <w:r>
        <w:rPr>
          <w:rFonts w:ascii="Times New Roman" w:hAnsi="Times New Roman"/>
          <w:caps w:val="false"/>
          <w:smallCaps w:val="false"/>
          <w:sz w:val="20"/>
        </w:rPr>
        <w:t xml:space="preserve">. In each case as specified in this </w:t>
      </w:r>
      <w:r>
        <w:rPr>
          <w:rFonts w:ascii="Times New Roman" w:hAnsi="Times New Roman"/>
          <w:b/>
          <w:i/>
          <w:caps w:val="false"/>
          <w:smallCaps w:val="false"/>
          <w:sz w:val="20"/>
        </w:rPr>
        <w:t>Section 9.10</w:t>
      </w:r>
      <w:r>
        <w:rPr>
          <w:rFonts w:ascii="Times New Roman" w:hAnsi="Times New Roman"/>
          <w:caps w:val="false"/>
          <w:smallCaps w:val="false"/>
          <w:sz w:val="20"/>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hAnsi="Times New Roman"/>
          <w:b/>
          <w:i/>
          <w:caps w:val="false"/>
          <w:smallCaps w:val="false"/>
          <w:sz w:val="20"/>
        </w:rPr>
        <w:t>Section 9.10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9.11    </w:t>
      </w:r>
      <w:r>
        <w:rPr>
          <w:rFonts w:ascii="Times New Roman" w:hAnsi="Times New Roman"/>
          <w:b/>
          <w:caps w:val="false"/>
          <w:smallCaps w:val="false"/>
          <w:sz w:val="20"/>
        </w:rPr>
        <w:t>Secured Cash Management Agreements and Secured Hedge Agreements</w:t>
      </w:r>
      <w:r>
        <w:rPr>
          <w:rFonts w:ascii="Times New Roman" w:hAnsi="Times New Roman"/>
          <w:caps w:val="false"/>
          <w:smallCaps w:val="false"/>
          <w:sz w:val="20"/>
        </w:rPr>
        <w:t xml:space="preserve">. Except as otherwise expressly set forth herein or in or any Collateral Document, no Cash Management Bank or Hedge Bank that obtains the benefit of the provisions of </w:t>
      </w:r>
      <w:r>
        <w:rPr>
          <w:rFonts w:ascii="Times New Roman" w:hAnsi="Times New Roman"/>
          <w:b/>
          <w:i/>
          <w:caps w:val="false"/>
          <w:smallCaps w:val="false"/>
          <w:sz w:val="20"/>
        </w:rPr>
        <w:t>Section 8.03</w:t>
      </w:r>
      <w:r>
        <w:rPr>
          <w:rFonts w:ascii="Times New Roman" w:hAnsi="Times New Roman"/>
          <w:caps w:val="false"/>
          <w:smallCaps w:val="false"/>
          <w:sz w:val="20"/>
        </w:rPr>
        <w:t xml:space="preserve">, the Guaranty, the Holdings Guaranty or any Collateral by virtue of the provisions hereof or the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the Holdings Guaranty or any Collateral Document) other than in its capacity as a Lender and, in such case, only to the extent expressly provided in the Loan Documents. Notwithstanding any other provision of this </w:t>
      </w:r>
      <w:r>
        <w:rPr>
          <w:rFonts w:ascii="Times New Roman" w:hAnsi="Times New Roman"/>
          <w:b/>
          <w:i/>
          <w:caps w:val="false"/>
          <w:smallCaps w:val="false"/>
          <w:sz w:val="20"/>
        </w:rPr>
        <w:t xml:space="preserve">Article IX </w:t>
      </w:r>
      <w:r>
        <w:rPr>
          <w:rFonts w:ascii="Times New Roman" w:hAnsi="Times New Roman"/>
          <w:caps w:val="false"/>
          <w:smallCaps w:val="false"/>
          <w:sz w:val="20"/>
        </w:rPr>
        <w:t>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60"/>
        <w:gridCol w:w="380"/>
        <w:gridCol w:w="204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9.12</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ERISA Matters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(1)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such Lender is not using “</w:t>
      </w:r>
      <w:r>
        <w:rPr>
          <w:rFonts w:ascii="Times New Roman" w:hAnsi="Times New Roman"/>
          <w:i/>
          <w:caps w:val="false"/>
          <w:smallCaps w:val="false"/>
          <w:sz w:val="20"/>
        </w:rPr>
        <w:t>plan assets</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 xml:space="preserve">Section 3(42) </w:t>
      </w:r>
      <w:r>
        <w:rPr>
          <w:rFonts w:ascii="Times New Roman" w:hAnsi="Times New Roman"/>
          <w:caps w:val="false"/>
          <w:smallCaps w:val="false"/>
          <w:sz w:val="20"/>
        </w:rPr>
        <w:t>of ERISA or otherwise) of one (1)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the transaction exemption set forth in one (1)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(A) such Lender is an investment fund managed by a “</w:t>
      </w:r>
      <w:r>
        <w:rPr>
          <w:rFonts w:ascii="Times New Roman" w:hAnsi="Times New Roman"/>
          <w:i/>
          <w:caps w:val="false"/>
          <w:smallCaps w:val="false"/>
          <w:sz w:val="20"/>
        </w:rPr>
        <w:t>Qualified Professional Asset Manager</w:t>
      </w:r>
      <w:r>
        <w:rPr>
          <w:rFonts w:ascii="Times New Roman" w:hAnsi="Times New Roman"/>
          <w:caps w:val="false"/>
          <w:smallCaps w:val="false"/>
          <w:sz w:val="20"/>
        </w:rPr>
        <w:t xml:space="preserve">” (within the meaning of </w:t>
      </w:r>
      <w:r>
        <w:rPr>
          <w:rFonts w:ascii="Times New Roman" w:hAnsi="Times New Roman"/>
          <w:i/>
          <w:caps w:val="false"/>
          <w:smallCaps w:val="false"/>
          <w:sz w:val="20"/>
        </w:rPr>
        <w:t xml:space="preserve">Part VI </w:t>
      </w:r>
      <w:r>
        <w:rPr>
          <w:rFonts w:ascii="Times New Roman" w:hAnsi="Times New Roman"/>
          <w:caps w:val="false"/>
          <w:smallCaps w:val="false"/>
          <w:sz w:val="20"/>
        </w:rPr>
        <w:t xml:space="preserve">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w:t>
      </w:r>
      <w:r>
        <w:rPr>
          <w:rFonts w:ascii="Times New Roman" w:hAnsi="Times New Roman"/>
          <w:i/>
          <w:caps w:val="false"/>
          <w:smallCaps w:val="false"/>
          <w:sz w:val="20"/>
        </w:rPr>
        <w:t xml:space="preserve">subsections (b) </w:t>
      </w:r>
      <w:r>
        <w:rPr>
          <w:rFonts w:ascii="Times New Roman" w:hAnsi="Times New Roman"/>
          <w:caps w:val="false"/>
          <w:smallCaps w:val="false"/>
          <w:sz w:val="20"/>
        </w:rPr>
        <w:t xml:space="preserve">through </w:t>
      </w:r>
      <w:r>
        <w:rPr>
          <w:rFonts w:ascii="Times New Roman" w:hAnsi="Times New Roman"/>
          <w:i/>
          <w:caps w:val="false"/>
          <w:smallCaps w:val="false"/>
          <w:sz w:val="20"/>
        </w:rPr>
        <w:t xml:space="preserve">(g) </w:t>
      </w:r>
      <w:r>
        <w:rPr>
          <w:rFonts w:ascii="Times New Roman" w:hAnsi="Times New Roman"/>
          <w:caps w:val="false"/>
          <w:smallCaps w:val="false"/>
          <w:sz w:val="20"/>
        </w:rPr>
        <w:t xml:space="preserve">of </w:t>
      </w:r>
      <w:r>
        <w:rPr>
          <w:rFonts w:ascii="Times New Roman" w:hAnsi="Times New Roman"/>
          <w:i/>
          <w:caps w:val="false"/>
          <w:smallCaps w:val="false"/>
          <w:sz w:val="20"/>
        </w:rPr>
        <w:t xml:space="preserve">Part I </w:t>
      </w:r>
      <w:r>
        <w:rPr>
          <w:rFonts w:ascii="Times New Roman" w:hAnsi="Times New Roman"/>
          <w:caps w:val="false"/>
          <w:smallCaps w:val="false"/>
          <w:sz w:val="20"/>
        </w:rPr>
        <w:t xml:space="preserve">of PTE 84-14 and (D) to the best knowledge of such Lender, the requirements of </w:t>
      </w:r>
      <w:r>
        <w:rPr>
          <w:rFonts w:ascii="Times New Roman" w:hAnsi="Times New Roman"/>
          <w:i/>
          <w:caps w:val="false"/>
          <w:smallCaps w:val="false"/>
          <w:sz w:val="20"/>
        </w:rPr>
        <w:t xml:space="preserve">subsection (a) </w:t>
      </w:r>
      <w:r>
        <w:rPr>
          <w:rFonts w:ascii="Times New Roman" w:hAnsi="Times New Roman"/>
          <w:caps w:val="false"/>
          <w:smallCaps w:val="false"/>
          <w:sz w:val="20"/>
        </w:rPr>
        <w:t xml:space="preserve">of </w:t>
      </w:r>
      <w:r>
        <w:rPr>
          <w:rFonts w:ascii="Times New Roman" w:hAnsi="Times New Roman"/>
          <w:i/>
          <w:caps w:val="false"/>
          <w:smallCaps w:val="false"/>
          <w:sz w:val="20"/>
        </w:rPr>
        <w:t xml:space="preserve">Part I </w:t>
      </w:r>
      <w:r>
        <w:rPr>
          <w:rFonts w:ascii="Times New Roman" w:hAnsi="Times New Roman"/>
          <w:caps w:val="false"/>
          <w:smallCaps w:val="false"/>
          <w:sz w:val="20"/>
        </w:rPr>
        <w:t>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 addition, unless either (1) </w:t>
      </w:r>
      <w:r>
        <w:rPr>
          <w:rFonts w:ascii="Times New Roman" w:hAnsi="Times New Roman"/>
          <w:b/>
          <w:i/>
          <w:caps w:val="false"/>
          <w:smallCaps w:val="false"/>
          <w:sz w:val="20"/>
        </w:rPr>
        <w:t xml:space="preserve">clause (i) </w:t>
      </w:r>
      <w:r>
        <w:rPr>
          <w:rFonts w:ascii="Times New Roman" w:hAnsi="Times New Roman"/>
          <w:caps w:val="false"/>
          <w:smallCaps w:val="false"/>
          <w:sz w:val="20"/>
        </w:rPr>
        <w:t xml:space="preserve">in the immediately preceding </w:t>
      </w:r>
      <w:r>
        <w:rPr>
          <w:rFonts w:ascii="Times New Roman" w:hAnsi="Times New Roman"/>
          <w:b/>
          <w:i/>
          <w:caps w:val="false"/>
          <w:smallCaps w:val="false"/>
          <w:sz w:val="20"/>
        </w:rPr>
        <w:t xml:space="preserve">clause (a) </w:t>
      </w:r>
      <w:r>
        <w:rPr>
          <w:rFonts w:ascii="Times New Roman" w:hAnsi="Times New Roman"/>
          <w:caps w:val="false"/>
          <w:smallCaps w:val="false"/>
          <w:sz w:val="20"/>
        </w:rPr>
        <w:t xml:space="preserve">is true with respect to a Lender or (2) a Lender has provided another representation, warranty and covenant in accordance with </w:t>
      </w:r>
      <w:r>
        <w:rPr>
          <w:rFonts w:ascii="Times New Roman" w:hAnsi="Times New Roman"/>
          <w:b/>
          <w:i/>
          <w:caps w:val="false"/>
          <w:smallCaps w:val="false"/>
          <w:sz w:val="20"/>
        </w:rPr>
        <w:t xml:space="preserve">clause (iv) </w:t>
      </w:r>
      <w:r>
        <w:rPr>
          <w:rFonts w:ascii="Times New Roman" w:hAnsi="Times New Roman"/>
          <w:caps w:val="false"/>
          <w:smallCaps w:val="false"/>
          <w:sz w:val="20"/>
        </w:rPr>
        <w:t xml:space="preserve">in the immediately preceding </w:t>
      </w:r>
      <w:r>
        <w:rPr>
          <w:rFonts w:ascii="Times New Roman" w:hAnsi="Times New Roman"/>
          <w:b/>
          <w:i/>
          <w:caps w:val="false"/>
          <w:smallCaps w:val="false"/>
          <w:sz w:val="20"/>
        </w:rPr>
        <w:t>clause (a)</w:t>
      </w:r>
      <w:r>
        <w:rPr>
          <w:rFonts w:ascii="Times New Roman" w:hAnsi="Times New Roman"/>
          <w:caps w:val="false"/>
          <w:smallCaps w:val="false"/>
          <w:sz w:val="20"/>
        </w:rPr>
        <w:t>, such Lender further (x) represents and warrants, as of the date such Person became a Lender party hereto, to, and (y) covenants, from the date such Person became a Lender party hereto to the date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9.13    </w:t>
      </w:r>
      <w:r>
        <w:rPr>
          <w:rFonts w:ascii="Times New Roman" w:hAnsi="Times New Roman"/>
          <w:b/>
          <w:caps w:val="false"/>
          <w:smallCaps w:val="false"/>
          <w:sz w:val="20"/>
        </w:rPr>
        <w:t>Recovery of Erroneous Payments</w:t>
      </w:r>
      <w:r>
        <w:rPr>
          <w:rFonts w:ascii="Times New Roman" w:hAnsi="Times New Roman"/>
          <w:caps w:val="false"/>
          <w:smallCaps w:val="false"/>
          <w:sz w:val="20"/>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w:t>
      </w:r>
      <w:r>
        <w:rPr>
          <w:rFonts w:ascii="Times New Roman" w:hAnsi="Times New Roman"/>
          <w:i/>
          <w:caps w:val="false"/>
          <w:smallCaps w:val="false"/>
          <w:sz w:val="20"/>
        </w:rPr>
        <w:t>discharge for value</w:t>
      </w:r>
      <w:r>
        <w:rPr>
          <w:rFonts w:ascii="Times New Roman" w:hAnsi="Times New Roman"/>
          <w:caps w:val="false"/>
          <w:smallCaps w:val="false"/>
          <w:sz w:val="20"/>
        </w:rPr>
        <w:t>”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380"/>
        <w:gridCol w:w="44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9.14</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Holdings Guaranty and Holdings Pledge Agreement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Notwithstanding anything in this Agreement, the Holdings Pledge Agreement, the Holdings Guaranty or any other Loan Document to the contrary, each of the Administrative Agent, each Lender (including in its capacities as a Cash Management Bank and a Hedge Bank) and the L/C Issuer hereby acknowledges and agrees that the Administrative Agent shall not (i) exercise any discretion under the Holdings Pledge Agreement or the Holdings Guaranty (where provided to the Administrative Agent therein), (ii) seek enforcement of, or compliance by Holdings with, any terms or provisions of the Holdings Pledge Agreement or the Holdings Guaranty or (iii) request or demand any payment by, or otherwise accept any payment from, Holdings of any amounts pursuant to any terms or provisions of the Holdings Pledge Agreement or the Holdings Guaranty (the actions described in the foregoing clauses (i) through (iii), the “</w:t>
      </w:r>
      <w:r>
        <w:rPr>
          <w:rFonts w:ascii="Times New Roman" w:hAnsi="Times New Roman"/>
          <w:b/>
          <w:i/>
          <w:caps w:val="false"/>
          <w:smallCaps w:val="false"/>
          <w:sz w:val="20"/>
        </w:rPr>
        <w:t>Holdings Related Remedial Actions</w:t>
      </w:r>
      <w:r>
        <w:rPr>
          <w:rFonts w:ascii="Times New Roman" w:hAnsi="Times New Roman"/>
          <w:caps w:val="false"/>
          <w:smallCaps w:val="false"/>
          <w:sz w:val="20"/>
        </w:rPr>
        <w:t>”), unless (A) the Administrative Agent shall have provided not less than ten (10) Business Days’ prior written notice to the Lenders, the Swingline Lender, the L/C Issuer and any Cash Management Bank and Hedge Bank prior to exercising any Holdings Related Remedial Actions (the “</w:t>
      </w:r>
      <w:r>
        <w:rPr>
          <w:rFonts w:ascii="Times New Roman" w:hAnsi="Times New Roman"/>
          <w:b/>
          <w:i/>
          <w:caps w:val="false"/>
          <w:smallCaps w:val="false"/>
          <w:sz w:val="20"/>
        </w:rPr>
        <w:t>Parent Document Notice Period</w:t>
      </w:r>
      <w:r>
        <w:rPr>
          <w:rFonts w:ascii="Times New Roman" w:hAnsi="Times New Roman"/>
          <w:caps w:val="false"/>
          <w:smallCaps w:val="false"/>
          <w:sz w:val="20"/>
        </w:rPr>
        <w:t>”) and (B) each Lender has consented in writing to the use of the applicable Holdings Related Remedial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During the Parent Document Notice Period, each Secured Party shall determine, in its sole discretion, whether the Holdings Related Remedial Actions (or the acceptance of any payments or benefits of any such Holdings Related Remedial Actions) would be in violation of any federal or state Laws regarding the restricted activities set forth in </w:t>
      </w:r>
      <w:r>
        <w:rPr>
          <w:rFonts w:ascii="Times New Roman" w:hAnsi="Times New Roman"/>
          <w:b/>
          <w:i/>
          <w:caps w:val="false"/>
          <w:smallCaps w:val="false"/>
          <w:sz w:val="20"/>
        </w:rPr>
        <w:t xml:space="preserve">Section </w:t>
      </w:r>
      <w:r>
        <w:rPr>
          <w:rFonts w:ascii="Times New Roman" w:hAnsi="Times New Roman"/>
          <w:i/>
          <w:caps w:val="false"/>
          <w:smallCaps w:val="false"/>
          <w:sz w:val="20"/>
        </w:rPr>
        <w:t>Error! Reference source not found.</w:t>
      </w:r>
      <w:r>
        <w:rPr>
          <w:rFonts w:ascii="Times New Roman" w:hAnsi="Times New Roman"/>
          <w:caps w:val="false"/>
          <w:smallCaps w:val="false"/>
          <w:sz w:val="20"/>
        </w:rPr>
        <w:t xml:space="preserve">. For the avoidance of doubt, the Administrative Agent shall have no responsibility to take any Holdings Related Remedial Actions to the extent the Administrative Agent believes in its sole and absolute discretion that the exercise of such Holdings Related Remedial Actions would be in violation of any federal or state Laws regarding the restricted activities set forth in </w:t>
      </w:r>
      <w:r>
        <w:rPr>
          <w:rFonts w:ascii="Times New Roman" w:hAnsi="Times New Roman"/>
          <w:b/>
          <w:i/>
          <w:caps w:val="false"/>
          <w:smallCaps w:val="false"/>
          <w:sz w:val="20"/>
        </w:rPr>
        <w:t>Section 7.05</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Prior to the end of the Parent Document Notice Period, each Secured Party shall notify the Administrative Agent in writing as to whether they will participate in or decline the benefits of the Holdings Related Remedial Actions; </w:t>
      </w:r>
      <w:r>
        <w:rPr>
          <w:rFonts w:ascii="Times New Roman" w:hAnsi="Times New Roman"/>
          <w:i/>
          <w:caps w:val="false"/>
          <w:smallCaps w:val="false"/>
          <w:sz w:val="20"/>
        </w:rPr>
        <w:t xml:space="preserve">provided </w:t>
      </w:r>
      <w:r>
        <w:rPr>
          <w:rFonts w:ascii="Times New Roman" w:hAnsi="Times New Roman"/>
          <w:caps w:val="false"/>
          <w:smallCaps w:val="false"/>
          <w:sz w:val="20"/>
        </w:rPr>
        <w:t>that any Secured Party that has not responded to the Administrative Agent prior to the end of the Parent Document Notice Period shall be deemed to have declined such Holdings Related Remedial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If any Secured Party has declined (or has been deemed to have declined) to participate in the Holdings Related Remedial Actions in accordance with the immediately preceding clause (c) (any such Lender, a “</w:t>
      </w:r>
      <w:r>
        <w:rPr>
          <w:rFonts w:ascii="Times New Roman" w:hAnsi="Times New Roman"/>
          <w:b/>
          <w:i/>
          <w:caps w:val="false"/>
          <w:smallCaps w:val="false"/>
          <w:sz w:val="20"/>
        </w:rPr>
        <w:t>Remedial Actions Declining Lender</w:t>
      </w:r>
      <w:r>
        <w:rPr>
          <w:rFonts w:ascii="Times New Roman" w:hAnsi="Times New Roman"/>
          <w:caps w:val="false"/>
          <w:smallCaps w:val="false"/>
          <w:sz w:val="20"/>
        </w:rPr>
        <w:t xml:space="preserve">”) then no Secured Party shall receive any proceeds derived, whether directly or indirectly, from such Holdings Related Remedial Actions;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an Event of Default has occurred and is continuing, any such Remedial Actions Declining Lender may be replaced by an existing Lender in accordance with </w:t>
      </w:r>
      <w:r>
        <w:rPr>
          <w:rFonts w:ascii="Times New Roman" w:hAnsi="Times New Roman"/>
          <w:b/>
          <w:i/>
          <w:caps w:val="false"/>
          <w:smallCaps w:val="false"/>
          <w:sz w:val="20"/>
        </w:rPr>
        <w:t>Section 11.13(e)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Upon the exercise of any Holdings Related Remedial Actions, any payment made by Holdings shall be paid to the Administrative Agent, solely for the benefit of the Secured Parties and applied by the Administrative Agent as set forth in </w:t>
      </w:r>
      <w:r>
        <w:rPr>
          <w:rFonts w:ascii="Times New Roman" w:hAnsi="Times New Roman"/>
          <w:b/>
          <w:i/>
          <w:caps w:val="false"/>
          <w:smallCaps w:val="false"/>
          <w:sz w:val="20"/>
        </w:rPr>
        <w:t>Section 8.03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0"/>
        <w:gridCol w:w="380"/>
        <w:gridCol w:w="305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9.15</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Specified Declining Secured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w:t>
      </w:r>
      <w:r>
        <w:rPr>
          <w:rFonts w:ascii="Times New Roman" w:hAnsi="Times New Roman"/>
          <w:b/>
          <w:i/>
          <w:caps w:val="false"/>
          <w:smallCaps w:val="false"/>
          <w:sz w:val="20"/>
        </w:rPr>
        <w:t xml:space="preserve">Section 9.14 </w:t>
      </w:r>
      <w:r>
        <w:rPr>
          <w:rFonts w:ascii="Times New Roman" w:hAnsi="Times New Roman"/>
          <w:caps w:val="false"/>
          <w:smallCaps w:val="false"/>
          <w:sz w:val="20"/>
        </w:rPr>
        <w:t>above, the Administrative Agent, the L/C Issuer, the Swingline Lender or any Lender, in its capacity as a Lender and, if applicable, a Cash Management Bank and a Hedge Bank (any such party, a “</w:t>
      </w:r>
      <w:r>
        <w:rPr>
          <w:rFonts w:ascii="Times New Roman" w:hAnsi="Times New Roman"/>
          <w:b/>
          <w:i/>
          <w:caps w:val="false"/>
          <w:smallCaps w:val="false"/>
          <w:sz w:val="20"/>
        </w:rPr>
        <w:t>Declining Party</w:t>
      </w:r>
      <w:r>
        <w:rPr>
          <w:rFonts w:ascii="Times New Roman" w:hAnsi="Times New Roman"/>
          <w:caps w:val="false"/>
          <w:smallCaps w:val="false"/>
          <w:sz w:val="20"/>
        </w:rPr>
        <w:t xml:space="preserve">”), may elect to forego the benefits of the Holdings Pledge Agreement, the Holdings Guaranty and any Holdings Related Remedial Actions by executing a Notice of Exclusion in the form of </w:t>
      </w:r>
      <w:r>
        <w:rPr>
          <w:rFonts w:ascii="Times New Roman" w:hAnsi="Times New Roman"/>
          <w:caps w:val="false"/>
          <w:smallCaps w:val="false"/>
          <w:sz w:val="20"/>
          <w:u w:val="single"/>
        </w:rPr>
        <w:t>Exhibit 9.15</w:t>
      </w:r>
      <w:r>
        <w:rPr>
          <w:rFonts w:ascii="Times New Roman" w:hAnsi="Times New Roman"/>
          <w:caps w:val="false"/>
          <w:smallCaps w:val="false"/>
          <w:sz w:val="20"/>
        </w:rPr>
        <w:t xml:space="preserve">. Any Declining Party may provide written notice in the form of </w:t>
      </w:r>
      <w:r>
        <w:rPr>
          <w:rFonts w:ascii="Times New Roman" w:hAnsi="Times New Roman"/>
          <w:caps w:val="false"/>
          <w:smallCaps w:val="false"/>
          <w:sz w:val="20"/>
          <w:u w:val="single"/>
        </w:rPr>
        <w:t>Exhibit 9.15</w:t>
      </w:r>
      <w:r>
        <w:rPr>
          <w:rFonts w:ascii="Times New Roman" w:hAnsi="Times New Roman"/>
          <w:caps w:val="false"/>
          <w:smallCaps w:val="false"/>
          <w:sz w:val="20"/>
        </w:rPr>
        <w:t xml:space="preserve"> to the Administrative Agent (which notice may be given prior to or during, but not after, the Parent Document Notice Period) that such Declining Party no longer wishes to be a Declining Party and will accept the benefits of the Holdings Pledge Agreement, the Holdings Guaranty and any Holdings Related Remedial Actions.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200"/>
        <w:gridCol w:w="24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CONTINUING GUARANTY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10.01    </w:t>
      </w:r>
      <w:r>
        <w:rPr>
          <w:rFonts w:ascii="Times New Roman" w:hAnsi="Times New Roman"/>
          <w:b/>
          <w:caps w:val="false"/>
          <w:smallCaps w:val="false"/>
          <w:sz w:val="20"/>
        </w:rPr>
        <w:t>Guaranty</w:t>
      </w:r>
      <w:r>
        <w:rPr>
          <w:rFonts w:ascii="Times New Roman" w:hAnsi="Times New Roman"/>
          <w:caps w:val="false"/>
          <w:smallCaps w:val="false"/>
          <w:sz w:val="20"/>
        </w:rPr>
        <w:t xml:space="preserve">. 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w:t>
      </w:r>
      <w:r>
        <w:rPr>
          <w:rFonts w:ascii="Times New Roman" w:hAnsi="Times New Roman"/>
          <w:i/>
          <w:caps w:val="false"/>
          <w:smallCaps w:val="false"/>
          <w:sz w:val="20"/>
        </w:rPr>
        <w:t xml:space="preserve">proviso </w:t>
      </w:r>
      <w:r>
        <w:rPr>
          <w:rFonts w:ascii="Times New Roman" w:hAnsi="Times New Roman"/>
          <w:caps w:val="false"/>
          <w:smallCaps w:val="false"/>
          <w:sz w:val="20"/>
        </w:rPr>
        <w:t>in this sentence, its “</w:t>
      </w:r>
      <w:r>
        <w:rPr>
          <w:rFonts w:ascii="Times New Roman" w:hAnsi="Times New Roman"/>
          <w:b/>
          <w:i/>
          <w:caps w:val="false"/>
          <w:smallCaps w:val="false"/>
          <w:sz w:val="20"/>
        </w:rPr>
        <w:t>Guaranteed Obligations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w:t>
      </w:r>
      <w:r>
        <w:rPr>
          <w:rFonts w:ascii="Times New Roman" w:hAnsi="Times New Roman"/>
          <w:i/>
          <w:caps w:val="false"/>
          <w:smallCaps w:val="false"/>
          <w:sz w:val="20"/>
        </w:rPr>
        <w:t xml:space="preserve">Section 548 </w:t>
      </w:r>
      <w:r>
        <w:rPr>
          <w:rFonts w:ascii="Times New Roman" w:hAnsi="Times New Roman"/>
          <w:caps w:val="false"/>
          <w:smallCaps w:val="false"/>
          <w:sz w:val="20"/>
        </w:rPr>
        <w:t>of the Bankruptcy Code of the United States or any comparable provisions of any applicable state law or other Applicable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10.02    </w:t>
      </w:r>
      <w:r>
        <w:rPr>
          <w:rFonts w:ascii="Times New Roman" w:hAnsi="Times New Roman"/>
          <w:b/>
          <w:caps w:val="false"/>
          <w:smallCaps w:val="false"/>
          <w:sz w:val="20"/>
        </w:rPr>
        <w:t>Rights of Lenders</w:t>
      </w:r>
      <w:r>
        <w:rPr>
          <w:rFonts w:ascii="Times New Roman" w:hAnsi="Times New Roman"/>
          <w:caps w:val="false"/>
          <w:smallCaps w:val="false"/>
          <w:sz w:val="20"/>
        </w:rPr>
        <w:t>. 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(1)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10.03    </w:t>
      </w:r>
      <w:r>
        <w:rPr>
          <w:rFonts w:ascii="Times New Roman" w:hAnsi="Times New Roman"/>
          <w:b/>
          <w:caps w:val="false"/>
          <w:smallCaps w:val="false"/>
          <w:sz w:val="20"/>
        </w:rPr>
        <w:t>Certain Waivers</w:t>
      </w:r>
      <w:r>
        <w:rPr>
          <w:rFonts w:ascii="Times New Roman" w:hAnsi="Times New Roman"/>
          <w:caps w:val="false"/>
          <w:smallCaps w:val="false"/>
          <w:sz w:val="20"/>
        </w:rPr>
        <w:t>. 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10.04    </w:t>
      </w:r>
      <w:r>
        <w:rPr>
          <w:rFonts w:ascii="Times New Roman" w:hAnsi="Times New Roman"/>
          <w:b/>
          <w:caps w:val="false"/>
          <w:smallCaps w:val="false"/>
          <w:sz w:val="20"/>
        </w:rPr>
        <w:t>Obligations Independent</w:t>
      </w:r>
      <w:r>
        <w:rPr>
          <w:rFonts w:ascii="Times New Roman" w:hAnsi="Times New Roman"/>
          <w:caps w:val="false"/>
          <w:smallCaps w:val="false"/>
          <w:sz w:val="20"/>
        </w:rPr>
        <w:t>. 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10.05    </w:t>
      </w:r>
      <w:r>
        <w:rPr>
          <w:rFonts w:ascii="Times New Roman" w:hAnsi="Times New Roman"/>
          <w:b/>
          <w:caps w:val="false"/>
          <w:smallCaps w:val="false"/>
          <w:sz w:val="20"/>
        </w:rPr>
        <w:t>Subrogation</w:t>
      </w:r>
      <w:r>
        <w:rPr>
          <w:rFonts w:ascii="Times New Roman" w:hAnsi="Times New Roman"/>
          <w:caps w:val="false"/>
          <w:smallCaps w:val="false"/>
          <w:sz w:val="20"/>
        </w:rPr>
        <w:t>. 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10.06    </w:t>
      </w:r>
      <w:r>
        <w:rPr>
          <w:rFonts w:ascii="Times New Roman" w:hAnsi="Times New Roman"/>
          <w:b/>
          <w:caps w:val="false"/>
          <w:smallCaps w:val="false"/>
          <w:sz w:val="20"/>
        </w:rPr>
        <w:t>Termination; Reinstatement</w:t>
      </w:r>
      <w:r>
        <w:rPr>
          <w:rFonts w:ascii="Times New Roman" w:hAnsi="Times New Roman"/>
          <w:caps w:val="false"/>
          <w:smallCaps w:val="false"/>
          <w:sz w:val="20"/>
        </w:rPr>
        <w:t>. 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hAnsi="Times New Roman"/>
          <w:b/>
          <w:i/>
          <w:caps w:val="false"/>
          <w:smallCaps w:val="false"/>
          <w:sz w:val="20"/>
        </w:rPr>
        <w:t xml:space="preserve">Section 10.06 </w:t>
      </w:r>
      <w:r>
        <w:rPr>
          <w:rFonts w:ascii="Times New Roman" w:hAnsi="Times New Roman"/>
          <w:caps w:val="false"/>
          <w:smallCaps w:val="false"/>
          <w:sz w:val="20"/>
        </w:rPr>
        <w:t>shall survive termination of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10.07    </w:t>
      </w:r>
      <w:r>
        <w:rPr>
          <w:rFonts w:ascii="Times New Roman" w:hAnsi="Times New Roman"/>
          <w:b/>
          <w:caps w:val="false"/>
          <w:smallCaps w:val="false"/>
          <w:sz w:val="20"/>
        </w:rPr>
        <w:t>Stay of Acceleration</w:t>
      </w:r>
      <w:r>
        <w:rPr>
          <w:rFonts w:ascii="Times New Roman" w:hAnsi="Times New Roman"/>
          <w:caps w:val="false"/>
          <w:smallCaps w:val="false"/>
          <w:sz w:val="20"/>
        </w:rPr>
        <w:t>. 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10.08    </w:t>
      </w:r>
      <w:r>
        <w:rPr>
          <w:rFonts w:ascii="Times New Roman" w:hAnsi="Times New Roman"/>
          <w:b/>
          <w:caps w:val="false"/>
          <w:smallCaps w:val="false"/>
          <w:sz w:val="20"/>
        </w:rPr>
        <w:t>Condition of Borrower</w:t>
      </w:r>
      <w:r>
        <w:rPr>
          <w:rFonts w:ascii="Times New Roman" w:hAnsi="Times New Roman"/>
          <w:caps w:val="false"/>
          <w:smallCaps w:val="false"/>
          <w:sz w:val="20"/>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10.09    </w:t>
      </w:r>
      <w:r>
        <w:rPr>
          <w:rFonts w:ascii="Times New Roman" w:hAnsi="Times New Roman"/>
          <w:b/>
          <w:caps w:val="false"/>
          <w:smallCaps w:val="false"/>
          <w:sz w:val="20"/>
        </w:rPr>
        <w:t>Appointment of Borrower</w:t>
      </w:r>
      <w:r>
        <w:rPr>
          <w:rFonts w:ascii="Times New Roman" w:hAnsi="Times New Roman"/>
          <w:caps w:val="false"/>
          <w:smallCaps w:val="false"/>
          <w:sz w:val="20"/>
        </w:rPr>
        <w:t>. 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10.10    </w:t>
      </w:r>
      <w:r>
        <w:rPr>
          <w:rFonts w:ascii="Times New Roman" w:hAnsi="Times New Roman"/>
          <w:b/>
          <w:caps w:val="false"/>
          <w:smallCaps w:val="false"/>
          <w:sz w:val="20"/>
        </w:rPr>
        <w:t>Right of Contribution</w:t>
      </w:r>
      <w:r>
        <w:rPr>
          <w:rFonts w:ascii="Times New Roman" w:hAnsi="Times New Roman"/>
          <w:caps w:val="false"/>
          <w:smallCaps w:val="false"/>
          <w:sz w:val="20"/>
        </w:rPr>
        <w:t>. The Guarantors agree among themselves that, in connection with payments made hereunder, each Guarantor shall have contribution rights against the other Guarantors as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10.11    </w:t>
      </w:r>
      <w:r>
        <w:rPr>
          <w:rFonts w:ascii="Times New Roman" w:hAnsi="Times New Roman"/>
          <w:b/>
          <w:caps w:val="false"/>
          <w:smallCaps w:val="false"/>
          <w:sz w:val="20"/>
        </w:rPr>
        <w:t>Keepwell</w:t>
      </w:r>
      <w:r>
        <w:rPr>
          <w:rFonts w:ascii="Times New Roman" w:hAnsi="Times New Roman"/>
          <w:caps w:val="false"/>
          <w:smallCaps w:val="false"/>
          <w:sz w:val="20"/>
        </w:rPr>
        <w:t xml:space="preserve">. 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hAnsi="Times New Roman"/>
          <w:b/>
          <w:i/>
          <w:caps w:val="false"/>
          <w:smallCaps w:val="false"/>
          <w:sz w:val="20"/>
        </w:rPr>
        <w:t xml:space="preserve">Article X </w:t>
      </w:r>
      <w:r>
        <w:rPr>
          <w:rFonts w:ascii="Times New Roman" w:hAnsi="Times New Roman"/>
          <w:caps w:val="false"/>
          <w:smallCaps w:val="false"/>
          <w:sz w:val="20"/>
        </w:rPr>
        <w:t xml:space="preserve">voidable under Applicable Law relating to fraudulent conveyance or fraudulent transfer, and not for any greater amount). The obligations and undertakings of each Qualified ECP Guarantor under this </w:t>
      </w:r>
      <w:r>
        <w:rPr>
          <w:rFonts w:ascii="Times New Roman" w:hAnsi="Times New Roman"/>
          <w:b/>
          <w:i/>
          <w:caps w:val="false"/>
          <w:smallCaps w:val="false"/>
          <w:sz w:val="20"/>
        </w:rPr>
        <w:t xml:space="preserve">Section 10.11 </w:t>
      </w:r>
      <w:r>
        <w:rPr>
          <w:rFonts w:ascii="Times New Roman" w:hAnsi="Times New Roman"/>
          <w:caps w:val="false"/>
          <w:smallCaps w:val="false"/>
          <w:sz w:val="20"/>
        </w:rPr>
        <w:t xml:space="preserve">shall remain in full force and effect until the Secured Obligations have been indefeasibly paid and performed in full. Each Loan Party intends this </w:t>
      </w:r>
      <w:r>
        <w:rPr>
          <w:rFonts w:ascii="Times New Roman" w:hAnsi="Times New Roman"/>
          <w:b/>
          <w:i/>
          <w:caps w:val="false"/>
          <w:smallCaps w:val="false"/>
          <w:sz w:val="20"/>
        </w:rPr>
        <w:t xml:space="preserve">Section 10.11 </w:t>
      </w:r>
      <w:r>
        <w:rPr>
          <w:rFonts w:ascii="Times New Roman" w:hAnsi="Times New Roman"/>
          <w:caps w:val="false"/>
          <w:smallCaps w:val="false"/>
          <w:sz w:val="20"/>
        </w:rPr>
        <w:t xml:space="preserve">to constitute, and this </w:t>
      </w:r>
      <w:r>
        <w:rPr>
          <w:rFonts w:ascii="Times New Roman" w:hAnsi="Times New Roman"/>
          <w:b/>
          <w:i/>
          <w:caps w:val="false"/>
          <w:smallCaps w:val="false"/>
          <w:sz w:val="20"/>
        </w:rPr>
        <w:t xml:space="preserve">Section 10.11 </w:t>
      </w:r>
      <w:r>
        <w:rPr>
          <w:rFonts w:ascii="Times New Roman" w:hAnsi="Times New Roman"/>
          <w:caps w:val="false"/>
          <w:smallCaps w:val="false"/>
          <w:sz w:val="20"/>
        </w:rPr>
        <w:t>shall be deemed to constitute, a guarantee of the obligations of, and a “keepwell, support, or other agreement” for the benefit of, each Specified Loan Party for all purposes of the Commodity Exchange Act.</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260"/>
        <w:gridCol w:w="176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MISCELLANEOUS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485"/>
        <w:gridCol w:w="153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11.01</w:t>
            </w:r>
          </w:p>
        </w:tc>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Amendments, Etc</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Except as provided in </w:t>
      </w:r>
      <w:r>
        <w:rPr>
          <w:rFonts w:ascii="Times New Roman" w:hAnsi="Times New Roman"/>
          <w:b/>
          <w:i/>
          <w:caps w:val="false"/>
          <w:smallCaps w:val="false"/>
          <w:sz w:val="20"/>
        </w:rPr>
        <w:t>Section 11.01(b)</w:t>
      </w:r>
      <w:r>
        <w:rPr>
          <w:rFonts w:ascii="Times New Roman" w:hAnsi="Times New Roman"/>
          <w:caps w:val="false"/>
          <w:smallCaps w:val="false"/>
          <w:sz w:val="20"/>
        </w:rPr>
        <w:t xml:space="preserve">, 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no such amendment, waiver or consent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extend or increase the Commitment of any Lender (or reinstate any Commitment terminated pursuant to </w:t>
      </w:r>
      <w:r>
        <w:rPr>
          <w:rFonts w:ascii="Times New Roman" w:hAnsi="Times New Roman"/>
          <w:b/>
          <w:i/>
          <w:caps w:val="false"/>
          <w:smallCaps w:val="false"/>
          <w:sz w:val="20"/>
        </w:rPr>
        <w:t>Section 8.02</w:t>
      </w:r>
      <w:r>
        <w:rPr>
          <w:rFonts w:ascii="Times New Roman" w:hAnsi="Times New Roman"/>
          <w:caps w:val="false"/>
          <w:smallCaps w:val="false"/>
          <w:sz w:val="20"/>
        </w:rPr>
        <w:t xml:space="preserve">) without the written consent of such Lender (it being understood and agreed that a waiver of any condition precedent in </w:t>
      </w:r>
      <w:r>
        <w:rPr>
          <w:rFonts w:ascii="Times New Roman" w:hAnsi="Times New Roman"/>
          <w:b/>
          <w:i/>
          <w:caps w:val="false"/>
          <w:smallCaps w:val="false"/>
          <w:sz w:val="20"/>
        </w:rPr>
        <w:t xml:space="preserve">Section 4.02 </w:t>
      </w:r>
      <w:r>
        <w:rPr>
          <w:rFonts w:ascii="Times New Roman" w:hAnsi="Times New Roman"/>
          <w:caps w:val="false"/>
          <w:smallCaps w:val="false"/>
          <w:sz w:val="20"/>
        </w:rPr>
        <w:t>or of any Default or a mandatory reduction in Commitments is not considered an extension or increase in Commitments of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reduce the principal of, or the rate of interest specified herein on, any Loan or L/C Borrowing, or any fees or other amounts payable hereunder or under any other Loan Document without the written consent of each Lender entitled to such amount;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only the consent of the Required Lenders shall be necessary (i) to amend the definition of “</w:t>
      </w:r>
      <w:r>
        <w:rPr>
          <w:rFonts w:ascii="Times New Roman" w:hAnsi="Times New Roman"/>
          <w:i/>
          <w:caps w:val="false"/>
          <w:smallCaps w:val="false"/>
          <w:sz w:val="20"/>
        </w:rPr>
        <w:t>Default Rate</w:t>
      </w:r>
      <w:r>
        <w:rPr>
          <w:rFonts w:ascii="Times New Roman" w:hAnsi="Times New Roman"/>
          <w:caps w:val="false"/>
          <w:smallCaps w:val="false"/>
          <w:sz w:val="20"/>
        </w:rPr>
        <w:t>”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(A) change </w:t>
      </w:r>
      <w:r>
        <w:rPr>
          <w:rFonts w:ascii="Times New Roman" w:hAnsi="Times New Roman"/>
          <w:b/>
          <w:i/>
          <w:caps w:val="false"/>
          <w:smallCaps w:val="false"/>
          <w:sz w:val="20"/>
        </w:rPr>
        <w:t xml:space="preserve">Section 2.13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Section 8.03 </w:t>
      </w:r>
      <w:r>
        <w:rPr>
          <w:rFonts w:ascii="Times New Roman" w:hAnsi="Times New Roman"/>
          <w:caps w:val="false"/>
          <w:smallCaps w:val="false"/>
          <w:sz w:val="20"/>
        </w:rPr>
        <w:t xml:space="preserve">in a manner that would alter the </w:t>
      </w:r>
      <w:r>
        <w:rPr>
          <w:rFonts w:ascii="Times New Roman" w:hAnsi="Times New Roman"/>
          <w:i/>
          <w:caps w:val="false"/>
          <w:smallCaps w:val="false"/>
          <w:sz w:val="20"/>
        </w:rPr>
        <w:t xml:space="preserve">pro rata </w:t>
      </w:r>
      <w:r>
        <w:rPr>
          <w:rFonts w:ascii="Times New Roman" w:hAnsi="Times New Roman"/>
          <w:caps w:val="false"/>
          <w:smallCaps w:val="false"/>
          <w:sz w:val="20"/>
        </w:rPr>
        <w:t>sharing of payments required thereby without the written consent of each Lender directly and adversely affected thereby or (B) subordinate, or have the effect of subordinating, the Obligations hereunder to any other Indebtedness or other obligation without the written consent of each Lender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    change any provision of this </w:t>
      </w:r>
      <w:r>
        <w:rPr>
          <w:rFonts w:ascii="Times New Roman" w:hAnsi="Times New Roman"/>
          <w:b/>
          <w:i/>
          <w:caps w:val="false"/>
          <w:smallCaps w:val="false"/>
          <w:sz w:val="20"/>
        </w:rPr>
        <w:t xml:space="preserve">Section 11.01 </w:t>
      </w:r>
      <w:r>
        <w:rPr>
          <w:rFonts w:ascii="Times New Roman" w:hAnsi="Times New Roman"/>
          <w:caps w:val="false"/>
          <w:smallCaps w:val="false"/>
          <w:sz w:val="20"/>
        </w:rPr>
        <w:t>or the definition of “</w:t>
      </w:r>
      <w:r>
        <w:rPr>
          <w:rFonts w:ascii="Times New Roman" w:hAnsi="Times New Roman"/>
          <w:i/>
          <w:caps w:val="false"/>
          <w:smallCaps w:val="false"/>
          <w:sz w:val="20"/>
        </w:rPr>
        <w:t>Required Lenders</w:t>
      </w:r>
      <w:r>
        <w:rPr>
          <w:rFonts w:ascii="Times New Roman" w:hAnsi="Times New Roman"/>
          <w:caps w:val="false"/>
          <w:smallCaps w:val="false"/>
          <w:sz w:val="20"/>
        </w:rPr>
        <w:t>”, without the written consent of each Lender directly and adversely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    release all or substantially all of the Collateral in any transaction or series of related transactions, without the written consent of each Lender whose Obligations are secured by such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(vii)    release all or substantially all of the value of the Guaranty, without the written consent of each Lender, except to the extent the release of any Subsidiary from the Guaranty is permitted pursuant to </w:t>
      </w:r>
      <w:r>
        <w:rPr>
          <w:rFonts w:ascii="Times New Roman" w:hAnsi="Times New Roman"/>
          <w:b/>
          <w:i/>
          <w:caps w:val="false"/>
          <w:smallCaps w:val="false"/>
          <w:sz w:val="20"/>
        </w:rPr>
        <w:t xml:space="preserve">Section 9.10 </w:t>
      </w:r>
      <w:r>
        <w:rPr>
          <w:rFonts w:ascii="Times New Roman" w:hAnsi="Times New Roman"/>
          <w:caps w:val="false"/>
          <w:smallCaps w:val="false"/>
          <w:sz w:val="20"/>
        </w:rPr>
        <w:t>(in which case such release may be made by the Administrative Agent acting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(viii)    release the Borrower or permit the Borrower to assign or transfer any of its rights or obligations under this Agreement or the other Loan Documents without the consent of each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(ix)    prior to the termination of the Revolving Commitments, unless also signed by Lenders (other than Defaulting Lenders) holding at least a majority of the Revolving Exposure, (i) waive any Default for purposes of </w:t>
      </w:r>
      <w:r>
        <w:rPr>
          <w:rFonts w:ascii="Times New Roman" w:hAnsi="Times New Roman"/>
          <w:b/>
          <w:i/>
          <w:caps w:val="false"/>
          <w:smallCaps w:val="false"/>
          <w:sz w:val="20"/>
        </w:rPr>
        <w:t>Section 4.02(b)</w:t>
      </w:r>
      <w:r>
        <w:rPr>
          <w:rFonts w:ascii="Times New Roman" w:hAnsi="Times New Roman"/>
          <w:caps w:val="false"/>
          <w:smallCaps w:val="false"/>
          <w:sz w:val="20"/>
        </w:rPr>
        <w:t xml:space="preserve">, (ii) amend, change, waive, discharge or terminate </w:t>
      </w:r>
      <w:r>
        <w:rPr>
          <w:rFonts w:ascii="Times New Roman" w:hAnsi="Times New Roman"/>
          <w:b/>
          <w:i/>
          <w:caps w:val="false"/>
          <w:smallCaps w:val="false"/>
          <w:sz w:val="20"/>
        </w:rPr>
        <w:t xml:space="preserve">Sections 4.02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8.01 </w:t>
      </w:r>
      <w:r>
        <w:rPr>
          <w:rFonts w:ascii="Times New Roman" w:hAnsi="Times New Roman"/>
          <w:caps w:val="false"/>
          <w:smallCaps w:val="false"/>
          <w:sz w:val="20"/>
        </w:rPr>
        <w:t xml:space="preserve">in a manner adverse to the Revolving Lenders or (iii) amend, change, waive, discharge or terminate </w:t>
      </w:r>
      <w:r>
        <w:rPr>
          <w:rFonts w:ascii="Times New Roman" w:hAnsi="Times New Roman"/>
          <w:b/>
          <w:i/>
          <w:caps w:val="false"/>
          <w:smallCaps w:val="false"/>
          <w:sz w:val="20"/>
        </w:rPr>
        <w:t>Section 7.05</w:t>
      </w:r>
      <w:r>
        <w:rPr>
          <w:rFonts w:ascii="Times New Roman" w:hAnsi="Times New Roman"/>
          <w:i/>
          <w:caps w:val="false"/>
          <w:smallCaps w:val="false"/>
          <w:sz w:val="20"/>
        </w:rPr>
        <w:t xml:space="preserve">Error! Reference source not found. </w:t>
      </w:r>
      <w:r>
        <w:rPr>
          <w:rFonts w:ascii="Times New Roman" w:hAnsi="Times New Roman"/>
          <w:caps w:val="false"/>
          <w:smallCaps w:val="false"/>
          <w:sz w:val="20"/>
        </w:rPr>
        <w:t xml:space="preserve">(or any defined term used therein) or this </w:t>
      </w:r>
      <w:r>
        <w:rPr>
          <w:rFonts w:ascii="Times New Roman" w:hAnsi="Times New Roman"/>
          <w:b/>
          <w:i/>
          <w:caps w:val="false"/>
          <w:smallCaps w:val="false"/>
          <w:sz w:val="20"/>
        </w:rPr>
        <w:t>clause (ix)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and (C) no amendment, waiver or consent shall, unless in writing and signed by the Administrative Agent in addition to the Lenders required above, affect the rights or duties of the Administrative Agent under this Agreement or any other Loan Document.</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245"/>
        <w:gridCol w:w="39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3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to the contrary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(A)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(1) the Commitment of any Defaulting Lender may not be increased or extended without the consent of such Lender and (2)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w:t>
      </w:r>
      <w:r>
        <w:rPr>
          <w:rFonts w:ascii="Times New Roman" w:hAnsi="Times New Roman"/>
          <w:i/>
          <w:caps w:val="false"/>
          <w:smallCaps w:val="false"/>
          <w:sz w:val="20"/>
        </w:rPr>
        <w:t xml:space="preserve">Section 1126(c) </w:t>
      </w:r>
      <w:r>
        <w:rPr>
          <w:rFonts w:ascii="Times New Roman" w:hAnsi="Times New Roman"/>
          <w:caps w:val="false"/>
          <w:smallCaps w:val="false"/>
          <w:sz w:val="20"/>
        </w:rPr>
        <w:t>of the Bankruptcy Code of the United States supersedes the unanimous consent provisions set forth herein and (C) the Required Lenders shall determine whether or not to allow a Loan Party to use cash collateral in the context of a bankruptcy or insolvency proceeding and such determination shall be binding on all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the Administrative Agent and the Borrower may make amendments contemplated by </w:t>
      </w:r>
      <w:r>
        <w:rPr>
          <w:rFonts w:ascii="Times New Roman" w:hAnsi="Times New Roman"/>
          <w:b/>
          <w:i/>
          <w:caps w:val="false"/>
          <w:smallCaps w:val="false"/>
          <w:sz w:val="20"/>
        </w:rPr>
        <w:t>Section 3.03(b)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the Fee Letter may be amended, or rights or privileges thereunder waived, in a writing executed only by the parties thereto.</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60"/>
        <w:gridCol w:w="245"/>
        <w:gridCol w:w="8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Notwithstanding anything in the foregoing clauses (a) or (b) to the contrary, (i) neither this Agreement nor any other Loan Document shall be, directly or indirectly, amended, modified, supplemented or waived (whether pursuant to a consent or otherwise) to add Holdings as a “Guarantor” or a “Loan Party” without the consent of each Lender, (ii) none of the second to last paragraph of </w:t>
      </w:r>
      <w:r>
        <w:rPr>
          <w:rFonts w:ascii="Times New Roman" w:hAnsi="Times New Roman"/>
          <w:b/>
          <w:i/>
          <w:caps w:val="false"/>
          <w:smallCaps w:val="false"/>
          <w:sz w:val="20"/>
        </w:rPr>
        <w:t xml:space="preserve">Section 2.13 </w:t>
      </w:r>
      <w:r>
        <w:rPr>
          <w:rFonts w:ascii="Times New Roman" w:hAnsi="Times New Roman"/>
          <w:caps w:val="false"/>
          <w:smallCaps w:val="false"/>
          <w:sz w:val="20"/>
        </w:rPr>
        <w:t xml:space="preserve">of this Agreement, </w:t>
      </w:r>
      <w:r>
        <w:rPr>
          <w:rFonts w:ascii="Times New Roman" w:hAnsi="Times New Roman"/>
          <w:b/>
          <w:i/>
          <w:caps w:val="false"/>
          <w:smallCaps w:val="false"/>
          <w:sz w:val="20"/>
        </w:rPr>
        <w:t>Sections 5.15</w:t>
      </w:r>
      <w:r>
        <w:rPr>
          <w:rFonts w:ascii="Times New Roman" w:hAnsi="Times New Roman"/>
          <w:caps w:val="false"/>
          <w:smallCaps w:val="false"/>
          <w:sz w:val="20"/>
        </w:rPr>
        <w:t xml:space="preserve">, </w:t>
      </w:r>
      <w:r>
        <w:rPr>
          <w:rFonts w:ascii="Times New Roman" w:hAnsi="Times New Roman"/>
          <w:b/>
          <w:i/>
          <w:caps w:val="false"/>
          <w:smallCaps w:val="false"/>
          <w:sz w:val="20"/>
        </w:rPr>
        <w:t>6.03(e)</w:t>
      </w:r>
      <w:r>
        <w:rPr>
          <w:rFonts w:ascii="Times New Roman" w:hAnsi="Times New Roman"/>
          <w:caps w:val="false"/>
          <w:smallCaps w:val="false"/>
          <w:sz w:val="20"/>
        </w:rPr>
        <w:t xml:space="preserve">, </w:t>
      </w:r>
      <w:r>
        <w:rPr>
          <w:rFonts w:ascii="Times New Roman" w:hAnsi="Times New Roman"/>
          <w:b/>
          <w:i/>
          <w:caps w:val="false"/>
          <w:smallCaps w:val="false"/>
          <w:sz w:val="20"/>
        </w:rPr>
        <w:t>7.05</w:t>
      </w:r>
      <w:r>
        <w:rPr>
          <w:rFonts w:ascii="Times New Roman" w:hAnsi="Times New Roman"/>
          <w:caps w:val="false"/>
          <w:smallCaps w:val="false"/>
          <w:sz w:val="20"/>
        </w:rPr>
        <w:t xml:space="preserve">, </w:t>
      </w:r>
      <w:r>
        <w:rPr>
          <w:rFonts w:ascii="Times New Roman" w:hAnsi="Times New Roman"/>
          <w:b/>
          <w:i/>
          <w:caps w:val="false"/>
          <w:smallCaps w:val="false"/>
          <w:sz w:val="20"/>
        </w:rPr>
        <w:t>7.06</w:t>
      </w:r>
      <w:r>
        <w:rPr>
          <w:rFonts w:ascii="Times New Roman" w:hAnsi="Times New Roman"/>
          <w:caps w:val="false"/>
          <w:smallCaps w:val="false"/>
          <w:sz w:val="20"/>
        </w:rPr>
        <w:t xml:space="preserve">, </w:t>
      </w:r>
      <w:r>
        <w:rPr>
          <w:rFonts w:ascii="Times New Roman" w:hAnsi="Times New Roman"/>
          <w:b/>
          <w:i/>
          <w:caps w:val="false"/>
          <w:smallCaps w:val="false"/>
          <w:sz w:val="20"/>
        </w:rPr>
        <w:t>7.08</w:t>
      </w:r>
      <w:r>
        <w:rPr>
          <w:rFonts w:ascii="Times New Roman" w:hAnsi="Times New Roman"/>
          <w:caps w:val="false"/>
          <w:smallCaps w:val="false"/>
          <w:sz w:val="20"/>
        </w:rPr>
        <w:t xml:space="preserve">, </w:t>
      </w:r>
      <w:r>
        <w:rPr>
          <w:rFonts w:ascii="Times New Roman" w:hAnsi="Times New Roman"/>
          <w:b/>
          <w:i/>
          <w:caps w:val="false"/>
          <w:smallCaps w:val="false"/>
          <w:sz w:val="20"/>
        </w:rPr>
        <w:t>7.13</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8.03(d)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9.14 </w:t>
      </w:r>
      <w:r>
        <w:rPr>
          <w:rFonts w:ascii="Times New Roman" w:hAnsi="Times New Roman"/>
          <w:caps w:val="false"/>
          <w:smallCaps w:val="false"/>
          <w:sz w:val="20"/>
        </w:rPr>
        <w:t xml:space="preserve">of this Agreement, the Holdings Guaranty or the Holdings Pledge Agreement shall be, directly or indirectly, amended, modified, supplemented or waived (whether pursuant to a consent or otherwise) in any manner that could reasonably be expected to result in a violation of the Laws or other activities prohibited by </w:t>
      </w:r>
      <w:r>
        <w:rPr>
          <w:rFonts w:ascii="Times New Roman" w:hAnsi="Times New Roman"/>
          <w:b/>
          <w:i/>
          <w:caps w:val="false"/>
          <w:smallCaps w:val="false"/>
          <w:sz w:val="20"/>
        </w:rPr>
        <w:t xml:space="preserve">Section 7.05 </w:t>
      </w:r>
      <w:r>
        <w:rPr>
          <w:rFonts w:ascii="Times New Roman" w:hAnsi="Times New Roman"/>
          <w:caps w:val="false"/>
          <w:smallCaps w:val="false"/>
          <w:sz w:val="20"/>
        </w:rPr>
        <w:t xml:space="preserve">without the consent of the Agents and the Required Lenders and (iii) </w:t>
      </w:r>
      <w:r>
        <w:rPr>
          <w:rFonts w:ascii="Times New Roman" w:hAnsi="Times New Roman"/>
          <w:b/>
          <w:i/>
          <w:caps w:val="false"/>
          <w:smallCaps w:val="false"/>
          <w:sz w:val="20"/>
        </w:rPr>
        <w:t xml:space="preserve">Section 9.15 </w:t>
      </w:r>
      <w:r>
        <w:rPr>
          <w:rFonts w:ascii="Times New Roman" w:hAnsi="Times New Roman"/>
          <w:caps w:val="false"/>
          <w:smallCaps w:val="false"/>
          <w:sz w:val="20"/>
        </w:rPr>
        <w:t xml:space="preserve">of this Agreement shall not be, directly or indirectly, amended, modified, supplemented or waived (whether pursuant to a consent or otherwise) without the consent of each Declining Party;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to the extent that a change in Law has occurred such that the Lenders accepting the benefits of any Holdings Related Remedial Actions would not result in the Lenders being in violation of any federal or state Laws regarding the restricted activities set forth in </w:t>
      </w:r>
      <w:r>
        <w:rPr>
          <w:rFonts w:ascii="Times New Roman" w:hAnsi="Times New Roman"/>
          <w:b/>
          <w:i/>
          <w:caps w:val="false"/>
          <w:smallCaps w:val="false"/>
          <w:sz w:val="20"/>
        </w:rPr>
        <w:t>Section 7.05</w:t>
      </w:r>
      <w:r>
        <w:rPr>
          <w:rFonts w:ascii="Times New Roman" w:hAnsi="Times New Roman"/>
          <w:caps w:val="false"/>
          <w:smallCaps w:val="false"/>
          <w:sz w:val="20"/>
        </w:rPr>
        <w:t>, the requirements of the foregoing clauses (c)(i) and (c)(ii) shall no longer apply.</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485"/>
        <w:gridCol w:w="435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11.02</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Notices; Effectiveness; Electronic Communications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Notices Generally</w:t>
      </w:r>
      <w:r>
        <w:rPr>
          <w:rFonts w:ascii="Times New Roman" w:hAnsi="Times New Roman"/>
          <w:caps w:val="false"/>
          <w:smallCaps w:val="false"/>
          <w:sz w:val="20"/>
        </w:rPr>
        <w:t xml:space="preserve">. Except in the case of notices and other communications expressly permitted to be given by telephone (and except as provided in </w:t>
      </w:r>
      <w:r>
        <w:rPr>
          <w:rFonts w:ascii="Times New Roman" w:hAnsi="Times New Roman"/>
          <w:b/>
          <w:i/>
          <w:caps w:val="false"/>
          <w:smallCaps w:val="false"/>
          <w:sz w:val="20"/>
        </w:rPr>
        <w:t xml:space="preserve">clause (b) </w:t>
      </w:r>
      <w:r>
        <w:rPr>
          <w:rFonts w:ascii="Times New Roman" w:hAnsi="Times New Roman"/>
          <w:caps w:val="false"/>
          <w:smallCaps w:val="false"/>
          <w:sz w:val="20"/>
        </w:rPr>
        <w:t>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if to any Loan Party, the Administrative Agent, the L/C Issuer or the Swingline Lender, to the address, fax number, e-mail address or telephone number specified for such Person on </w:t>
      </w:r>
      <w:r>
        <w:rPr>
          <w:rFonts w:ascii="Times New Roman" w:hAnsi="Times New Roman"/>
          <w:b/>
          <w:i/>
          <w:caps w:val="false"/>
          <w:smallCaps w:val="false"/>
          <w:sz w:val="20"/>
        </w:rPr>
        <w:t>Schedule 11.02</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Notices and other communications sent by hand or overnight courier service, or mailed by certified or registered mail, shall be deemed to have been given when received; notices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below shall be effective as provided in such </w:t>
      </w:r>
      <w:r>
        <w:rPr>
          <w:rFonts w:ascii="Times New Roman" w:hAnsi="Times New Roman"/>
          <w:b/>
          <w:i/>
          <w:caps w:val="false"/>
          <w:smallCaps w:val="false"/>
          <w:sz w:val="20"/>
        </w:rPr>
        <w:t>clause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Electronic Communications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foregoing shall not apply to notices to any Lender, the Swingline Lender or the L/C Issuer pursuant to </w:t>
      </w:r>
      <w:r>
        <w:rPr>
          <w:rFonts w:ascii="Times New Roman" w:hAnsi="Times New Roman"/>
          <w:b/>
          <w:i/>
          <w:caps w:val="false"/>
          <w:smallCaps w:val="false"/>
          <w:sz w:val="20"/>
        </w:rPr>
        <w:t xml:space="preserve">Article II </w:t>
      </w:r>
      <w:r>
        <w:rPr>
          <w:rFonts w:ascii="Times New Roman" w:hAnsi="Times New Roman"/>
          <w:caps w:val="false"/>
          <w:smallCaps w:val="false"/>
          <w:sz w:val="20"/>
        </w:rPr>
        <w:t xml:space="preserve">if such Lender, the Swingline Lender or the L/C Issuer, as applicable, has notified the Administrative Agent that it is incapable of receiving notices under such </w:t>
      </w:r>
      <w:r>
        <w:rPr>
          <w:rFonts w:ascii="Times New Roman" w:hAnsi="Times New Roman"/>
          <w:b/>
          <w:i/>
          <w:caps w:val="false"/>
          <w:smallCaps w:val="false"/>
          <w:sz w:val="20"/>
        </w:rPr>
        <w:t xml:space="preserve">Article II </w:t>
      </w:r>
      <w:r>
        <w:rPr>
          <w:rFonts w:ascii="Times New Roman" w:hAnsi="Times New Roman"/>
          <w:caps w:val="false"/>
          <w:smallCaps w:val="false"/>
          <w:sz w:val="20"/>
        </w:rPr>
        <w:t>by electronic communication. The Administrative Agent, the Swingline Lender, the L/C Issuer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Unless the Administrative Agent otherwise prescribes, (A) notices and other communications sent to an e-mail address shall be deemed received upon the sender’s receipt of an acknowledgement from the intended recipient (such as by the “</w:t>
      </w:r>
      <w:r>
        <w:rPr>
          <w:rFonts w:ascii="Times New Roman" w:hAnsi="Times New Roman"/>
          <w:i/>
          <w:caps w:val="false"/>
          <w:smallCaps w:val="false"/>
          <w:sz w:val="20"/>
        </w:rPr>
        <w:t>return receipt requested</w:t>
      </w:r>
      <w:r>
        <w:rPr>
          <w:rFonts w:ascii="Times New Roman" w:hAnsi="Times New Roman"/>
          <w:caps w:val="false"/>
          <w:smallCaps w:val="false"/>
          <w:sz w:val="20"/>
        </w:rPr>
        <w:t>” function, as available, return e-mail or other written acknowledgement)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(B) notices and other communications posted to an Internet or intranet website shall be deemed received by the intended recipient upon the sender’s receipt of an acknowledgement from the intended recipient (such as by the “</w:t>
      </w:r>
      <w:r>
        <w:rPr>
          <w:rFonts w:ascii="Times New Roman" w:hAnsi="Times New Roman"/>
          <w:i/>
          <w:caps w:val="false"/>
          <w:smallCaps w:val="false"/>
          <w:sz w:val="20"/>
        </w:rPr>
        <w:t>return receipt requested</w:t>
      </w:r>
      <w:r>
        <w:rPr>
          <w:rFonts w:ascii="Times New Roman" w:hAnsi="Times New Roman"/>
          <w:caps w:val="false"/>
          <w:smallCaps w:val="false"/>
          <w:sz w:val="20"/>
        </w:rPr>
        <w:t xml:space="preserve">” function, as available, return e-mail address or other written acknowledgement) indicating that such notice or communication is available and identifying the website address therefor;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for both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and </w:t>
      </w:r>
      <w:r>
        <w:rPr>
          <w:rFonts w:ascii="Times New Roman" w:hAnsi="Times New Roman"/>
          <w:b/>
          <w:i/>
          <w:caps w:val="false"/>
          <w:smallCaps w:val="false"/>
          <w:sz w:val="20"/>
        </w:rPr>
        <w:t>(B)</w:t>
      </w:r>
      <w:r>
        <w:rPr>
          <w:rFonts w:ascii="Times New Roman" w:hAnsi="Times New Roman"/>
          <w:caps w:val="false"/>
          <w:smallCaps w:val="false"/>
          <w:sz w:val="20"/>
        </w:rPr>
        <w:t>,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The Platform</w:t>
      </w:r>
      <w:r>
        <w:rPr>
          <w:rFonts w:ascii="Times New Roman" w:hAnsi="Times New Roman"/>
          <w:caps w:val="false"/>
          <w:smallCaps w:val="false"/>
          <w:sz w:val="20"/>
        </w:rPr>
        <w:t>. THE PLATFORM IS PROVIDED “</w:t>
      </w:r>
      <w:r>
        <w:rPr>
          <w:rFonts w:ascii="Times New Roman" w:hAnsi="Times New Roman"/>
          <w:i/>
          <w:caps w:val="false"/>
          <w:smallCaps w:val="false"/>
          <w:sz w:val="20"/>
        </w:rPr>
        <w:t>AS IS</w:t>
      </w:r>
      <w:r>
        <w:rPr>
          <w:rFonts w:ascii="Times New Roman" w:hAnsi="Times New Roman"/>
          <w:caps w:val="false"/>
          <w:smallCaps w:val="false"/>
          <w:sz w:val="20"/>
        </w:rPr>
        <w:t>” AND “</w:t>
      </w:r>
      <w:r>
        <w:rPr>
          <w:rFonts w:ascii="Times New Roman" w:hAnsi="Times New Roman"/>
          <w:i/>
          <w:caps w:val="false"/>
          <w:smallCaps w:val="false"/>
          <w:sz w:val="20"/>
        </w:rPr>
        <w:t>AS AVAILABLE.</w:t>
      </w:r>
      <w:r>
        <w:rPr>
          <w:rFonts w:ascii="Times New Roman" w:hAnsi="Times New Roman"/>
          <w:caps w:val="false"/>
          <w:smallCaps w:val="false"/>
          <w:sz w:val="20"/>
        </w:rPr>
        <w:t>”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MATERIALS OR THE PLATFORM. In no event shall the Administrative Agent or any of its Related Parties (collectively, the “</w:t>
      </w:r>
      <w:r>
        <w:rPr>
          <w:rFonts w:ascii="Times New Roman" w:hAnsi="Times New Roman"/>
          <w:b/>
          <w:i/>
          <w:caps w:val="false"/>
          <w:smallCaps w:val="false"/>
          <w:sz w:val="20"/>
        </w:rPr>
        <w:t>Agent Parties</w:t>
      </w:r>
      <w:r>
        <w:rPr>
          <w:rFonts w:ascii="Times New Roman" w:hAnsi="Times New Roman"/>
          <w:caps w:val="false"/>
          <w:smallCaps w:val="false"/>
          <w:sz w:val="20"/>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Change of Address, Etc</w:t>
      </w:r>
      <w:r>
        <w:rPr>
          <w:rFonts w:ascii="Times New Roman" w:hAnsi="Times New Roman"/>
          <w:caps w:val="false"/>
          <w:smallCaps w:val="false"/>
          <w:sz w:val="20"/>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w:t>
      </w:r>
      <w:r>
        <w:rPr>
          <w:rFonts w:ascii="Times New Roman" w:hAnsi="Times New Roman"/>
          <w:i/>
          <w:caps w:val="false"/>
          <w:smallCaps w:val="false"/>
          <w:sz w:val="20"/>
        </w:rPr>
        <w:t>Private Side Information</w:t>
      </w:r>
      <w:r>
        <w:rPr>
          <w:rFonts w:ascii="Times New Roman" w:hAnsi="Times New Roman"/>
          <w:caps w:val="false"/>
          <w:smallCaps w:val="false"/>
          <w:sz w:val="20"/>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Times New Roman" w:hAnsi="Times New Roman"/>
          <w:i/>
          <w:caps w:val="false"/>
          <w:smallCaps w:val="false"/>
          <w:sz w:val="20"/>
        </w:rPr>
        <w:t>Public Side Information</w:t>
      </w:r>
      <w:r>
        <w:rPr>
          <w:rFonts w:ascii="Times New Roman" w:hAnsi="Times New Roman"/>
          <w:caps w:val="false"/>
          <w:smallCaps w:val="false"/>
          <w:sz w:val="20"/>
        </w:rPr>
        <w:t>” portion of the Platform and that may contain material non-public information with respect to the Borrower or its securities for purposes of United States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Reliance by Administrative Agent, L/C Issuer and Lenders</w:t>
      </w:r>
      <w:r>
        <w:rPr>
          <w:rFonts w:ascii="Times New Roman" w:hAnsi="Times New Roman"/>
          <w:caps w:val="false"/>
          <w:smallCaps w:val="false"/>
          <w:sz w:val="20"/>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485"/>
        <w:gridCol w:w="414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11.03</w:t>
            </w:r>
          </w:p>
        </w:tc>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Waiver; Cumulative Remedies; Enforcement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b/>
          <w:i/>
          <w:caps w:val="false"/>
          <w:smallCaps w:val="false"/>
          <w:sz w:val="20"/>
        </w:rPr>
        <w:t xml:space="preserve">Section 8.02 </w:t>
      </w:r>
      <w:r>
        <w:rPr>
          <w:rFonts w:ascii="Times New Roman" w:hAnsi="Times New Roman"/>
          <w:caps w:val="false"/>
          <w:smallCaps w:val="false"/>
          <w:sz w:val="20"/>
        </w:rPr>
        <w:t xml:space="preserve">for the benefit of all the Lenders and the L/C Issuer;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foregoing shall not prohibit (a) the Administrative Agent from exercising on its own behalf the rights and remedies that inure to its benefit (solely in its capacity as Administrative Agent) hereunder and under the other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hAnsi="Times New Roman"/>
          <w:b/>
          <w:i/>
          <w:caps w:val="false"/>
          <w:smallCaps w:val="false"/>
          <w:sz w:val="20"/>
        </w:rPr>
        <w:t xml:space="preserve">Section 11.08 </w:t>
      </w:r>
      <w:r>
        <w:rPr>
          <w:rFonts w:ascii="Times New Roman" w:hAnsi="Times New Roman"/>
          <w:caps w:val="false"/>
          <w:smallCaps w:val="false"/>
          <w:sz w:val="20"/>
        </w:rPr>
        <w:t xml:space="preserve">(subject to the terms of </w:t>
      </w:r>
      <w:r>
        <w:rPr>
          <w:rFonts w:ascii="Times New Roman" w:hAnsi="Times New Roman"/>
          <w:b/>
          <w:i/>
          <w:caps w:val="false"/>
          <w:smallCaps w:val="false"/>
          <w:sz w:val="20"/>
        </w:rPr>
        <w:t>Section 2.13</w:t>
      </w:r>
      <w:r>
        <w:rPr>
          <w:rFonts w:ascii="Times New Roman" w:hAnsi="Times New Roman"/>
          <w:caps w:val="false"/>
          <w:smallCaps w:val="false"/>
          <w:sz w:val="20"/>
        </w:rPr>
        <w:t xml:space="preserve">),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b/>
          <w:i/>
          <w:caps w:val="false"/>
          <w:smallCaps w:val="false"/>
          <w:sz w:val="20"/>
        </w:rPr>
        <w:t xml:space="preserve">Section 8.02 </w:t>
      </w:r>
      <w:r>
        <w:rPr>
          <w:rFonts w:ascii="Times New Roman" w:hAnsi="Times New Roman"/>
          <w:caps w:val="false"/>
          <w:smallCaps w:val="false"/>
          <w:sz w:val="20"/>
        </w:rPr>
        <w:t xml:space="preserve">and (ii) in addition to the matters set forth in </w:t>
      </w:r>
      <w:r>
        <w:rPr>
          <w:rFonts w:ascii="Times New Roman" w:hAnsi="Times New Roman"/>
          <w:b/>
          <w:i/>
          <w:caps w:val="false"/>
          <w:smallCaps w:val="false"/>
          <w:sz w:val="20"/>
        </w:rPr>
        <w:t>clauses (b)</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(c)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(d) </w:t>
      </w:r>
      <w:r>
        <w:rPr>
          <w:rFonts w:ascii="Times New Roman" w:hAnsi="Times New Roman"/>
          <w:caps w:val="false"/>
          <w:smallCaps w:val="false"/>
          <w:sz w:val="20"/>
        </w:rPr>
        <w:t xml:space="preserve">of the preceding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and subject to </w:t>
      </w:r>
      <w:r>
        <w:rPr>
          <w:rFonts w:ascii="Times New Roman" w:hAnsi="Times New Roman"/>
          <w:b/>
          <w:i/>
          <w:caps w:val="false"/>
          <w:smallCaps w:val="false"/>
          <w:sz w:val="20"/>
        </w:rPr>
        <w:t>Section 2.13</w:t>
      </w:r>
      <w:r>
        <w:rPr>
          <w:rFonts w:ascii="Times New Roman" w:hAnsi="Times New Roman"/>
          <w:caps w:val="false"/>
          <w:smallCaps w:val="false"/>
          <w:sz w:val="20"/>
        </w:rPr>
        <w:t>, any Lender may, with the consent of the Required Lenders, enforce any rights and remedies available to it and as authorized by the Required Lenders.</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0"/>
        <w:gridCol w:w="485"/>
        <w:gridCol w:w="332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11.04</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Expenses; Indemnity; Damage Waiver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Costs and Expenses</w:t>
      </w:r>
      <w:r>
        <w:rPr>
          <w:rFonts w:ascii="Times New Roman" w:hAnsi="Times New Roman"/>
          <w:caps w:val="false"/>
          <w:smallCaps w:val="false"/>
          <w:sz w:val="20"/>
        </w:rPr>
        <w:t>. The Loan Parties shall pay (i) all reasonable out-of-pocket expenses incurred by the Administrative Agent and its Affiliates (including, but not limited to,</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the reasonable fees, charges and disbursements of one (1) counsel (and one (1) special counsel or one (1) local counsel in any relevant jurisdiction and, in the case of an actual or potential conflict of interest, one (1) additional counsel of each group of similarly situated affected persons subject to such conflict) for the Administrative Agent and its Affiliates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 (iii) 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w:t>
      </w:r>
      <w:r>
        <w:rPr>
          <w:rFonts w:ascii="Times New Roman" w:hAnsi="Times New Roman"/>
          <w:b/>
          <w:i/>
          <w:caps w:val="false"/>
          <w:smallCaps w:val="false"/>
          <w:sz w:val="20"/>
        </w:rPr>
        <w:t>Section 11.04</w:t>
      </w:r>
      <w:r>
        <w:rPr>
          <w:rFonts w:ascii="Times New Roman" w:hAnsi="Times New Roman"/>
          <w:caps w:val="false"/>
          <w:smallCaps w:val="false"/>
          <w:sz w:val="20"/>
        </w:rPr>
        <w:t>, or (B) in connection with Loans made or Letters of Credit issued hereunder, including all such out-of-pocket expenses incurred during any workout, restructuring or negotiations in respect of such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Indemnification by the Loan Parties</w:t>
      </w:r>
      <w:r>
        <w:rPr>
          <w:rFonts w:ascii="Times New Roman" w:hAnsi="Times New Roman"/>
          <w:caps w:val="false"/>
          <w:smallCaps w:val="false"/>
          <w:sz w:val="20"/>
        </w:rPr>
        <w:t>. The Loan Parties shall indemnify the Administrative Agent (and any sub-agent thereof), each Lender and the L/C Issuer, and each Related Party of any of the foregoing Persons (each such Person being called an “</w:t>
      </w:r>
      <w:r>
        <w:rPr>
          <w:rFonts w:ascii="Times New Roman" w:hAnsi="Times New Roman"/>
          <w:b/>
          <w:i/>
          <w:caps w:val="false"/>
          <w:smallCaps w:val="false"/>
          <w:sz w:val="20"/>
        </w:rPr>
        <w:t>Indemnitee</w:t>
      </w:r>
      <w:r>
        <w:rPr>
          <w:rFonts w:ascii="Times New Roman" w:hAnsi="Times New Roman"/>
          <w:caps w:val="false"/>
          <w:smallCaps w:val="false"/>
          <w:sz w:val="20"/>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hAnsi="Times New Roman"/>
          <w:b/>
          <w:i/>
          <w:caps w:val="false"/>
          <w:smallCaps w:val="false"/>
          <w:sz w:val="20"/>
        </w:rPr>
        <w:t>Section 3.01</w:t>
      </w:r>
      <w:r>
        <w:rPr>
          <w:rFonts w:ascii="Times New Roman" w:hAnsi="Times New Roman"/>
          <w:caps w:val="false"/>
          <w:smallCaps w:val="false"/>
          <w:sz w:val="20"/>
        </w:rPr>
        <w:t>), (ii) any Loan or Letter of Credit or the use or proposed use of the proceeds therefrom (including any refusal by the L/C Issuer to honor a demand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indemnity shall not, as to any Indemnitee, be available to the extent that such losses, claims, damages, liabilities or related expenses (y) determined by a court of competent jurisdiction, by a final and non-appealable judgment, to have resulted from (i) the gross negligence, bad faith or willful misconduct of such Indemnitee, or (ii) a material breach by such Indemnitee of its obligations under the Loan Documents or (z) arise from a dispute among Indemnitees that does not involve an act or omission by the Loan Parties or any of their respective Affiliates and that is brought by an Indemnitee against any other Indemnitee (other than in connection with a person acting in its capacity as the Administrative Agent or as Arranger), in each case, if such Loan Party has obtained a final and non-appealable judgment in its favor on such claim as determined by a court of competent jurisdiction. Without limiting the provisions of </w:t>
      </w:r>
      <w:r>
        <w:rPr>
          <w:rFonts w:ascii="Times New Roman" w:hAnsi="Times New Roman"/>
          <w:b/>
          <w:i/>
          <w:caps w:val="false"/>
          <w:smallCaps w:val="false"/>
          <w:sz w:val="20"/>
        </w:rPr>
        <w:t>Section 3.01(c)</w:t>
      </w:r>
      <w:r>
        <w:rPr>
          <w:rFonts w:ascii="Times New Roman" w:hAnsi="Times New Roman"/>
          <w:caps w:val="false"/>
          <w:smallCaps w:val="false"/>
          <w:sz w:val="20"/>
        </w:rPr>
        <w:t xml:space="preserve">, this </w:t>
      </w:r>
      <w:r>
        <w:rPr>
          <w:rFonts w:ascii="Times New Roman" w:hAnsi="Times New Roman"/>
          <w:b/>
          <w:i/>
          <w:caps w:val="false"/>
          <w:smallCaps w:val="false"/>
          <w:sz w:val="20"/>
        </w:rPr>
        <w:t xml:space="preserve">Section 11.04(b) </w:t>
      </w:r>
      <w:r>
        <w:rPr>
          <w:rFonts w:ascii="Times New Roman" w:hAnsi="Times New Roman"/>
          <w:caps w:val="false"/>
          <w:smallCaps w:val="false"/>
          <w:sz w:val="20"/>
        </w:rPr>
        <w:t>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Reimbursement by Lenders</w:t>
      </w:r>
      <w:r>
        <w:rPr>
          <w:rFonts w:ascii="Times New Roman" w:hAnsi="Times New Roman"/>
          <w:caps w:val="false"/>
          <w:smallCaps w:val="false"/>
          <w:sz w:val="20"/>
        </w:rPr>
        <w:t xml:space="preserve">. To the extent that the Loan Parties for any reason fail to indefeasibly pay any amount required under </w:t>
      </w:r>
      <w:r>
        <w:rPr>
          <w:rFonts w:ascii="Times New Roman" w:hAnsi="Times New Roman"/>
          <w:b/>
          <w:i/>
          <w:caps w:val="false"/>
          <w:smallCaps w:val="false"/>
          <w:sz w:val="20"/>
        </w:rPr>
        <w:t xml:space="preserve">clauses (a) </w:t>
      </w:r>
      <w:r>
        <w:rPr>
          <w:rFonts w:ascii="Times New Roman" w:hAnsi="Times New Roman"/>
          <w:caps w:val="false"/>
          <w:smallCaps w:val="false"/>
          <w:sz w:val="20"/>
        </w:rPr>
        <w:t xml:space="preserve">or </w:t>
      </w:r>
      <w:r>
        <w:rPr>
          <w:rFonts w:ascii="Times New Roman" w:hAnsi="Times New Roman"/>
          <w:b/>
          <w:i/>
          <w:caps w:val="false"/>
          <w:smallCaps w:val="false"/>
          <w:sz w:val="20"/>
        </w:rPr>
        <w:t xml:space="preserve">(b)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11.04 </w:t>
      </w:r>
      <w:r>
        <w:rPr>
          <w:rFonts w:ascii="Times New Roman" w:hAnsi="Times New Roman"/>
          <w:caps w:val="false"/>
          <w:smallCaps w:val="false"/>
          <w:sz w:val="20"/>
        </w:rPr>
        <w:t xml:space="preserve">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hAnsi="Times New Roman"/>
          <w:b/>
          <w:i/>
          <w:caps w:val="false"/>
          <w:smallCaps w:val="false"/>
          <w:sz w:val="20"/>
        </w:rPr>
        <w:t xml:space="preserve">clause (c) </w:t>
      </w:r>
      <w:r>
        <w:rPr>
          <w:rFonts w:ascii="Times New Roman" w:hAnsi="Times New Roman"/>
          <w:caps w:val="false"/>
          <w:smallCaps w:val="false"/>
          <w:sz w:val="20"/>
        </w:rPr>
        <w:t xml:space="preserve">are subject to the provisions of </w:t>
      </w:r>
      <w:r>
        <w:rPr>
          <w:rFonts w:ascii="Times New Roman" w:hAnsi="Times New Roman"/>
          <w:b/>
          <w:i/>
          <w:caps w:val="false"/>
          <w:smallCaps w:val="false"/>
          <w:sz w:val="20"/>
        </w:rPr>
        <w:t>Section 2.12(d)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Waiver of Consequential Damages, Etc</w:t>
      </w:r>
      <w:r>
        <w:rPr>
          <w:rFonts w:ascii="Times New Roman" w:hAnsi="Times New Roman"/>
          <w:caps w:val="false"/>
          <w:smallCaps w:val="false"/>
          <w:sz w:val="20"/>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hAnsi="Times New Roman"/>
          <w:b/>
          <w:i/>
          <w:caps w:val="false"/>
          <w:smallCaps w:val="false"/>
          <w:sz w:val="20"/>
        </w:rPr>
        <w:t xml:space="preserve">clause (b) </w:t>
      </w:r>
      <w:r>
        <w:rPr>
          <w:rFonts w:ascii="Times New Roman" w:hAnsi="Times New Roman"/>
          <w:caps w:val="false"/>
          <w:smallCaps w:val="false"/>
          <w:sz w:val="20"/>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Payments</w:t>
      </w:r>
      <w:r>
        <w:rPr>
          <w:rFonts w:ascii="Times New Roman" w:hAnsi="Times New Roman"/>
          <w:caps w:val="false"/>
          <w:smallCaps w:val="false"/>
          <w:sz w:val="20"/>
        </w:rPr>
        <w:t xml:space="preserve">. All amounts due under this </w:t>
      </w:r>
      <w:r>
        <w:rPr>
          <w:rFonts w:ascii="Times New Roman" w:hAnsi="Times New Roman"/>
          <w:b/>
          <w:i/>
          <w:caps w:val="false"/>
          <w:smallCaps w:val="false"/>
          <w:sz w:val="20"/>
        </w:rPr>
        <w:t xml:space="preserve">Section 11.04 </w:t>
      </w:r>
      <w:r>
        <w:rPr>
          <w:rFonts w:ascii="Times New Roman" w:hAnsi="Times New Roman"/>
          <w:caps w:val="false"/>
          <w:smallCaps w:val="false"/>
          <w:sz w:val="20"/>
        </w:rPr>
        <w:t>shall be payable not later than ten (10) Business Days after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Survival</w:t>
      </w:r>
      <w:r>
        <w:rPr>
          <w:rFonts w:ascii="Times New Roman" w:hAnsi="Times New Roman"/>
          <w:caps w:val="false"/>
          <w:smallCaps w:val="false"/>
          <w:sz w:val="20"/>
        </w:rPr>
        <w:t xml:space="preserve">. The agreements in this </w:t>
      </w:r>
      <w:r>
        <w:rPr>
          <w:rFonts w:ascii="Times New Roman" w:hAnsi="Times New Roman"/>
          <w:b/>
          <w:i/>
          <w:caps w:val="false"/>
          <w:smallCaps w:val="false"/>
          <w:sz w:val="20"/>
        </w:rPr>
        <w:t xml:space="preserve">Section 11.04 </w:t>
      </w:r>
      <w:r>
        <w:rPr>
          <w:rFonts w:ascii="Times New Roman" w:hAnsi="Times New Roman"/>
          <w:caps w:val="false"/>
          <w:smallCaps w:val="false"/>
          <w:sz w:val="20"/>
        </w:rPr>
        <w:t xml:space="preserve">and the indemnity provisions of </w:t>
      </w:r>
      <w:r>
        <w:rPr>
          <w:rFonts w:ascii="Times New Roman" w:hAnsi="Times New Roman"/>
          <w:b/>
          <w:i/>
          <w:caps w:val="false"/>
          <w:smallCaps w:val="false"/>
          <w:sz w:val="20"/>
        </w:rPr>
        <w:t xml:space="preserve">Section 11.02(e) </w:t>
      </w:r>
      <w:r>
        <w:rPr>
          <w:rFonts w:ascii="Times New Roman" w:hAnsi="Times New Roman"/>
          <w:caps w:val="false"/>
          <w:smallCaps w:val="false"/>
          <w:sz w:val="20"/>
        </w:rPr>
        <w:t>shall survive the resignation of the Administrative Agent, the L/C Issuer and the Swingline Lender, the replacement of any Lender, the termination of the Commitments and the repayment, satisfaction or discharge of all the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11.05    </w:t>
      </w:r>
      <w:r>
        <w:rPr>
          <w:rFonts w:ascii="Times New Roman" w:hAnsi="Times New Roman"/>
          <w:b/>
          <w:caps w:val="false"/>
          <w:smallCaps w:val="false"/>
          <w:sz w:val="20"/>
        </w:rPr>
        <w:t>Payments Set Aside</w:t>
      </w:r>
      <w:r>
        <w:rPr>
          <w:rFonts w:ascii="Times New Roman" w:hAnsi="Times New Roman"/>
          <w:caps w:val="false"/>
          <w:smallCaps w:val="false"/>
          <w:sz w:val="20"/>
        </w:rPr>
        <w:t xml:space="preserve">. 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interest thereon from the date of such demand to the date such payment is made at a rate </w:t>
      </w:r>
      <w:r>
        <w:rPr>
          <w:rFonts w:ascii="Times New Roman" w:hAnsi="Times New Roman"/>
          <w:i/>
          <w:caps w:val="false"/>
          <w:smallCaps w:val="false"/>
          <w:sz w:val="20"/>
        </w:rPr>
        <w:t xml:space="preserve">per annum </w:t>
      </w:r>
      <w:r>
        <w:rPr>
          <w:rFonts w:ascii="Times New Roman" w:hAnsi="Times New Roman"/>
          <w:caps w:val="false"/>
          <w:smallCaps w:val="false"/>
          <w:sz w:val="20"/>
        </w:rPr>
        <w:t xml:space="preserve">equal to the Federal Funds Rate from time to time in effect. The obligations of the Lenders and the L/C Issuer under </w:t>
      </w:r>
      <w:r>
        <w:rPr>
          <w:rFonts w:ascii="Times New Roman" w:hAnsi="Times New Roman"/>
          <w:b/>
          <w:i/>
          <w:caps w:val="false"/>
          <w:smallCaps w:val="false"/>
          <w:sz w:val="20"/>
        </w:rPr>
        <w:t xml:space="preserve">clause (b) </w:t>
      </w:r>
      <w:r>
        <w:rPr>
          <w:rFonts w:ascii="Times New Roman" w:hAnsi="Times New Roman"/>
          <w:caps w:val="false"/>
          <w:smallCaps w:val="false"/>
          <w:sz w:val="20"/>
        </w:rPr>
        <w:t>of the preceding sentence shall survive the payment in full of the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485"/>
        <w:gridCol w:w="200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11.06</w:t>
            </w:r>
          </w:p>
        </w:tc>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Successors and Assigns Generally</w:t>
      </w:r>
      <w:r>
        <w:rPr>
          <w:rFonts w:ascii="Times New Roman" w:hAnsi="Times New Roman"/>
          <w:caps w:val="false"/>
          <w:smallCaps w:val="false"/>
          <w:sz w:val="20"/>
        </w:rPr>
        <w:t xml:space="preserve">. The provisions of this Agreement and the other Loan Documents shall be binding upon and inure to the benefit of the parties hereto and thereto and their respective successors and assigns permitted hereby, except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b/>
          <w:i/>
          <w:caps w:val="false"/>
          <w:smallCaps w:val="false"/>
          <w:sz w:val="20"/>
        </w:rPr>
        <w:t>Section 11.06(b)</w:t>
      </w:r>
      <w:r>
        <w:rPr>
          <w:rFonts w:ascii="Times New Roman" w:hAnsi="Times New Roman"/>
          <w:caps w:val="false"/>
          <w:smallCaps w:val="false"/>
          <w:sz w:val="20"/>
        </w:rPr>
        <w:t xml:space="preserve">, (ii) by way of participation in accordance with the provisions of </w:t>
      </w:r>
      <w:r>
        <w:rPr>
          <w:rFonts w:ascii="Times New Roman" w:hAnsi="Times New Roman"/>
          <w:b/>
          <w:i/>
          <w:caps w:val="false"/>
          <w:smallCaps w:val="false"/>
          <w:sz w:val="20"/>
        </w:rPr>
        <w:t>Section 11.06(d)</w:t>
      </w:r>
      <w:r>
        <w:rPr>
          <w:rFonts w:ascii="Times New Roman" w:hAnsi="Times New Roman"/>
          <w:caps w:val="false"/>
          <w:smallCaps w:val="false"/>
          <w:sz w:val="20"/>
        </w:rPr>
        <w:t xml:space="preserve">, or (iii) by way of pledge or assignment of a security interest subject to the restrictions of </w:t>
      </w:r>
      <w:r>
        <w:rPr>
          <w:rFonts w:ascii="Times New Roman" w:hAnsi="Times New Roman"/>
          <w:b/>
          <w:i/>
          <w:caps w:val="false"/>
          <w:smallCaps w:val="false"/>
          <w:sz w:val="20"/>
        </w:rPr>
        <w:t xml:space="preserve">Section 11.06(e) </w:t>
      </w:r>
      <w:r>
        <w:rPr>
          <w:rFonts w:ascii="Times New Roman" w:hAnsi="Times New Roman"/>
          <w:caps w:val="false"/>
          <w:smallCaps w:val="false"/>
          <w:sz w:val="20"/>
        </w:rPr>
        <w:t xml:space="preserve">(and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b/>
          <w:i/>
          <w:caps w:val="false"/>
          <w:smallCaps w:val="false"/>
          <w:sz w:val="20"/>
        </w:rPr>
        <w:t xml:space="preserve">Section 11.06(d) </w:t>
      </w:r>
      <w:r>
        <w:rPr>
          <w:rFonts w:ascii="Times New Roman" w:hAnsi="Times New Roman"/>
          <w:caps w:val="false"/>
          <w:smallCaps w:val="false"/>
          <w:sz w:val="20"/>
        </w:rPr>
        <w:t>and, to the extent expressly contemplated hereby, the Related Parties of each of the Administrative Agent, the L/C Issuer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Assignments by Lenders</w:t>
      </w:r>
      <w:r>
        <w:rPr>
          <w:rFonts w:ascii="Times New Roman" w:hAnsi="Times New Roman"/>
          <w:caps w:val="false"/>
          <w:smallCaps w:val="false"/>
          <w:sz w:val="20"/>
        </w:rPr>
        <w:t xml:space="preserve">. Any Lender may at any time assign to one (1) or more assignees all or a portion of its rights and obligations under this Agreement and the other Loan Documents (including all or a portion of its Commitment(s) and the Loans (including for purposes of this </w:t>
      </w:r>
      <w:r>
        <w:rPr>
          <w:rFonts w:ascii="Times New Roman" w:hAnsi="Times New Roman"/>
          <w:b/>
          <w:i/>
          <w:caps w:val="false"/>
          <w:smallCaps w:val="false"/>
          <w:sz w:val="20"/>
        </w:rPr>
        <w:t>clause (b)</w:t>
      </w:r>
      <w:r>
        <w:rPr>
          <w:rFonts w:ascii="Times New Roman" w:hAnsi="Times New Roman"/>
          <w:caps w:val="false"/>
          <w:smallCaps w:val="false"/>
          <w:sz w:val="20"/>
        </w:rPr>
        <w:t xml:space="preserve">, participations in L/C Obligations and in Swingline Loans) at the time owing to it); </w:t>
      </w:r>
      <w:r>
        <w:rPr>
          <w:rFonts w:ascii="Times New Roman" w:hAnsi="Times New Roman"/>
          <w:i/>
          <w:caps w:val="false"/>
          <w:smallCaps w:val="false"/>
          <w:sz w:val="20"/>
        </w:rPr>
        <w:t xml:space="preserve">provided </w:t>
      </w:r>
      <w:r>
        <w:rPr>
          <w:rFonts w:ascii="Times New Roman" w:hAnsi="Times New Roman"/>
          <w:caps w:val="false"/>
          <w:smallCaps w:val="false"/>
          <w:sz w:val="20"/>
        </w:rPr>
        <w:t>that (in each case with respect to any Facility) any such assignment shall be subject to the following conditions:</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200"/>
        <w:gridCol w:w="17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Minimum Amounts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hAnsi="Times New Roman"/>
          <w:b/>
          <w:i/>
          <w:caps w:val="false"/>
          <w:smallCaps w:val="false"/>
          <w:sz w:val="20"/>
        </w:rPr>
        <w:t xml:space="preserve">clause (b)(i)(B)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11.06 </w:t>
      </w:r>
      <w:r>
        <w:rPr>
          <w:rFonts w:ascii="Times New Roman" w:hAnsi="Times New Roman"/>
          <w:caps w:val="false"/>
          <w:smallCaps w:val="false"/>
          <w:sz w:val="20"/>
        </w:rPr>
        <w:t>in the aggregate or in the case of an assignment to a Lender, an Affiliate of a Lender or an Approved Fund, no minimum amount need be assigned;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 any case not described in </w:t>
      </w:r>
      <w:r>
        <w:rPr>
          <w:rFonts w:ascii="Times New Roman" w:hAnsi="Times New Roman"/>
          <w:b/>
          <w:i/>
          <w:caps w:val="false"/>
          <w:smallCaps w:val="false"/>
          <w:sz w:val="20"/>
        </w:rPr>
        <w:t xml:space="preserve">clause (b)(i)(A)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11.06</w:t>
      </w:r>
      <w:r>
        <w:rPr>
          <w:rFonts w:ascii="Times New Roman" w:hAnsi="Times New Roman"/>
          <w:caps w:val="false"/>
          <w:smallCaps w:val="false"/>
          <w:sz w:val="20"/>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hAnsi="Times New Roman"/>
          <w:i/>
          <w:caps w:val="false"/>
          <w:smallCaps w:val="false"/>
          <w:sz w:val="20"/>
        </w:rPr>
        <w:t>Trade Date</w:t>
      </w:r>
      <w:r>
        <w:rPr>
          <w:rFonts w:ascii="Times New Roman" w:hAnsi="Times New Roman"/>
          <w:caps w:val="false"/>
          <w:smallCaps w:val="false"/>
          <w:sz w:val="20"/>
        </w:rPr>
        <w:t>” is specified in the Assignment and Assumption, as of the Trade Date, shall not be less than $1,000,000, in the case of any assignment in respect of the Revolving Facility, or $1,000,000, in the case of any assignment in respect of the Term Facility, unless each of the Administrative Agent and, so long as no Event of Default has occurred and is continuing, the Borrower otherwise consents (each such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rPr>
        <w:t>Proportionate Amounts</w:t>
      </w:r>
      <w:r>
        <w:rPr>
          <w:rFonts w:ascii="Times New Roman" w:hAnsi="Times New Roman"/>
          <w:caps w:val="false"/>
          <w:smallCaps w:val="false"/>
          <w:sz w:val="20"/>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 w:hAnsi="Times New Roman"/>
          <w:b/>
          <w:i/>
          <w:caps w:val="false"/>
          <w:smallCaps w:val="false"/>
          <w:sz w:val="20"/>
        </w:rPr>
        <w:t xml:space="preserve">clause (b)(ii) </w:t>
      </w:r>
      <w:r>
        <w:rPr>
          <w:rFonts w:ascii="Times New Roman" w:hAnsi="Times New Roman"/>
          <w:caps w:val="false"/>
          <w:smallCaps w:val="false"/>
          <w:sz w:val="20"/>
        </w:rPr>
        <w:t>shall not (A) apply to the Swingline Lender’s rights and obligations in respect of Swingline Loans or (B) prohibit any Lender from assigning all or a portion of its rights and obligations among separate Facilities on a non-</w:t>
      </w:r>
      <w:r>
        <w:rPr>
          <w:rFonts w:ascii="Times New Roman" w:hAnsi="Times New Roman"/>
          <w:i/>
          <w:caps w:val="false"/>
          <w:smallCaps w:val="false"/>
          <w:sz w:val="20"/>
        </w:rPr>
        <w:t xml:space="preserve">pro rata </w:t>
      </w:r>
      <w:r>
        <w:rPr>
          <w:rFonts w:ascii="Times New Roman" w:hAnsi="Times New Roman"/>
          <w:caps w:val="false"/>
          <w:smallCaps w:val="false"/>
          <w:sz w:val="20"/>
        </w:rPr>
        <w:t>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b/>
          <w:caps w:val="false"/>
          <w:smallCaps w:val="false"/>
          <w:sz w:val="20"/>
        </w:rPr>
        <w:t>Required Consents</w:t>
      </w:r>
      <w:r>
        <w:rPr>
          <w:rFonts w:ascii="Times New Roman" w:hAnsi="Times New Roman"/>
          <w:caps w:val="false"/>
          <w:smallCaps w:val="false"/>
          <w:sz w:val="20"/>
        </w:rPr>
        <w:t xml:space="preserve">. No consent shall be required for any assignment except to the extent required by </w:t>
      </w:r>
      <w:r>
        <w:rPr>
          <w:rFonts w:ascii="Times New Roman" w:hAnsi="Times New Roman"/>
          <w:b/>
          <w:i/>
          <w:caps w:val="false"/>
          <w:smallCaps w:val="false"/>
          <w:sz w:val="20"/>
        </w:rPr>
        <w:t xml:space="preserve">clause (b)(i)(B)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11.06 </w:t>
      </w:r>
      <w:r>
        <w:rPr>
          <w:rFonts w:ascii="Times New Roman" w:hAnsi="Times New Roman"/>
          <w:caps w:val="false"/>
          <w:smallCaps w:val="false"/>
          <w:sz w:val="20"/>
        </w:rPr>
        <w:t>and,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Borrower shall be deemed to have consented to any such assignment unless it shall object thereto by written notice to the Administrative Agent within five (5) Business Days after having received notice thereof; and provided, further, that the Borrower’s consent shall not be required during the primary syndication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(B)    the consent of the Administrative Agent (such consent not to be unreasonably withheld or delayed) shall be required for assignments in respect of</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(1) any unfunded Delayed Draw Term Loan Commitment or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firstLine="720"/>
        <w:jc w:val="left"/>
        <w:rPr>
          <w:rFonts w:ascii="Times New Roman" w:hAnsi="Times New Roman"/>
          <w:caps w:val="false"/>
          <w:smallCaps w:val="false"/>
          <w:sz w:val="20"/>
        </w:rPr>
      </w:pPr>
      <w:r>
        <w:rPr>
          <w:rFonts w:ascii="Times New Roman" w:hAnsi="Times New Roman"/>
          <w:caps w:val="false"/>
          <w:smallCaps w:val="false"/>
          <w:sz w:val="20"/>
        </w:rPr>
        <w:t>(C)    the consent of the L/C Issuer and the Swingline Lender shall be required for any assignment in respect of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rPr>
        <w:t>Assignment and Assumption</w:t>
      </w:r>
      <w:r>
        <w:rPr>
          <w:rFonts w:ascii="Times New Roman" w:hAnsi="Times New Roman"/>
          <w:caps w:val="false"/>
          <w:smallCaps w:val="false"/>
          <w:sz w:val="20"/>
        </w:rPr>
        <w:t xml:space="preserve">. The parties to each assignment shall execute and deliver to the Administrative Agent an Assignment and Assumption, together with a processing and recordation fee in the amount of $3,500;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245"/>
        <w:gridCol w:w="57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5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Assignment to Certain Persons</w:t>
            </w:r>
            <w:r>
              <w:rPr>
                <w:rFonts w:ascii="Times New Roman" w:hAnsi="Times New Roman"/>
                <w:caps w:val="false"/>
                <w:smallCaps w:val="false"/>
                <w:sz w:val="20"/>
              </w:rPr>
              <w:t>. No such assignment shall be made</w:t>
            </w:r>
          </w:p>
        </w:tc>
      </w:tr>
    </w:tbl>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hAnsi="Times New Roman"/>
          <w:b/>
          <w:i/>
          <w:caps w:val="false"/>
          <w:smallCaps w:val="false"/>
          <w:sz w:val="20"/>
        </w:rPr>
        <w:t>clause (B)</w:t>
      </w:r>
      <w:r>
        <w:rPr>
          <w:rFonts w:ascii="Times New Roman" w:hAnsi="Times New Roman"/>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(C) to a natural Person (or a holding company, investment vehicle or trust for, or owned and operated by or for the primary benefit of one (1) or more natural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b/>
          <w:caps w:val="false"/>
          <w:smallCaps w:val="false"/>
          <w:sz w:val="20"/>
        </w:rPr>
        <w:t>Certain Additional Payments</w:t>
      </w:r>
      <w:r>
        <w:rPr>
          <w:rFonts w:ascii="Times New Roman" w:hAnsi="Times New Roman"/>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w:t>
      </w:r>
      <w:r>
        <w:rPr>
          <w:rFonts w:ascii="Times New Roman" w:hAnsi="Times New Roman"/>
          <w:i/>
          <w:caps w:val="false"/>
          <w:smallCaps w:val="false"/>
          <w:sz w:val="20"/>
        </w:rPr>
        <w:t xml:space="preserve">pro rata </w:t>
      </w:r>
      <w:r>
        <w:rPr>
          <w:rFonts w:ascii="Times New Roman" w:hAnsi="Times New Roman"/>
          <w:caps w:val="false"/>
          <w:smallCaps w:val="false"/>
          <w:sz w:val="20"/>
        </w:rPr>
        <w:t xml:space="preserve">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hAnsi="Times New Roman"/>
          <w:b/>
          <w:i/>
          <w:caps w:val="false"/>
          <w:smallCaps w:val="false"/>
          <w:sz w:val="20"/>
        </w:rPr>
        <w:t>clause (b)(vi)</w:t>
      </w:r>
      <w:r>
        <w:rPr>
          <w:rFonts w:ascii="Times New Roman" w:hAnsi="Times New Roman"/>
          <w:caps w:val="false"/>
          <w:smallCaps w:val="false"/>
          <w:sz w:val="20"/>
        </w:rPr>
        <w:t>,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(vii)    Subject to acceptance and recording thereof by the Administrative Agent pursuant to </w:t>
      </w:r>
      <w:r>
        <w:rPr>
          <w:rFonts w:ascii="Times New Roman" w:hAnsi="Times New Roman"/>
          <w:b/>
          <w:i/>
          <w:caps w:val="false"/>
          <w:smallCaps w:val="false"/>
          <w:sz w:val="20"/>
        </w:rPr>
        <w:t>Section 11.06(c)</w:t>
      </w:r>
      <w:r>
        <w:rPr>
          <w:rFonts w:ascii="Times New Roman" w:hAnsi="Times New Roman"/>
          <w:caps w:val="false"/>
          <w:smallCaps w:val="false"/>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b/>
          <w:i/>
          <w:caps w:val="false"/>
          <w:smallCaps w:val="false"/>
          <w:sz w:val="20"/>
        </w:rPr>
        <w:t>Sections 3.01</w:t>
      </w:r>
      <w:r>
        <w:rPr>
          <w:rFonts w:ascii="Times New Roman" w:hAnsi="Times New Roman"/>
          <w:caps w:val="false"/>
          <w:smallCaps w:val="false"/>
          <w:sz w:val="20"/>
        </w:rPr>
        <w:t xml:space="preserve">, </w:t>
      </w:r>
      <w:r>
        <w:rPr>
          <w:rFonts w:ascii="Times New Roman" w:hAnsi="Times New Roman"/>
          <w:b/>
          <w:i/>
          <w:caps w:val="false"/>
          <w:smallCaps w:val="false"/>
          <w:sz w:val="20"/>
        </w:rPr>
        <w:t>3.04</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3.05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11.04 </w:t>
      </w:r>
      <w:r>
        <w:rPr>
          <w:rFonts w:ascii="Times New Roman" w:hAnsi="Times New Roman"/>
          <w:caps w:val="false"/>
          <w:smallCaps w:val="false"/>
          <w:sz w:val="20"/>
        </w:rPr>
        <w:t xml:space="preserve">with respect to facts and circumstances occurring prior to the effective date of such assignment); </w:t>
      </w:r>
      <w:r>
        <w:rPr>
          <w:rFonts w:ascii="Times New Roman" w:hAnsi="Times New Roman"/>
          <w:i/>
          <w:caps w:val="false"/>
          <w:smallCaps w:val="false"/>
          <w:sz w:val="20"/>
        </w:rPr>
        <w:t>provided</w:t>
      </w:r>
      <w:r>
        <w:rPr>
          <w:rFonts w:ascii="Times New Roman" w:hAnsi="Times New Roman"/>
          <w:caps w:val="false"/>
          <w:smallCaps w:val="false"/>
          <w:sz w:val="20"/>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Lender of rights or obligations under this Agreement that does not comply with this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shall be treated for purposes of this Agreement as a sale by such Lender of a participation in such rights and obligations in accordance with </w:t>
      </w:r>
      <w:r>
        <w:rPr>
          <w:rFonts w:ascii="Times New Roman" w:hAnsi="Times New Roman"/>
          <w:b/>
          <w:i/>
          <w:caps w:val="false"/>
          <w:smallCaps w:val="false"/>
          <w:sz w:val="20"/>
        </w:rPr>
        <w:t>Section 11.06(d)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Register</w:t>
      </w:r>
      <w:r>
        <w:rPr>
          <w:rFonts w:ascii="Times New Roman" w:hAnsi="Times New Roman"/>
          <w:caps w:val="false"/>
          <w:smallCaps w:val="false"/>
          <w:sz w:val="20"/>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hAnsi="Times New Roman"/>
          <w:b/>
          <w:i/>
          <w:caps w:val="false"/>
          <w:smallCaps w:val="false"/>
          <w:sz w:val="20"/>
        </w:rPr>
        <w:t>Register</w:t>
      </w:r>
      <w:r>
        <w:rPr>
          <w:rFonts w:ascii="Times New Roman" w:hAnsi="Times New Roman"/>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245"/>
        <w:gridCol w:w="12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Participations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Any Lender may at any time, without the consent of, or notice to, the Borrower or the Administrative Agent, sell participations to any Person (other than a natural Person, or a holding company, investment vehicle or trust for, or owned and operated for the primary benefit of one (1) or more natural Persons, a Defaulting Lender or the Borrower or any of the Borrower’s Affiliates or Subsidiaries) (each, a “</w:t>
      </w:r>
      <w:r>
        <w:rPr>
          <w:rFonts w:ascii="Times New Roman" w:hAnsi="Times New Roman"/>
          <w:b/>
          <w:i/>
          <w:caps w:val="false"/>
          <w:smallCaps w:val="false"/>
          <w:sz w:val="20"/>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hAnsi="Times New Roman"/>
          <w:i/>
          <w:caps w:val="false"/>
          <w:smallCaps w:val="false"/>
          <w:sz w:val="20"/>
        </w:rPr>
        <w:t xml:space="preserve">provided </w:t>
      </w:r>
      <w:r>
        <w:rPr>
          <w:rFonts w:ascii="Times New Roman" w:hAnsi="Times New Roman"/>
          <w:caps w:val="false"/>
          <w:smallCaps w:val="false"/>
          <w:sz w:val="20"/>
        </w:rPr>
        <w:t>that</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b/>
          <w:i/>
          <w:caps w:val="false"/>
          <w:smallCaps w:val="false"/>
          <w:sz w:val="20"/>
        </w:rPr>
        <w:t xml:space="preserve">Section 11.04(c) </w:t>
      </w:r>
      <w:r>
        <w:rPr>
          <w:rFonts w:ascii="Times New Roman" w:hAnsi="Times New Roman"/>
          <w:caps w:val="false"/>
          <w:smallCaps w:val="false"/>
          <w:sz w:val="20"/>
        </w:rPr>
        <w:t>without regard to the existence of any participations.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agreement or instrument may provide that such Lender will not, without the consent of the Participant, agree to any amendment, waiver or other modification described in the first </w:t>
      </w:r>
      <w:r>
        <w:rPr>
          <w:rFonts w:ascii="Times New Roman" w:hAnsi="Times New Roman"/>
          <w:i/>
          <w:caps w:val="false"/>
          <w:smallCaps w:val="false"/>
          <w:sz w:val="20"/>
        </w:rPr>
        <w:t xml:space="preserve">proviso </w:t>
      </w:r>
      <w:r>
        <w:rPr>
          <w:rFonts w:ascii="Times New Roman" w:hAnsi="Times New Roman"/>
          <w:caps w:val="false"/>
          <w:smallCaps w:val="false"/>
          <w:sz w:val="20"/>
        </w:rPr>
        <w:t xml:space="preserve">to </w:t>
      </w:r>
      <w:r>
        <w:rPr>
          <w:rFonts w:ascii="Times New Roman" w:hAnsi="Times New Roman"/>
          <w:b/>
          <w:i/>
          <w:caps w:val="false"/>
          <w:smallCaps w:val="false"/>
          <w:sz w:val="20"/>
        </w:rPr>
        <w:t xml:space="preserve">Section 11.01 </w:t>
      </w:r>
      <w:r>
        <w:rPr>
          <w:rFonts w:ascii="Times New Roman" w:hAnsi="Times New Roman"/>
          <w:caps w:val="false"/>
          <w:smallCaps w:val="false"/>
          <w:sz w:val="20"/>
        </w:rPr>
        <w:t xml:space="preserve">that affects such Participant. The Borrower agrees that each Participant shall be entitled to the benefits of </w:t>
      </w:r>
      <w:r>
        <w:rPr>
          <w:rFonts w:ascii="Times New Roman" w:hAnsi="Times New Roman"/>
          <w:b/>
          <w:i/>
          <w:caps w:val="false"/>
          <w:smallCaps w:val="false"/>
          <w:sz w:val="20"/>
        </w:rPr>
        <w:t>Sections 3.01</w:t>
      </w:r>
      <w:r>
        <w:rPr>
          <w:rFonts w:ascii="Times New Roman" w:hAnsi="Times New Roman"/>
          <w:caps w:val="false"/>
          <w:smallCaps w:val="false"/>
          <w:sz w:val="20"/>
        </w:rPr>
        <w:t>,</w:t>
      </w:r>
    </w:p>
    <w:p>
      <w:pPr>
        <w:pStyle w:val="TextBody"/>
        <w:bidi w:val="0"/>
        <w:spacing w:before="0" w:after="0"/>
        <w:ind w:left="1800" w:right="0" w:hanging="20"/>
        <w:jc w:val="both"/>
        <w:rPr>
          <w:rFonts w:ascii="Times New Roman" w:hAnsi="Times New Roman"/>
          <w:caps w:val="false"/>
          <w:smallCaps w:val="false"/>
          <w:sz w:val="20"/>
        </w:rPr>
      </w:pPr>
      <w:r>
        <w:rPr>
          <w:rFonts w:ascii="Times New Roman" w:hAnsi="Times New Roman"/>
          <w:b/>
          <w:i/>
          <w:caps w:val="false"/>
          <w:smallCaps w:val="false"/>
          <w:sz w:val="20"/>
        </w:rPr>
        <w:t xml:space="preserve">3.04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3.05 </w:t>
      </w:r>
      <w:r>
        <w:rPr>
          <w:rFonts w:ascii="Times New Roman" w:hAnsi="Times New Roman"/>
          <w:caps w:val="false"/>
          <w:smallCaps w:val="false"/>
          <w:sz w:val="20"/>
        </w:rPr>
        <w:t xml:space="preserve">(subject to the requirements and limitations therein, including the requirements under </w:t>
      </w:r>
      <w:r>
        <w:rPr>
          <w:rFonts w:ascii="Times New Roman" w:hAnsi="Times New Roman"/>
          <w:b/>
          <w:i/>
          <w:caps w:val="false"/>
          <w:smallCaps w:val="false"/>
          <w:sz w:val="20"/>
        </w:rPr>
        <w:t xml:space="preserve">Section 3.01(e) </w:t>
      </w:r>
      <w:r>
        <w:rPr>
          <w:rFonts w:ascii="Times New Roman" w:hAnsi="Times New Roman"/>
          <w:caps w:val="false"/>
          <w:smallCaps w:val="false"/>
          <w:sz w:val="20"/>
        </w:rPr>
        <w:t xml:space="preserve">(it being understood that the documentation required under </w:t>
      </w:r>
      <w:r>
        <w:rPr>
          <w:rFonts w:ascii="Times New Roman" w:hAnsi="Times New Roman"/>
          <w:b/>
          <w:i/>
          <w:caps w:val="false"/>
          <w:smallCaps w:val="false"/>
          <w:sz w:val="20"/>
        </w:rPr>
        <w:t xml:space="preserve">Section 3.01(e) </w:t>
      </w:r>
      <w:r>
        <w:rPr>
          <w:rFonts w:ascii="Times New Roman" w:hAnsi="Times New Roman"/>
          <w:caps w:val="false"/>
          <w:smallCaps w:val="false"/>
          <w:sz w:val="20"/>
        </w:rPr>
        <w:t xml:space="preserve">shall be delivered to the Lender who sells the participation)) to the same extent as if it were a Lender and had acquired its interest by assignment pursuant to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11.06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Participant (A) shall be subject to the provisions of </w:t>
      </w:r>
      <w:r>
        <w:rPr>
          <w:rFonts w:ascii="Times New Roman" w:hAnsi="Times New Roman"/>
          <w:b/>
          <w:i/>
          <w:caps w:val="false"/>
          <w:smallCaps w:val="false"/>
          <w:sz w:val="20"/>
        </w:rPr>
        <w:t xml:space="preserve">Sections 3.06 </w:t>
      </w:r>
      <w:r>
        <w:rPr>
          <w:rFonts w:ascii="Times New Roman" w:hAnsi="Times New Roman"/>
          <w:caps w:val="false"/>
          <w:smallCaps w:val="false"/>
          <w:sz w:val="20"/>
        </w:rPr>
        <w:t xml:space="preserve">and </w:t>
      </w:r>
      <w:r>
        <w:rPr>
          <w:rFonts w:ascii="Times New Roman" w:hAnsi="Times New Roman"/>
          <w:b/>
          <w:i/>
          <w:caps w:val="false"/>
          <w:smallCaps w:val="false"/>
          <w:sz w:val="20"/>
        </w:rPr>
        <w:t xml:space="preserve">11.13 </w:t>
      </w:r>
      <w:r>
        <w:rPr>
          <w:rFonts w:ascii="Times New Roman" w:hAnsi="Times New Roman"/>
          <w:caps w:val="false"/>
          <w:smallCaps w:val="false"/>
          <w:sz w:val="20"/>
        </w:rPr>
        <w:t xml:space="preserve">as if it were an assignee under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of this </w:t>
      </w:r>
      <w:r>
        <w:rPr>
          <w:rFonts w:ascii="Times New Roman" w:hAnsi="Times New Roman"/>
          <w:b/>
          <w:i/>
          <w:caps w:val="false"/>
          <w:smallCaps w:val="false"/>
          <w:sz w:val="20"/>
        </w:rPr>
        <w:t xml:space="preserve">Section 11.06 </w:t>
      </w:r>
      <w:r>
        <w:rPr>
          <w:rFonts w:ascii="Times New Roman" w:hAnsi="Times New Roman"/>
          <w:caps w:val="false"/>
          <w:smallCaps w:val="false"/>
          <w:sz w:val="20"/>
        </w:rPr>
        <w:t xml:space="preserve">and (B) shall not be entitled to receive any greater payment under </w:t>
      </w:r>
      <w:r>
        <w:rPr>
          <w:rFonts w:ascii="Times New Roman" w:hAnsi="Times New Roman"/>
          <w:b/>
          <w:i/>
          <w:caps w:val="false"/>
          <w:smallCaps w:val="false"/>
          <w:sz w:val="20"/>
        </w:rPr>
        <w:t xml:space="preserve">Sections 3.01 </w:t>
      </w:r>
      <w:r>
        <w:rPr>
          <w:rFonts w:ascii="Times New Roman" w:hAnsi="Times New Roman"/>
          <w:caps w:val="false"/>
          <w:smallCaps w:val="false"/>
          <w:sz w:val="20"/>
        </w:rPr>
        <w:t xml:space="preserve">or </w:t>
      </w:r>
      <w:r>
        <w:rPr>
          <w:rFonts w:ascii="Times New Roman" w:hAnsi="Times New Roman"/>
          <w:b/>
          <w:i/>
          <w:caps w:val="false"/>
          <w:smallCaps w:val="false"/>
          <w:sz w:val="20"/>
        </w:rPr>
        <w:t>3.04</w:t>
      </w:r>
      <w:r>
        <w:rPr>
          <w:rFonts w:ascii="Times New Roman" w:hAnsi="Times New Roman"/>
          <w:caps w:val="false"/>
          <w:smallCaps w:val="false"/>
          <w:sz w:val="20"/>
        </w:rPr>
        <w:t>, with respect to any participation, than the Lender from whom it acquired the applicable participation would have been entitled to receive, except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b/>
          <w:i/>
          <w:caps w:val="false"/>
          <w:smallCaps w:val="false"/>
          <w:sz w:val="20"/>
        </w:rPr>
        <w:t xml:space="preserve">Section 3.06 </w:t>
      </w:r>
      <w:r>
        <w:rPr>
          <w:rFonts w:ascii="Times New Roman" w:hAnsi="Times New Roman"/>
          <w:caps w:val="false"/>
          <w:smallCaps w:val="false"/>
          <w:sz w:val="20"/>
        </w:rPr>
        <w:t xml:space="preserve">with respect to any Participant. To the extent permitted by law, each Participant also shall be entitled to the benefits of </w:t>
      </w:r>
      <w:r>
        <w:rPr>
          <w:rFonts w:ascii="Times New Roman" w:hAnsi="Times New Roman"/>
          <w:b/>
          <w:i/>
          <w:caps w:val="false"/>
          <w:smallCaps w:val="false"/>
          <w:sz w:val="20"/>
        </w:rPr>
        <w:t xml:space="preserve">Section 11.08 </w:t>
      </w:r>
      <w:r>
        <w:rPr>
          <w:rFonts w:ascii="Times New Roman" w:hAnsi="Times New Roman"/>
          <w:caps w:val="false"/>
          <w:smallCaps w:val="false"/>
          <w:sz w:val="20"/>
        </w:rPr>
        <w:t xml:space="preserve">as though it were a Lender;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such Participant agrees to be subject to </w:t>
      </w:r>
      <w:r>
        <w:rPr>
          <w:rFonts w:ascii="Times New Roman" w:hAnsi="Times New Roman"/>
          <w:b/>
          <w:i/>
          <w:caps w:val="false"/>
          <w:smallCaps w:val="false"/>
          <w:sz w:val="20"/>
        </w:rPr>
        <w:t xml:space="preserve">Section 2.13 </w:t>
      </w:r>
      <w:r>
        <w:rPr>
          <w:rFonts w:ascii="Times New Roman" w:hAnsi="Times New Roman"/>
          <w:caps w:val="false"/>
          <w:smallCaps w:val="false"/>
          <w:sz w:val="20"/>
        </w:rPr>
        <w:t>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hAnsi="Times New Roman"/>
          <w:b/>
          <w:i/>
          <w:caps w:val="false"/>
          <w:smallCaps w:val="false"/>
          <w:sz w:val="20"/>
        </w:rPr>
        <w:t>Participant Register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w:t>
      </w:r>
      <w:r>
        <w:rPr>
          <w:rFonts w:ascii="Times New Roman" w:hAnsi="Times New Roman"/>
          <w:i/>
          <w:caps w:val="false"/>
          <w:smallCaps w:val="false"/>
          <w:sz w:val="20"/>
        </w:rPr>
        <w:t xml:space="preserve">Section 5f.103-1(c) </w:t>
      </w:r>
      <w:r>
        <w:rPr>
          <w:rFonts w:ascii="Times New Roman" w:hAnsi="Times New Roman"/>
          <w:caps w:val="false"/>
          <w:smallCaps w:val="false"/>
          <w:sz w:val="20"/>
        </w:rPr>
        <w:t>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Certain Pledges</w:t>
      </w:r>
      <w:r>
        <w:rPr>
          <w:rFonts w:ascii="Times New Roman" w:hAnsi="Times New Roman"/>
          <w:caps w:val="false"/>
          <w:smallCaps w:val="false"/>
          <w:sz w:val="20"/>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hAnsi="Times New Roman"/>
          <w:i/>
          <w:caps w:val="false"/>
          <w:smallCaps w:val="false"/>
          <w:sz w:val="20"/>
        </w:rPr>
        <w:t xml:space="preserve">provided </w:t>
      </w:r>
      <w:r>
        <w:rPr>
          <w:rFonts w:ascii="Times New Roman" w:hAnsi="Times New Roman"/>
          <w:caps w:val="false"/>
          <w:smallCaps w:val="false"/>
          <w:sz w:val="20"/>
        </w:rPr>
        <w:t>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Resignation as L/C Issuer or Swingline Lender after Assignment</w:t>
      </w:r>
      <w:r>
        <w:rPr>
          <w:rFonts w:ascii="Times New Roman" w:hAnsi="Times New Roman"/>
          <w:caps w:val="false"/>
          <w:smallCaps w:val="false"/>
          <w:sz w:val="20"/>
        </w:rPr>
        <w:t xml:space="preserve">. Notwithstanding anything to the contrary contained herein, if at any time Bank of America assigns all of its Revolving Commitment and Revolving Loans pursuant to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above, Bank of America may, (i) upon thirty (30) days’ notice to the Administrative Agent,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hAnsi="Times New Roman"/>
          <w:b/>
          <w:i/>
          <w:caps w:val="false"/>
          <w:smallCaps w:val="false"/>
          <w:sz w:val="20"/>
        </w:rPr>
        <w:t>Section 2.03(c)</w:t>
      </w:r>
      <w:r>
        <w:rPr>
          <w:rFonts w:ascii="Times New Roman" w:hAnsi="Times New Roman"/>
          <w:caps w:val="false"/>
          <w:smallCaps w:val="false"/>
          <w:sz w:val="20"/>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hAnsi="Times New Roman"/>
          <w:b/>
          <w:i/>
          <w:caps w:val="false"/>
          <w:smallCaps w:val="false"/>
          <w:sz w:val="20"/>
        </w:rPr>
        <w:t>Section 2.04(c)</w:t>
      </w:r>
      <w:r>
        <w:rPr>
          <w:rFonts w:ascii="Times New Roman" w:hAnsi="Times New Roman"/>
          <w:caps w:val="false"/>
          <w:smallCaps w:val="false"/>
          <w:sz w:val="20"/>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outstanding at the time of such succession or make other arrangements satisfactory to Bank of America to effectively assume the obligations of Bank of America with respect to such Letters of Credit.</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0"/>
        <w:gridCol w:w="245"/>
        <w:gridCol w:w="20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Disqualified Institutions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    No assignment shall be made to any Person that was a Disqualified Institution as of the date (the “</w:t>
      </w:r>
      <w:r>
        <w:rPr>
          <w:rFonts w:ascii="Times New Roman" w:hAnsi="Times New Roman"/>
          <w:b/>
          <w:i/>
          <w:caps w:val="false"/>
          <w:smallCaps w:val="false"/>
          <w:sz w:val="20"/>
        </w:rPr>
        <w:t>Trade Date</w:t>
      </w:r>
      <w:r>
        <w:rPr>
          <w:rFonts w:ascii="Times New Roman" w:hAnsi="Times New Roman"/>
          <w:caps w:val="false"/>
          <w:smallCaps w:val="false"/>
          <w:sz w:val="20"/>
        </w:rPr>
        <w:t xml:space="preserve">”) on which the applicable Lender entered into a binding agreement to sell and assign all or a portion of its rights and obligations under this Agreement to such Person (unless the Borrower has consented to such assignment as otherwise contemplated by this </w:t>
      </w:r>
      <w:r>
        <w:rPr>
          <w:rFonts w:ascii="Times New Roman" w:hAnsi="Times New Roman"/>
          <w:b/>
          <w:i/>
          <w:caps w:val="false"/>
          <w:smallCaps w:val="false"/>
          <w:sz w:val="20"/>
        </w:rPr>
        <w:t>Section 11.06</w:t>
      </w:r>
      <w:r>
        <w:rPr>
          <w:rFonts w:ascii="Times New Roman" w:hAnsi="Times New Roman"/>
          <w:caps w:val="false"/>
          <w:smallCaps w:val="false"/>
          <w:sz w:val="20"/>
        </w:rPr>
        <w:t>,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w:t>
      </w:r>
      <w:r>
        <w:rPr>
          <w:rFonts w:ascii="Times New Roman" w:hAnsi="Times New Roman"/>
          <w:b/>
          <w:i/>
          <w:caps w:val="false"/>
          <w:smallCaps w:val="false"/>
          <w:sz w:val="20"/>
        </w:rPr>
        <w:t>Disqualified Institution</w:t>
      </w:r>
      <w:r>
        <w:rPr>
          <w:rFonts w:ascii="Times New Roman" w:hAnsi="Times New Roman"/>
          <w:caps w:val="false"/>
          <w:smallCaps w:val="false"/>
          <w:sz w:val="20"/>
        </w:rPr>
        <w:t xml:space="preserve">”), such assignee shall not retroactively be considered a Disqualified Institution. Any assignment in violation of this </w:t>
      </w:r>
      <w:r>
        <w:rPr>
          <w:rFonts w:ascii="Times New Roman" w:hAnsi="Times New Roman"/>
          <w:b/>
          <w:i/>
          <w:caps w:val="false"/>
          <w:smallCaps w:val="false"/>
          <w:sz w:val="20"/>
        </w:rPr>
        <w:t xml:space="preserve">clause (g)(i) </w:t>
      </w:r>
      <w:r>
        <w:rPr>
          <w:rFonts w:ascii="Times New Roman" w:hAnsi="Times New Roman"/>
          <w:caps w:val="false"/>
          <w:smallCaps w:val="false"/>
          <w:sz w:val="20"/>
        </w:rPr>
        <w:t xml:space="preserve">shall not be void, but the other provisions of this </w:t>
      </w:r>
      <w:r>
        <w:rPr>
          <w:rFonts w:ascii="Times New Roman" w:hAnsi="Times New Roman"/>
          <w:b/>
          <w:i/>
          <w:caps w:val="false"/>
          <w:smallCaps w:val="false"/>
          <w:sz w:val="20"/>
        </w:rPr>
        <w:t xml:space="preserve">clause (g) </w:t>
      </w:r>
      <w:r>
        <w:rPr>
          <w:rFonts w:ascii="Times New Roman" w:hAnsi="Times New Roman"/>
          <w:caps w:val="false"/>
          <w:smallCaps w:val="false"/>
          <w:sz w:val="20"/>
        </w:rPr>
        <w:t>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If any assignment is made to any Disqualified Institution without the Borrower’s prior consent in violation of </w:t>
      </w:r>
      <w:r>
        <w:rPr>
          <w:rFonts w:ascii="Times New Roman" w:hAnsi="Times New Roman"/>
          <w:b/>
          <w:i/>
          <w:caps w:val="false"/>
          <w:smallCaps w:val="false"/>
          <w:sz w:val="20"/>
        </w:rPr>
        <w:t xml:space="preserve">clause (i) </w:t>
      </w:r>
      <w:r>
        <w:rPr>
          <w:rFonts w:ascii="Times New Roman" w:hAnsi="Times New Roman"/>
          <w:caps w:val="false"/>
          <w:smallCaps w:val="false"/>
          <w:sz w:val="20"/>
        </w:rPr>
        <w:t>above,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held by Disqualified Institutions, prepay such Term Loan by paying the lesser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(1) the principal amount thereof and (2) the amount that such Disqualified Institution paid to acquire such Term Loans, in each case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hAnsi="Times New Roman"/>
          <w:b/>
          <w:i/>
          <w:caps w:val="false"/>
          <w:smallCaps w:val="false"/>
          <w:sz w:val="20"/>
        </w:rPr>
        <w:t>Section 11.06</w:t>
      </w:r>
      <w:r>
        <w:rPr>
          <w:rFonts w:ascii="Times New Roman" w:hAnsi="Times New Roman"/>
          <w:caps w:val="false"/>
          <w:smallCaps w:val="false"/>
          <w:sz w:val="20"/>
        </w:rPr>
        <w:t xml:space="preserve">), all of its interest, rights and obligations under this Agreement and related Loan Documents to an Eligible Assignee that shall assume such obligations at the lesser of (1) the principal amount thereof and (2) the amount that such Disqualified Institution paid to acquire such interests, rights and obligations, in each case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accrued interest, accrued fees and all other amounts (other than principal amounts) payable to it hereunder and other the other Loan Documents; </w:t>
      </w:r>
      <w:r>
        <w:rPr>
          <w:rFonts w:ascii="Times New Roman" w:hAnsi="Times New Roman"/>
          <w:i/>
          <w:caps w:val="false"/>
          <w:smallCaps w:val="false"/>
          <w:sz w:val="20"/>
        </w:rPr>
        <w:t>provided</w:t>
      </w:r>
      <w:r>
        <w:rPr>
          <w:rFonts w:ascii="Times New Roman" w:hAnsi="Times New Roman"/>
          <w:caps w:val="false"/>
          <w:smallCaps w:val="false"/>
          <w:sz w:val="20"/>
        </w:rPr>
        <w:t xml:space="preserve">, that, (x) the Borrower shall have paid to the Administrative Agent the assignment fee (if any) specified in </w:t>
      </w:r>
      <w:r>
        <w:rPr>
          <w:rFonts w:ascii="Times New Roman" w:hAnsi="Times New Roman"/>
          <w:b/>
          <w:i/>
          <w:caps w:val="false"/>
          <w:smallCaps w:val="false"/>
          <w:sz w:val="20"/>
        </w:rPr>
        <w:t>Section 11.06(b)</w:t>
      </w:r>
      <w:r>
        <w:rPr>
          <w:rFonts w:ascii="Times New Roman" w:hAnsi="Times New Roman"/>
          <w:caps w:val="false"/>
          <w:smallCaps w:val="false"/>
          <w:sz w:val="20"/>
        </w:rPr>
        <w:t xml:space="preserve">, (y) such assignment does not conflict with Applicable Laws and (z) in the case of </w:t>
      </w:r>
      <w:r>
        <w:rPr>
          <w:rFonts w:ascii="Times New Roman" w:hAnsi="Times New Roman"/>
          <w:b/>
          <w:i/>
          <w:caps w:val="false"/>
          <w:smallCaps w:val="false"/>
          <w:sz w:val="20"/>
        </w:rPr>
        <w:t>clause (B)</w:t>
      </w:r>
      <w:r>
        <w:rPr>
          <w:rFonts w:ascii="Times New Roman" w:hAnsi="Times New Roman"/>
          <w:caps w:val="false"/>
          <w:smallCaps w:val="false"/>
          <w:sz w:val="20"/>
        </w:rPr>
        <w:t>, the Borrower shall not use the proceeds from any Loans to prepay Term Loans held by Disqualified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Notwithstanding anything to the contrary contained in this Agreement, Disqualified Institutions (A) will not (1) 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Times New Roman" w:hAnsi="Times New Roman"/>
          <w:b/>
          <w:i/>
          <w:caps w:val="false"/>
          <w:smallCaps w:val="false"/>
          <w:sz w:val="20"/>
        </w:rPr>
        <w:t>Plan of Reorganization</w:t>
      </w:r>
      <w:r>
        <w:rPr>
          <w:rFonts w:ascii="Times New Roman" w:hAnsi="Times New Roman"/>
          <w:caps w:val="false"/>
          <w:smallCaps w:val="false"/>
          <w:sz w:val="20"/>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Times New Roman" w:hAnsi="Times New Roman"/>
          <w:b/>
          <w:i/>
          <w:caps w:val="false"/>
          <w:smallCaps w:val="false"/>
          <w:sz w:val="20"/>
        </w:rPr>
        <w:t>clause (I)</w:t>
      </w:r>
      <w:r>
        <w:rPr>
          <w:rFonts w:ascii="Times New Roman" w:hAnsi="Times New Roman"/>
          <w:caps w:val="false"/>
          <w:smallCaps w:val="false"/>
          <w:sz w:val="20"/>
        </w:rPr>
        <w:t>, such vote will be deemed not to be in good faith and shall be “</w:t>
      </w:r>
      <w:r>
        <w:rPr>
          <w:rFonts w:ascii="Times New Roman" w:hAnsi="Times New Roman"/>
          <w:i/>
          <w:caps w:val="false"/>
          <w:smallCaps w:val="false"/>
          <w:sz w:val="20"/>
        </w:rPr>
        <w:t>designated</w:t>
      </w:r>
      <w:r>
        <w:rPr>
          <w:rFonts w:ascii="Times New Roman" w:hAnsi="Times New Roman"/>
          <w:caps w:val="false"/>
          <w:smallCaps w:val="false"/>
          <w:sz w:val="20"/>
        </w:rPr>
        <w:t xml:space="preserve">” pursuant to </w:t>
      </w:r>
      <w:r>
        <w:rPr>
          <w:rFonts w:ascii="Times New Roman" w:hAnsi="Times New Roman"/>
          <w:i/>
          <w:caps w:val="false"/>
          <w:smallCaps w:val="false"/>
          <w:sz w:val="20"/>
        </w:rPr>
        <w:t xml:space="preserve">Section 1126(e) </w:t>
      </w:r>
      <w:r>
        <w:rPr>
          <w:rFonts w:ascii="Times New Roman" w:hAnsi="Times New Roman"/>
          <w:caps w:val="false"/>
          <w:smallCaps w:val="false"/>
          <w:sz w:val="20"/>
        </w:rPr>
        <w:t xml:space="preserve">of the Bankruptcy Code (or any similar provision in any other Debtor Relief Laws), and such vote shall not be counted in determining whether the applicable class has accepted or rejected such Plan of Reorganization in accordance with </w:t>
      </w:r>
      <w:r>
        <w:rPr>
          <w:rFonts w:ascii="Times New Roman" w:hAnsi="Times New Roman"/>
          <w:i/>
          <w:caps w:val="false"/>
          <w:smallCaps w:val="false"/>
          <w:sz w:val="20"/>
        </w:rPr>
        <w:t xml:space="preserve">Section 1126(c) </w:t>
      </w:r>
      <w:r>
        <w:rPr>
          <w:rFonts w:ascii="Times New Roman" w:hAnsi="Times New Roman"/>
          <w:caps w:val="false"/>
          <w:smallCaps w:val="false"/>
          <w:sz w:val="20"/>
        </w:rPr>
        <w:t xml:space="preserve">of the Bankruptcy Code (or any similar provision in any other Debtor Relief Laws) and (III) not to contest any request by any party for a determination by the bankruptcy court (or other applicable court of competent jurisdiction) effectuating the foregoing </w:t>
      </w:r>
      <w:r>
        <w:rPr>
          <w:rFonts w:ascii="Times New Roman" w:hAnsi="Times New Roman"/>
          <w:b/>
          <w:i/>
          <w:caps w:val="false"/>
          <w:smallCaps w:val="false"/>
          <w:sz w:val="20"/>
        </w:rPr>
        <w:t>clause (II)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(iv)    The Administrative Agent shall have the right, and the Borrower hereby expressly authorizes the Administrative Agent, to (A) post the list of Disqualified Institutions provided by the Borrower (the “</w:t>
      </w:r>
      <w:r>
        <w:rPr>
          <w:rFonts w:ascii="Times New Roman" w:hAnsi="Times New Roman"/>
          <w:b/>
          <w:i/>
          <w:caps w:val="false"/>
          <w:smallCaps w:val="false"/>
          <w:sz w:val="20"/>
        </w:rPr>
        <w:t>DQ List</w:t>
      </w:r>
      <w:r>
        <w:rPr>
          <w:rFonts w:ascii="Times New Roman" w:hAnsi="Times New Roman"/>
          <w:caps w:val="false"/>
          <w:smallCaps w:val="false"/>
          <w:sz w:val="20"/>
        </w:rPr>
        <w:t>”) on the Platform, including that portion of the Platform that is designated for “</w:t>
      </w:r>
      <w:r>
        <w:rPr>
          <w:rFonts w:ascii="Times New Roman" w:hAnsi="Times New Roman"/>
          <w:i/>
          <w:caps w:val="false"/>
          <w:smallCaps w:val="false"/>
          <w:sz w:val="20"/>
        </w:rPr>
        <w:t>public side</w:t>
      </w:r>
      <w:r>
        <w:rPr>
          <w:rFonts w:ascii="Times New Roman" w:hAnsi="Times New Roman"/>
          <w:caps w:val="false"/>
          <w:smallCaps w:val="false"/>
          <w:sz w:val="20"/>
        </w:rPr>
        <w:t>” Lenders or (B) provide the DQ List to each Lender requesting the same.</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485"/>
        <w:gridCol w:w="432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11.07</w:t>
            </w:r>
          </w:p>
        </w:tc>
        <w:tc>
          <w:tcPr>
            <w:tcW w:w="4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Treatment of Certain Information; Confidentiality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Treatment of Certain Information</w:t>
      </w:r>
      <w:r>
        <w:rPr>
          <w:rFonts w:ascii="Times New Roman" w:hAnsi="Times New Roman"/>
          <w:caps w:val="false"/>
          <w:smallCaps w:val="false"/>
          <w:sz w:val="20"/>
        </w:rPr>
        <w:t>.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hAnsi="Times New Roman"/>
          <w:b/>
          <w:i/>
          <w:caps w:val="false"/>
          <w:smallCaps w:val="false"/>
          <w:sz w:val="20"/>
        </w:rPr>
        <w:t>Section 11.07</w:t>
      </w:r>
      <w:r>
        <w:rPr>
          <w:rFonts w:ascii="Times New Roman" w:hAnsi="Times New Roman"/>
          <w:caps w:val="false"/>
          <w:smallCaps w:val="false"/>
          <w:sz w:val="20"/>
        </w:rPr>
        <w:t xml:space="preserve">, to (A) any assignee of or Participant in, or any prospective assignee of or Participant in, any of its rights and obligations under this Agreement or any Eligible Assignee invited to be a Lender pursuant to </w:t>
      </w:r>
      <w:r>
        <w:rPr>
          <w:rFonts w:ascii="Times New Roman" w:hAnsi="Times New Roman"/>
          <w:b/>
          <w:i/>
          <w:caps w:val="false"/>
          <w:smallCaps w:val="false"/>
          <w:sz w:val="20"/>
        </w:rPr>
        <w:t xml:space="preserve">Section 2.15 </w:t>
      </w:r>
      <w:r>
        <w:rPr>
          <w:rFonts w:ascii="Times New Roman" w:hAnsi="Times New Roman"/>
          <w:caps w:val="false"/>
          <w:smallCaps w:val="false"/>
          <w:sz w:val="20"/>
        </w:rPr>
        <w:t xml:space="preserve">or (B)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prospective assignee, in reliance on this </w:t>
      </w:r>
      <w:r>
        <w:rPr>
          <w:rFonts w:ascii="Times New Roman" w:hAnsi="Times New Roman"/>
          <w:b/>
          <w:i/>
          <w:caps w:val="false"/>
          <w:smallCaps w:val="false"/>
          <w:sz w:val="20"/>
        </w:rPr>
        <w:t>clause (vi)</w:t>
      </w:r>
      <w:r>
        <w:rPr>
          <w:rFonts w:ascii="Times New Roman" w:hAnsi="Times New Roman"/>
          <w:caps w:val="false"/>
          <w:smallCaps w:val="false"/>
          <w:sz w:val="20"/>
        </w:rPr>
        <w:t>),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 Lender to deliver Borrower Materials or notices to the Lenders or</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(viii) the CUSIP Service Bureau or any similar agency in connection with the application, issuance, publishing and monitoring of CUSIP numbers or other market identifiers with respect to the credit facilities provided hereunder, or (ix) with the consent of the Borrower or to the extent such Information (x) becomes publicly available other than as a result of a breach of this </w:t>
      </w:r>
      <w:r>
        <w:rPr>
          <w:rFonts w:ascii="Times New Roman" w:hAnsi="Times New Roman"/>
          <w:b/>
          <w:i/>
          <w:caps w:val="false"/>
          <w:smallCaps w:val="false"/>
          <w:sz w:val="20"/>
        </w:rPr>
        <w:t>Section 11.07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(xi) 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from the Borrower or violating the terms of this </w:t>
      </w:r>
      <w:r>
        <w:rPr>
          <w:rFonts w:ascii="Times New Roman" w:hAnsi="Times New Roman"/>
          <w:b/>
          <w:i/>
          <w:caps w:val="false"/>
          <w:smallCaps w:val="false"/>
          <w:sz w:val="20"/>
        </w:rPr>
        <w:t>Section 11.07</w:t>
      </w:r>
      <w:r>
        <w:rPr>
          <w:rFonts w:ascii="Times New Roman" w:hAnsi="Times New Roman"/>
          <w:caps w:val="false"/>
          <w:smallCaps w:val="false"/>
          <w:sz w:val="20"/>
        </w:rPr>
        <w:t xml:space="preserve">. For purposes of this </w:t>
      </w:r>
      <w:r>
        <w:rPr>
          <w:rFonts w:ascii="Times New Roman" w:hAnsi="Times New Roman"/>
          <w:b/>
          <w:i/>
          <w:caps w:val="false"/>
          <w:smallCaps w:val="false"/>
          <w:sz w:val="20"/>
        </w:rPr>
        <w:t>Section 11.07</w:t>
      </w:r>
      <w:r>
        <w:rPr>
          <w:rFonts w:ascii="Times New Roman" w:hAnsi="Times New Roman"/>
          <w:caps w:val="false"/>
          <w:smallCaps w:val="false"/>
          <w:sz w:val="20"/>
        </w:rPr>
        <w:t>, “</w:t>
      </w:r>
      <w:r>
        <w:rPr>
          <w:rFonts w:ascii="Times New Roman" w:hAnsi="Times New Roman"/>
          <w:b/>
          <w:i/>
          <w:caps w:val="false"/>
          <w:smallCaps w:val="false"/>
          <w:sz w:val="20"/>
        </w:rPr>
        <w:t>Information</w:t>
      </w:r>
      <w:r>
        <w:rPr>
          <w:rFonts w:ascii="Times New Roman" w:hAnsi="Times New Roman"/>
          <w:caps w:val="false"/>
          <w:smallCaps w:val="false"/>
          <w:sz w:val="20"/>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provided that, in the case of information received from the Borrower or any Subsidiary after the Closing Date, such information is clearly identified at the time of delivery as confidential. Any Person required to maintain the confidentiality of Information as provided in this </w:t>
      </w:r>
      <w:r>
        <w:rPr>
          <w:rFonts w:ascii="Times New Roman" w:hAnsi="Times New Roman"/>
          <w:b/>
          <w:i/>
          <w:caps w:val="false"/>
          <w:smallCaps w:val="false"/>
          <w:sz w:val="20"/>
        </w:rPr>
        <w:t xml:space="preserve">Section 11.07 </w:t>
      </w:r>
      <w:r>
        <w:rPr>
          <w:rFonts w:ascii="Times New Roman" w:hAnsi="Times New Roman"/>
          <w:caps w:val="false"/>
          <w:smallCaps w:val="false"/>
          <w:sz w:val="20"/>
        </w:rPr>
        <w:t>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Non-Public Information</w:t>
      </w:r>
      <w:r>
        <w:rPr>
          <w:rFonts w:ascii="Times New Roman" w:hAnsi="Times New Roman"/>
          <w:caps w:val="false"/>
          <w:smallCaps w:val="false"/>
          <w:sz w:val="20"/>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Press Releases</w:t>
      </w:r>
      <w:r>
        <w:rPr>
          <w:rFonts w:ascii="Times New Roman" w:hAnsi="Times New Roman"/>
          <w:caps w:val="false"/>
          <w:smallCaps w:val="false"/>
          <w:sz w:val="20"/>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Customary Advertising Material</w:t>
      </w:r>
      <w:r>
        <w:rPr>
          <w:rFonts w:ascii="Times New Roman" w:hAnsi="Times New Roman"/>
          <w:caps w:val="false"/>
          <w:smallCaps w:val="false"/>
          <w:sz w:val="20"/>
        </w:rPr>
        <w:t>. The Loan Parties consent to the publication by the Administrative Agent or any Lender of customary advertising material relating to the transactions contemplated hereby using the name, product photographs, logo or trademark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11.08    </w:t>
      </w:r>
      <w:r>
        <w:rPr>
          <w:rFonts w:ascii="Times New Roman" w:hAnsi="Times New Roman"/>
          <w:b/>
          <w:caps w:val="false"/>
          <w:smallCaps w:val="false"/>
          <w:sz w:val="20"/>
        </w:rPr>
        <w:t>Right of Setoff</w:t>
      </w:r>
      <w:r>
        <w:rPr>
          <w:rFonts w:ascii="Times New Roman" w:hAnsi="Times New Roman"/>
          <w:caps w:val="false"/>
          <w:smallCaps w:val="false"/>
          <w:sz w:val="20"/>
        </w:rPr>
        <w:t>. 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such Loan Party may be contingent or unmatured, secured or unsecured, or are owed to a branch, office or Affiliate of such Lender or the L/C Issuer different from the branch, office or Affiliate holding such deposit or obligated on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in the event that any Defaulting Lender shall exercise any such right of setoff, (a) all amounts so set off shall be paid over immediately to the Administrative Agent for further application in accordance with the provisions of </w:t>
      </w:r>
      <w:r>
        <w:rPr>
          <w:rFonts w:ascii="Times New Roman" w:hAnsi="Times New Roman"/>
          <w:b/>
          <w:i/>
          <w:caps w:val="false"/>
          <w:smallCaps w:val="false"/>
          <w:sz w:val="20"/>
        </w:rPr>
        <w:t xml:space="preserve">Section 2.15 </w:t>
      </w:r>
      <w:r>
        <w:rPr>
          <w:rFonts w:ascii="Times New Roman" w:hAnsi="Times New Roman"/>
          <w:caps w:val="false"/>
          <w:smallCaps w:val="false"/>
          <w:sz w:val="20"/>
        </w:rPr>
        <w:t xml:space="preserve">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hAnsi="Times New Roman"/>
          <w:b/>
          <w:i/>
          <w:caps w:val="false"/>
          <w:smallCaps w:val="false"/>
          <w:sz w:val="20"/>
        </w:rPr>
        <w:t xml:space="preserve">Section 11.08 </w:t>
      </w:r>
      <w:r>
        <w:rPr>
          <w:rFonts w:ascii="Times New Roman" w:hAnsi="Times New Roman"/>
          <w:caps w:val="false"/>
          <w:smallCaps w:val="false"/>
          <w:sz w:val="20"/>
        </w:rPr>
        <w:t>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11.09    </w:t>
      </w:r>
      <w:r>
        <w:rPr>
          <w:rFonts w:ascii="Times New Roman" w:hAnsi="Times New Roman"/>
          <w:b/>
          <w:caps w:val="false"/>
          <w:smallCaps w:val="false"/>
          <w:sz w:val="20"/>
        </w:rPr>
        <w:t>Interest Rate Limitation</w:t>
      </w:r>
      <w:r>
        <w:rPr>
          <w:rFonts w:ascii="Times New Roman" w:hAnsi="Times New Roman"/>
          <w:caps w:val="false"/>
          <w:smallCaps w:val="false"/>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b/>
          <w:i/>
          <w:caps w:val="false"/>
          <w:smallCaps w:val="false"/>
          <w:sz w:val="20"/>
        </w:rPr>
        <w:t>Maximum Rate</w:t>
      </w:r>
      <w:r>
        <w:rPr>
          <w:rFonts w:ascii="Times New Roman" w:hAnsi="Times New Roman"/>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11.10    </w:t>
      </w:r>
      <w:r>
        <w:rPr>
          <w:rFonts w:ascii="Times New Roman" w:hAnsi="Times New Roman"/>
          <w:b/>
          <w:caps w:val="false"/>
          <w:smallCaps w:val="false"/>
          <w:sz w:val="20"/>
        </w:rPr>
        <w:t>Integration; Effectiveness</w:t>
      </w:r>
      <w:r>
        <w:rPr>
          <w:rFonts w:ascii="Times New Roman" w:hAnsi="Times New Roman"/>
          <w:caps w:val="false"/>
          <w:smallCaps w:val="false"/>
          <w:sz w:val="20"/>
        </w:rPr>
        <w:t xml:space="preserve">.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b/>
          <w:i/>
          <w:caps w:val="false"/>
          <w:smallCaps w:val="false"/>
          <w:sz w:val="20"/>
        </w:rPr>
        <w:t>Section 4.01</w:t>
      </w:r>
      <w:r>
        <w:rPr>
          <w:rFonts w:ascii="Times New Roman" w:hAnsi="Times New Roman"/>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11.11    </w:t>
      </w:r>
      <w:r>
        <w:rPr>
          <w:rFonts w:ascii="Times New Roman" w:hAnsi="Times New Roman"/>
          <w:b/>
          <w:caps w:val="false"/>
          <w:smallCaps w:val="false"/>
          <w:sz w:val="20"/>
        </w:rPr>
        <w:t>Survival of Representations and Warranties</w:t>
      </w:r>
      <w:r>
        <w:rPr>
          <w:rFonts w:ascii="Times New Roman" w:hAnsi="Times New Roman"/>
          <w:caps w:val="false"/>
          <w:smallCaps w:val="false"/>
          <w:sz w:val="20"/>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11.12    </w:t>
      </w:r>
      <w:r>
        <w:rPr>
          <w:rFonts w:ascii="Times New Roman" w:hAnsi="Times New Roman"/>
          <w:b/>
          <w:caps w:val="false"/>
          <w:smallCaps w:val="false"/>
          <w:sz w:val="20"/>
        </w:rPr>
        <w:t>Severability</w:t>
      </w:r>
      <w:r>
        <w:rPr>
          <w:rFonts w:ascii="Times New Roman" w:hAnsi="Times New Roman"/>
          <w:caps w:val="false"/>
          <w:smallCaps w:val="false"/>
          <w:sz w:val="20"/>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i/>
          <w:caps w:val="false"/>
          <w:smallCaps w:val="false"/>
          <w:sz w:val="20"/>
        </w:rPr>
        <w:t>Section 11.12</w:t>
      </w:r>
      <w:r>
        <w:rPr>
          <w:rFonts w:ascii="Times New Roman" w:hAnsi="Times New Roman"/>
          <w:caps w:val="false"/>
          <w:smallCaps w:val="false"/>
          <w:sz w:val="20"/>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485"/>
        <w:gridCol w:w="210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11.13</w:t>
            </w:r>
          </w:p>
        </w:tc>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Replacement of Lenders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If the Borrower is entitled to replace a Lender pursuant to the provisions of </w:t>
      </w:r>
      <w:r>
        <w:rPr>
          <w:rFonts w:ascii="Times New Roman" w:hAnsi="Times New Roman"/>
          <w:b/>
          <w:i/>
          <w:caps w:val="false"/>
          <w:smallCaps w:val="false"/>
          <w:sz w:val="20"/>
        </w:rPr>
        <w:t>Section 3.06</w:t>
      </w:r>
      <w:r>
        <w:rPr>
          <w:rFonts w:ascii="Times New Roman" w:hAnsi="Times New Roman"/>
          <w:caps w:val="false"/>
          <w:smallCaps w:val="false"/>
          <w:sz w:val="20"/>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b/>
          <w:i/>
          <w:caps w:val="false"/>
          <w:smallCaps w:val="false"/>
          <w:sz w:val="20"/>
        </w:rPr>
        <w:t>Section 11.06</w:t>
      </w:r>
      <w:r>
        <w:rPr>
          <w:rFonts w:ascii="Times New Roman" w:hAnsi="Times New Roman"/>
          <w:caps w:val="false"/>
          <w:smallCaps w:val="false"/>
          <w:sz w:val="20"/>
        </w:rPr>
        <w:t xml:space="preserve">), all of its interests, rights (other than its existing rights to payments pursuant to </w:t>
      </w:r>
      <w:r>
        <w:rPr>
          <w:rFonts w:ascii="Times New Roman" w:hAnsi="Times New Roman"/>
          <w:b/>
          <w:i/>
          <w:caps w:val="false"/>
          <w:smallCaps w:val="false"/>
          <w:sz w:val="20"/>
        </w:rPr>
        <w:t xml:space="preserve">Sections 3.01 </w:t>
      </w:r>
      <w:r>
        <w:rPr>
          <w:rFonts w:ascii="Times New Roman" w:hAnsi="Times New Roman"/>
          <w:caps w:val="false"/>
          <w:smallCaps w:val="false"/>
          <w:sz w:val="20"/>
        </w:rPr>
        <w:t xml:space="preserve">and </w:t>
      </w:r>
      <w:r>
        <w:rPr>
          <w:rFonts w:ascii="Times New Roman" w:hAnsi="Times New Roman"/>
          <w:b/>
          <w:i/>
          <w:caps w:val="false"/>
          <w:smallCaps w:val="false"/>
          <w:sz w:val="20"/>
        </w:rPr>
        <w:t>3.04</w:t>
      </w:r>
      <w:r>
        <w:rPr>
          <w:rFonts w:ascii="Times New Roman" w:hAnsi="Times New Roman"/>
          <w:caps w:val="false"/>
          <w:smallCaps w:val="false"/>
          <w:sz w:val="20"/>
        </w:rPr>
        <w:t>) and obligations under this Agreement and the related Loan Documents to an Eligible Assignee that shall assume such obligations (which assignee may be another Lender, if a Lender accepts such assignment),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the Borrower shall have paid to the Administrative Agent the assignment fee (if any) specified in </w:t>
      </w:r>
      <w:r>
        <w:rPr>
          <w:rFonts w:ascii="Times New Roman" w:hAnsi="Times New Roman"/>
          <w:b/>
          <w:i/>
          <w:caps w:val="false"/>
          <w:smallCaps w:val="false"/>
          <w:sz w:val="20"/>
        </w:rPr>
        <w:t>Section 11.06(b)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hAnsi="Times New Roman"/>
          <w:b/>
          <w:i/>
          <w:caps w:val="false"/>
          <w:smallCaps w:val="false"/>
          <w:sz w:val="20"/>
        </w:rPr>
        <w:t>Section 3.05</w:t>
      </w:r>
      <w:r>
        <w:rPr>
          <w:rFonts w:ascii="Times New Roman" w:hAnsi="Times New Roman"/>
          <w:caps w:val="false"/>
          <w:smallCaps w:val="false"/>
          <w:sz w:val="20"/>
        </w:rPr>
        <w:t>) from the assignee (to the extent of such outstanding principal and accrued interest and fees) or the Borrower (in the case of all other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in the case of any such assignment resulting from a claim for compensation under </w:t>
      </w:r>
      <w:r>
        <w:rPr>
          <w:rFonts w:ascii="Times New Roman" w:hAnsi="Times New Roman"/>
          <w:b/>
          <w:i/>
          <w:caps w:val="false"/>
          <w:smallCaps w:val="false"/>
          <w:sz w:val="20"/>
        </w:rPr>
        <w:t xml:space="preserve">Section 3.04 </w:t>
      </w:r>
      <w:r>
        <w:rPr>
          <w:rFonts w:ascii="Times New Roman" w:hAnsi="Times New Roman"/>
          <w:caps w:val="false"/>
          <w:smallCaps w:val="false"/>
          <w:sz w:val="20"/>
        </w:rPr>
        <w:t xml:space="preserve">or payments required to be made pursuant to </w:t>
      </w:r>
      <w:r>
        <w:rPr>
          <w:rFonts w:ascii="Times New Roman" w:hAnsi="Times New Roman"/>
          <w:b/>
          <w:i/>
          <w:caps w:val="false"/>
          <w:smallCaps w:val="false"/>
          <w:sz w:val="20"/>
        </w:rPr>
        <w:t>Section 3.01</w:t>
      </w:r>
      <w:r>
        <w:rPr>
          <w:rFonts w:ascii="Times New Roman" w:hAnsi="Times New Roman"/>
          <w:caps w:val="false"/>
          <w:smallCaps w:val="false"/>
          <w:sz w:val="20"/>
        </w:rPr>
        <w:t>, such assignment will result in a reduction in such compensation or payments thereafter;</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305"/>
        <w:gridCol w:w="498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assignment does not conflict with Applicable Laws;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(v)    in the case of an assignment resulting from a Lender becoming a Non-Consenting Lender, the applicable assignee shall have consented to the applicable amendment, waiver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Each party hereto agrees that (i) an assignment required pursuant to this </w:t>
      </w:r>
      <w:r>
        <w:rPr>
          <w:rFonts w:ascii="Times New Roman" w:hAnsi="Times New Roman"/>
          <w:b/>
          <w:i/>
          <w:caps w:val="false"/>
          <w:smallCaps w:val="false"/>
          <w:sz w:val="20"/>
        </w:rPr>
        <w:t xml:space="preserve">Section 11.13 </w:t>
      </w:r>
      <w:r>
        <w:rPr>
          <w:rFonts w:ascii="Times New Roman" w:hAnsi="Times New Roman"/>
          <w:caps w:val="false"/>
          <w:smallCaps w:val="false"/>
          <w:sz w:val="20"/>
        </w:rPr>
        <w:t xml:space="preserve">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hAnsi="Times New Roman"/>
          <w:i/>
          <w:caps w:val="false"/>
          <w:smallCaps w:val="false"/>
          <w:sz w:val="20"/>
        </w:rPr>
        <w:t>provided</w:t>
      </w:r>
      <w:r>
        <w:rPr>
          <w:rFonts w:ascii="Times New Roman" w:hAnsi="Times New Roman"/>
          <w:caps w:val="false"/>
          <w:smallCaps w:val="false"/>
          <w:sz w:val="20"/>
        </w:rPr>
        <w:t>,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Notwithstanding anything in this </w:t>
      </w:r>
      <w:r>
        <w:rPr>
          <w:rFonts w:ascii="Times New Roman" w:hAnsi="Times New Roman"/>
          <w:b/>
          <w:i/>
          <w:caps w:val="false"/>
          <w:smallCaps w:val="false"/>
          <w:sz w:val="20"/>
        </w:rPr>
        <w:t xml:space="preserve">Section 11.13 </w:t>
      </w:r>
      <w:r>
        <w:rPr>
          <w:rFonts w:ascii="Times New Roman" w:hAnsi="Times New Roman"/>
          <w:caps w:val="false"/>
          <w:smallCaps w:val="false"/>
          <w:sz w:val="20"/>
        </w:rPr>
        <w:t xml:space="preserve">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hAnsi="Times New Roman"/>
          <w:b/>
          <w:i/>
          <w:caps w:val="false"/>
          <w:smallCaps w:val="false"/>
          <w:sz w:val="20"/>
        </w:rPr>
        <w:t>Section 9.06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If a Lender is entitled to replace a Remedial Actions Declining Lender pursuant to the provisions of </w:t>
      </w:r>
      <w:r>
        <w:rPr>
          <w:rFonts w:ascii="Times New Roman" w:hAnsi="Times New Roman"/>
          <w:b/>
          <w:i/>
          <w:caps w:val="false"/>
          <w:smallCaps w:val="false"/>
          <w:sz w:val="20"/>
        </w:rPr>
        <w:t>Section 9.14(d)</w:t>
      </w:r>
      <w:r>
        <w:rPr>
          <w:rFonts w:ascii="Times New Roman" w:hAnsi="Times New Roman"/>
          <w:caps w:val="false"/>
          <w:smallCaps w:val="false"/>
          <w:sz w:val="20"/>
        </w:rPr>
        <w:t xml:space="preserve">, then such Lender may, at its sole expense and effort, upon notice to such Remedial Actions Declining Lender and the Administrative Agent, require such Remedial Actions Declining Lender to assign and delegate, without recourse, all of its interests, rights (other than its existing rights to payments pursuant to </w:t>
      </w:r>
      <w:r>
        <w:rPr>
          <w:rFonts w:ascii="Times New Roman" w:hAnsi="Times New Roman"/>
          <w:b/>
          <w:i/>
          <w:caps w:val="false"/>
          <w:smallCaps w:val="false"/>
          <w:sz w:val="20"/>
        </w:rPr>
        <w:t xml:space="preserve">Sections 3.01 </w:t>
      </w:r>
      <w:r>
        <w:rPr>
          <w:rFonts w:ascii="Times New Roman" w:hAnsi="Times New Roman"/>
          <w:caps w:val="false"/>
          <w:smallCaps w:val="false"/>
          <w:sz w:val="20"/>
        </w:rPr>
        <w:t xml:space="preserve">and </w:t>
      </w:r>
      <w:r>
        <w:rPr>
          <w:rFonts w:ascii="Times New Roman" w:hAnsi="Times New Roman"/>
          <w:b/>
          <w:i/>
          <w:caps w:val="false"/>
          <w:smallCaps w:val="false"/>
          <w:sz w:val="20"/>
        </w:rPr>
        <w:t>3.04</w:t>
      </w:r>
      <w:r>
        <w:rPr>
          <w:rFonts w:ascii="Times New Roman" w:hAnsi="Times New Roman"/>
          <w:caps w:val="false"/>
          <w:smallCaps w:val="false"/>
          <w:sz w:val="20"/>
        </w:rPr>
        <w:t>) and obligations under this Agreement and the related Loan Documents to such Lender that shall assume such obligations,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Such Lender shall have paid to the Administrative Agent the assignment fee (if any) specified in </w:t>
      </w:r>
      <w:r>
        <w:rPr>
          <w:rFonts w:ascii="Times New Roman" w:hAnsi="Times New Roman"/>
          <w:b/>
          <w:i/>
          <w:caps w:val="false"/>
          <w:smallCaps w:val="false"/>
          <w:sz w:val="20"/>
        </w:rPr>
        <w:t>Section 11.06(b)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such Remedial Actions Declining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hAnsi="Times New Roman"/>
          <w:b/>
          <w:i/>
          <w:caps w:val="false"/>
          <w:smallCaps w:val="false"/>
          <w:sz w:val="20"/>
        </w:rPr>
        <w:t>Section 3.05</w:t>
      </w:r>
      <w:r>
        <w:rPr>
          <w:rFonts w:ascii="Times New Roman" w:hAnsi="Times New Roman"/>
          <w:caps w:val="false"/>
          <w:smallCaps w:val="false"/>
          <w:sz w:val="20"/>
        </w:rPr>
        <w:t>) from the assignee and if such Remedial Actions Declining Lender is an L/C Issuer arrangements satisfactory to such Remedial Actions Declining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320"/>
        <w:gridCol w:w="498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assignment does not conflict with Applicable Laws;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a Remedial Actions Declining Lender that acts as the Administrative Agent may not be replaced hereunder except in accordance with the terms of </w:t>
      </w:r>
      <w:r>
        <w:rPr>
          <w:rFonts w:ascii="Times New Roman" w:hAnsi="Times New Roman"/>
          <w:b/>
          <w:i/>
          <w:caps w:val="false"/>
          <w:smallCaps w:val="false"/>
          <w:sz w:val="20"/>
        </w:rPr>
        <w:t>Section 9.06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20"/>
        <w:jc w:val="both"/>
        <w:rPr>
          <w:rFonts w:ascii="Times New Roman" w:hAnsi="Times New Roman"/>
          <w:caps w:val="false"/>
          <w:smallCaps w:val="false"/>
          <w:sz w:val="20"/>
        </w:rPr>
      </w:pPr>
      <w:r>
        <w:rPr>
          <w:rFonts w:ascii="Times New Roman" w:hAnsi="Times New Roman"/>
          <w:caps w:val="false"/>
          <w:smallCaps w:val="false"/>
          <w:sz w:val="20"/>
        </w:rPr>
        <w:t xml:space="preserve">Each party hereto agrees that (i) an assignment required pursuant to this </w:t>
      </w:r>
      <w:r>
        <w:rPr>
          <w:rFonts w:ascii="Times New Roman" w:hAnsi="Times New Roman"/>
          <w:b/>
          <w:i/>
          <w:caps w:val="false"/>
          <w:smallCaps w:val="false"/>
          <w:sz w:val="20"/>
        </w:rPr>
        <w:t xml:space="preserve">Section 11.13 </w:t>
      </w:r>
      <w:r>
        <w:rPr>
          <w:rFonts w:ascii="Times New Roman" w:hAnsi="Times New Roman"/>
          <w:caps w:val="false"/>
          <w:smallCaps w:val="false"/>
          <w:sz w:val="20"/>
        </w:rPr>
        <w:t xml:space="preserve">may be effected pursuant to an Assignment and Assumption executed by the Administrative Agent and the assignee and (ii) neither the Borrower nor the Remedial Actions Declining Lender required to make such assignment need be a party thereto in order for such assignment to be effective and shall be deemed to have consented to and be bound by the terms thereof; </w:t>
      </w:r>
      <w:r>
        <w:rPr>
          <w:rFonts w:ascii="Times New Roman" w:hAnsi="Times New Roman"/>
          <w:i/>
          <w:caps w:val="false"/>
          <w:smallCaps w:val="false"/>
          <w:sz w:val="20"/>
        </w:rPr>
        <w:t>provided</w:t>
      </w:r>
      <w:r>
        <w:rPr>
          <w:rFonts w:ascii="Times New Roman" w:hAnsi="Times New Roman"/>
          <w:caps w:val="false"/>
          <w:smallCaps w:val="false"/>
          <w:sz w:val="20"/>
        </w:rPr>
        <w:t>, that, following the effectiveness of any such assignment, the other parties to such assignment agree to execute and deliver such documents necessary to evidence such assignment as reasonably requested by the Borrower and the applicable Remedial Actions Declining Lender, provided further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485"/>
        <w:gridCol w:w="2915"/>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11.14</w:t>
            </w:r>
          </w:p>
        </w:tc>
        <w:tc>
          <w:tcPr>
            <w:tcW w:w="2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 Jurisdiction; Etc</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GOVERNING LAW</w:t>
      </w:r>
      <w:r>
        <w:rPr>
          <w:rFonts w:ascii="Times New Roman" w:hAnsi="Times New Roman"/>
          <w:caps w:val="false"/>
          <w:smallCaps w:val="false"/>
          <w:sz w:val="20"/>
        </w:rPr>
        <w:t>. THIS AGREEMENT AND THE OTHER LOAN DOCUMENTS (EXCEPT, AS TO ANY OTHER LOAN DOCUMENT, AS EXPRESSLY SET FORTH THEREIN) AND ANY CLAIMS, CONTROVERSY, DISPUTE OR CAUSE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SUBMISSION TO JURISDICTION</w:t>
      </w:r>
      <w:r>
        <w:rPr>
          <w:rFonts w:ascii="Times New Roman" w:hAnsi="Times New Roman"/>
          <w:caps w:val="false"/>
          <w:smallCaps w:val="false"/>
          <w:sz w:val="20"/>
        </w:rPr>
        <w:t>.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WAIVER OF VENUE</w:t>
      </w:r>
      <w:r>
        <w:rPr>
          <w:rFonts w:ascii="Times New Roman" w:hAnsi="Times New Roman"/>
          <w:caps w:val="false"/>
          <w:smallCaps w:val="false"/>
          <w:sz w:val="20"/>
        </w:rPr>
        <w:t xml:space="preserve">.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b/>
          <w:i/>
          <w:caps w:val="false"/>
          <w:smallCaps w:val="false"/>
          <w:sz w:val="20"/>
        </w:rPr>
        <w:t xml:space="preserve">CLAUSE (b) </w:t>
      </w:r>
      <w:r>
        <w:rPr>
          <w:rFonts w:ascii="Times New Roman" w:hAnsi="Times New Roman"/>
          <w:caps w:val="false"/>
          <w:smallCaps w:val="false"/>
          <w:sz w:val="20"/>
        </w:rPr>
        <w:t xml:space="preserve">OF THIS </w:t>
      </w:r>
      <w:r>
        <w:rPr>
          <w:rFonts w:ascii="Times New Roman" w:hAnsi="Times New Roman"/>
          <w:b/>
          <w:i/>
          <w:caps w:val="false"/>
          <w:smallCaps w:val="false"/>
          <w:sz w:val="20"/>
        </w:rPr>
        <w:t>SECTION 11.14</w:t>
      </w:r>
      <w:r>
        <w:rPr>
          <w:rFonts w:ascii="Times New Roman" w:hAnsi="Times New Roman"/>
          <w:caps w:val="false"/>
          <w:smallCaps w:val="false"/>
          <w:sz w:val="20"/>
        </w:rPr>
        <w:t>. EACH LOAN PARTY IRREVOCABLY AND UNCONDITIONALLY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SERVICE OF PROCESS</w:t>
      </w:r>
      <w:r>
        <w:rPr>
          <w:rFonts w:ascii="Times New Roman" w:hAnsi="Times New Roman"/>
          <w:caps w:val="false"/>
          <w:smallCaps w:val="false"/>
          <w:sz w:val="20"/>
        </w:rPr>
        <w:t xml:space="preserve">. EACH PARTY HERETO IRREVOCABLY CONSENTS TO SERVICE OF PROCESS IN THE MANNER PROVIDED FOR NOTICES IN </w:t>
      </w:r>
      <w:r>
        <w:rPr>
          <w:rFonts w:ascii="Times New Roman" w:hAnsi="Times New Roman"/>
          <w:b/>
          <w:i/>
          <w:caps w:val="false"/>
          <w:smallCaps w:val="false"/>
          <w:sz w:val="20"/>
        </w:rPr>
        <w:t>SECTION 11.02</w:t>
      </w:r>
      <w:r>
        <w:rPr>
          <w:rFonts w:ascii="Times New Roman" w:hAnsi="Times New Roman"/>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11.15    </w:t>
      </w:r>
      <w:r>
        <w:rPr>
          <w:rFonts w:ascii="Times New Roman" w:hAnsi="Times New Roman"/>
          <w:b/>
          <w:caps w:val="false"/>
          <w:smallCaps w:val="false"/>
          <w:sz w:val="20"/>
        </w:rPr>
        <w:t>Waiver of Jury Trial</w:t>
      </w:r>
      <w:r>
        <w:rPr>
          <w:rFonts w:ascii="Times New Roman" w:hAnsi="Times New Roman"/>
          <w:caps w:val="false"/>
          <w:smallCaps w:val="false"/>
          <w:sz w:val="20"/>
        </w:rPr>
        <w:t>. EACH PARTY HERETO HEREBY IRREVOCABLY WAIVES, TO THE FULLEST EXTENT PERMITTED BY APPLICABLE LAW, ANY RIGHT IT MAY HAVE TO A TRIAL BY JURY IN ANY LEGAL PROCEEDING DIRECTLY OR INDIRECTLY ARISING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hAnsi="Times New Roman"/>
          <w:b/>
          <w:i/>
          <w:caps w:val="false"/>
          <w:smallCaps w:val="false"/>
          <w:sz w:val="20"/>
        </w:rPr>
        <w:t>SECTION 11.15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11.16    </w:t>
      </w:r>
      <w:r>
        <w:rPr>
          <w:rFonts w:ascii="Times New Roman" w:hAnsi="Times New Roman"/>
          <w:b/>
          <w:caps w:val="false"/>
          <w:smallCaps w:val="false"/>
          <w:sz w:val="20"/>
        </w:rPr>
        <w:t>Subordination</w:t>
      </w:r>
      <w:r>
        <w:rPr>
          <w:rFonts w:ascii="Times New Roman" w:hAnsi="Times New Roman"/>
          <w:caps w:val="false"/>
          <w:smallCaps w:val="false"/>
          <w:sz w:val="20"/>
        </w:rPr>
        <w:t>. Each Loan Party (a “</w:t>
      </w:r>
      <w:r>
        <w:rPr>
          <w:rFonts w:ascii="Times New Roman" w:hAnsi="Times New Roman"/>
          <w:b/>
          <w:i/>
          <w:caps w:val="false"/>
          <w:smallCaps w:val="false"/>
          <w:sz w:val="20"/>
        </w:rPr>
        <w:t>Subordinating Loan Party</w:t>
      </w:r>
      <w:r>
        <w:rPr>
          <w:rFonts w:ascii="Times New Roman" w:hAnsi="Times New Roman"/>
          <w:caps w:val="false"/>
          <w:smallCaps w:val="false"/>
          <w:sz w:val="20"/>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event that any Loan Party receives any payment of any intercompany debt at a time when such payment is prohibited by this </w:t>
      </w:r>
      <w:r>
        <w:rPr>
          <w:rFonts w:ascii="Times New Roman" w:hAnsi="Times New Roman"/>
          <w:b/>
          <w:i/>
          <w:caps w:val="false"/>
          <w:smallCaps w:val="false"/>
          <w:sz w:val="20"/>
        </w:rPr>
        <w:t>Section 11.16</w:t>
      </w:r>
      <w:r>
        <w:rPr>
          <w:rFonts w:ascii="Times New Roman" w:hAnsi="Times New Roman"/>
          <w:caps w:val="false"/>
          <w:smallCaps w:val="false"/>
          <w:sz w:val="20"/>
        </w:rPr>
        <w:t>, such payment shall be held by such Loan Party, in trust for the benefit of, and shall be paid forthwith over and delivered, upon written request,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11.17    </w:t>
      </w:r>
      <w:r>
        <w:rPr>
          <w:rFonts w:ascii="Times New Roman" w:hAnsi="Times New Roman"/>
          <w:b/>
          <w:caps w:val="false"/>
          <w:smallCaps w:val="false"/>
          <w:sz w:val="20"/>
        </w:rPr>
        <w:t>No Advisory or Fiduciary Responsibility</w:t>
      </w:r>
      <w:r>
        <w:rPr>
          <w:rFonts w:ascii="Times New Roman" w:hAnsi="Times New Roman"/>
          <w:caps w:val="false"/>
          <w:smallCaps w:val="false"/>
          <w:sz w:val="20"/>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(a)(i) the arranging and other services regarding this Agreement provided by the Administrative Agent, the Arranger and the Lenders and their respective Affiliates are arm’s-length commercial transactions between each Loan Party and its Affiliates, on the one (1) hand, and the Administrative Agent, the Arranger and the Lenders and their respective Affiliates, on the other hand, (ii) each of the Loan Parties has consulted its own legal, accounting, regulatory and tax advisors to the extent it has deemed appropriate, and (iii) each Loan Party is capable of evaluating, and understands and accepts, the terms, risks and conditions of the transactions contemplated hereby and by the other Loan Documents; (b)(i) 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any Loan Party or any of its Affiliates, or any other Person and (ii) neither the Administrative Agent, the Arranger, nor any Lender nor any of their respective Affiliates has any obligation to any Loan Party or any of its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Loan Parties and their respective Affiliates, and neither the Administrative Agent, the Arranger, nor any Lender nor any of their respective Affiliates has any obligation to disclose any of such interests to any Loan Party or any of its Affiliates. To the fullest extent permitted by law, each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11.18    </w:t>
      </w:r>
      <w:r>
        <w:rPr>
          <w:rFonts w:ascii="Times New Roman" w:hAnsi="Times New Roman"/>
          <w:b/>
          <w:caps w:val="false"/>
          <w:smallCaps w:val="false"/>
          <w:sz w:val="20"/>
        </w:rPr>
        <w:t>Electronic Execution; Electronic Records; Counterparts</w:t>
      </w:r>
      <w:r>
        <w:rPr>
          <w:rFonts w:ascii="Times New Roman" w:hAnsi="Times New Roman"/>
          <w:caps w:val="false"/>
          <w:smallCaps w:val="false"/>
          <w:sz w:val="20"/>
        </w:rPr>
        <w:t xml:space="preserve">.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Recipient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(1) and the same Communication. For the avoidance of doubt, the authorization under this </w:t>
      </w:r>
      <w:r>
        <w:rPr>
          <w:rFonts w:ascii="Times New Roman" w:hAnsi="Times New Roman"/>
          <w:b/>
          <w:i/>
          <w:caps w:val="false"/>
          <w:smallCaps w:val="false"/>
          <w:sz w:val="20"/>
        </w:rPr>
        <w:t xml:space="preserve">paragraph </w:t>
      </w:r>
      <w:r>
        <w:rPr>
          <w:rFonts w:ascii="Times New Roman" w:hAnsi="Times New Roman"/>
          <w:caps w:val="false"/>
          <w:smallCaps w:val="false"/>
          <w:sz w:val="20"/>
        </w:rPr>
        <w:t>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Recipient Parties may, at its option, create one (1) or more copies of any Communication in the form of an imaged Electronic Record (“</w:t>
      </w:r>
      <w:r>
        <w:rPr>
          <w:rFonts w:ascii="Times New Roman" w:hAnsi="Times New Roman"/>
          <w:b/>
          <w:i/>
          <w:caps w:val="false"/>
          <w:smallCaps w:val="false"/>
          <w:sz w:val="20"/>
        </w:rPr>
        <w:t>Electronic Copy</w:t>
      </w:r>
      <w:r>
        <w:rPr>
          <w:rFonts w:ascii="Times New Roman" w:hAnsi="Times New Roman"/>
          <w:caps w:val="false"/>
          <w:smallCaps w:val="false"/>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without limiting the foregoing,</w:t>
      </w:r>
    </w:p>
    <w:p>
      <w:pPr>
        <w:pStyle w:val="TextBody"/>
        <w:bidi w:val="0"/>
        <w:spacing w:before="0" w:after="0"/>
        <w:ind w:left="360" w:right="0" w:hanging="20"/>
        <w:jc w:val="both"/>
        <w:rPr>
          <w:rFonts w:ascii="Times New Roman" w:hAnsi="Times New Roman"/>
          <w:caps w:val="false"/>
          <w:smallCaps w:val="false"/>
          <w:sz w:val="20"/>
        </w:rPr>
      </w:pPr>
      <w:r>
        <w:rPr>
          <w:rFonts w:ascii="Times New Roman" w:hAnsi="Times New Roman"/>
          <w:caps w:val="false"/>
          <w:smallCaps w:val="false"/>
          <w:sz w:val="20"/>
        </w:rPr>
        <w:t>(a) to the extent the Administrative Agent, L/C Issuer and/or Swingline Lender has agreed to accept such Electronic Signature, the Administrative Agent and each of the Lender Recipient Parties shall be entitled to rely on any such Electronic Signature purportedly given by or on behalf of any Loan Party and/or any Lender Recipient Party without further verification and (b) upon the request of the Administrative Agent or any Lender Recipient Party, any Electronic Signature shall be promptly followed by such manually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Each of the Loan Parties and each Lender Recipient Party hereby waives (i) any argument, defense or right to contest the legal effect, validity or enforceability of this Agreement or any other Loan Document based solely on the lack of paper original copies of this Agreement or such other Loan Document, and</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(ii) waives any claim against the Administrative Agent and each Lender Recipient Party for any liabilities arising solely from the Administrative Agent’s and/or any Lender Recipient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11.19    </w:t>
      </w:r>
      <w:r>
        <w:rPr>
          <w:rFonts w:ascii="Times New Roman" w:hAnsi="Times New Roman"/>
          <w:b/>
          <w:caps w:val="false"/>
          <w:smallCaps w:val="false"/>
          <w:sz w:val="20"/>
        </w:rPr>
        <w:t>USA Patriot Act Notice</w:t>
      </w:r>
      <w:r>
        <w:rPr>
          <w:rFonts w:ascii="Times New Roman" w:hAnsi="Times New Roman"/>
          <w:caps w:val="false"/>
          <w:smallCaps w:val="false"/>
          <w:sz w:val="20"/>
        </w:rPr>
        <w:t>. Each Lender that is subject to the Patriot Act and the Administrative Agent (for itself and not on behalf of any Lender) hereby notifies the Borrower and the other Loan Parties that pursuant to the requirements of the USA PATRIOT Act (</w:t>
      </w:r>
      <w:r>
        <w:rPr>
          <w:rFonts w:ascii="Times New Roman" w:hAnsi="Times New Roman"/>
          <w:i/>
          <w:caps w:val="false"/>
          <w:smallCaps w:val="false"/>
          <w:sz w:val="20"/>
        </w:rPr>
        <w:t xml:space="preserve">Title III </w:t>
      </w:r>
      <w:r>
        <w:rPr>
          <w:rFonts w:ascii="Times New Roman" w:hAnsi="Times New Roman"/>
          <w:caps w:val="false"/>
          <w:smallCaps w:val="false"/>
          <w:sz w:val="20"/>
        </w:rPr>
        <w:t>of Pub. L. 107-56 (signed into law October 26, 2001)) (the “</w:t>
      </w:r>
      <w:r>
        <w:rPr>
          <w:rFonts w:ascii="Times New Roman" w:hAnsi="Times New Roman"/>
          <w:b/>
          <w:i/>
          <w:caps w:val="false"/>
          <w:smallCaps w:val="false"/>
          <w:sz w:val="20"/>
        </w:rPr>
        <w:t>Patriot Act</w:t>
      </w:r>
      <w:r>
        <w:rPr>
          <w:rFonts w:ascii="Times New Roman" w:hAnsi="Times New Roman"/>
          <w:caps w:val="false"/>
          <w:smallCaps w:val="false"/>
          <w:sz w:val="20"/>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or any Lender, provide all such other documentation and information that the Administrative Agent or such Lender requests in order to comply with its ongoing obligations under applicable “</w:t>
      </w:r>
      <w:r>
        <w:rPr>
          <w:rFonts w:ascii="Times New Roman" w:hAnsi="Times New Roman"/>
          <w:i/>
          <w:caps w:val="false"/>
          <w:smallCaps w:val="false"/>
          <w:sz w:val="20"/>
        </w:rPr>
        <w:t>know your customer</w:t>
      </w:r>
      <w:r>
        <w:rPr>
          <w:rFonts w:ascii="Times New Roman" w:hAnsi="Times New Roman"/>
          <w:caps w:val="false"/>
          <w:smallCaps w:val="false"/>
          <w:sz w:val="20"/>
        </w:rPr>
        <w:t>” and anti-money laundering rules and regulations, including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11.20    </w:t>
      </w:r>
      <w:r>
        <w:rPr>
          <w:rFonts w:ascii="Times New Roman" w:hAnsi="Times New Roman"/>
          <w:b/>
          <w:caps w:val="false"/>
          <w:smallCaps w:val="false"/>
          <w:sz w:val="20"/>
        </w:rPr>
        <w:t>Acknowledgement and Consent to Bail-In of Affected Financial Institutions</w:t>
      </w:r>
      <w:r>
        <w:rPr>
          <w:rFonts w:ascii="Times New Roman" w:hAnsi="Times New Roman"/>
          <w:caps w:val="false"/>
          <w:smallCaps w:val="false"/>
          <w:sz w:val="20"/>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 w:hAnsi="Times New Roman"/>
          <w:caps w:val="false"/>
          <w:smallCaps w:val="false"/>
          <w:sz w:val="20"/>
        </w:rPr>
      </w:pPr>
      <w:r>
        <w:rPr>
          <w:rFonts w:ascii="Times New Roman" w:hAnsi="Times New Roman"/>
          <w:caps w:val="false"/>
          <w:smallCaps w:val="false"/>
          <w:sz w:val="20"/>
        </w:rPr>
        <w:t>(a)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245"/>
        <w:gridCol w:w="63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effects of any Bail-In Action on any such liability, including,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200"/>
        <w:gridCol w:w="52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5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reduction in full or in part or cancellation of any such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left"/>
        <w:rPr>
          <w:rFonts w:ascii="Times New Roman" w:hAnsi="Times New Roman"/>
          <w:caps w:val="false"/>
          <w:smallCaps w:val="false"/>
          <w:sz w:val="20"/>
        </w:rPr>
      </w:pPr>
      <w:r>
        <w:rPr>
          <w:rFonts w:ascii="Times New Roman" w:hAnsi="Times New Roman"/>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 w:hAnsi="Times New Roman"/>
          <w:caps w:val="false"/>
          <w:smallCaps w:val="false"/>
          <w:sz w:val="20"/>
        </w:rPr>
      </w:pPr>
      <w:r>
        <w:rPr>
          <w:rFonts w:ascii="Times New Roman" w:hAnsi="Times New Roman"/>
          <w:caps w:val="false"/>
          <w:smallCaps w:val="false"/>
          <w:sz w:val="20"/>
        </w:rPr>
        <w:t>11.21    </w:t>
      </w:r>
      <w:r>
        <w:rPr>
          <w:rFonts w:ascii="Times New Roman" w:hAnsi="Times New Roman"/>
          <w:b/>
          <w:caps w:val="false"/>
          <w:smallCaps w:val="false"/>
          <w:sz w:val="20"/>
        </w:rPr>
        <w:t>Acknowledgement Regarding Any Supported QFCs</w:t>
      </w:r>
      <w:r>
        <w:rPr>
          <w:rFonts w:ascii="Times New Roman" w:hAnsi="Times New Roman"/>
          <w:caps w:val="false"/>
          <w:smallCaps w:val="false"/>
          <w:sz w:val="20"/>
        </w:rPr>
        <w:t>. To the extent that the Loan Documents provide support, through a guarantee or otherwise, for any Swap Contract or any other agreement or instrument that is a QFC (such support, “</w:t>
      </w:r>
      <w:r>
        <w:rPr>
          <w:rFonts w:ascii="Times New Roman" w:hAnsi="Times New Roman"/>
          <w:b/>
          <w:i/>
          <w:caps w:val="false"/>
          <w:smallCaps w:val="false"/>
          <w:sz w:val="20"/>
        </w:rPr>
        <w:t>QFC Credit Support</w:t>
      </w:r>
      <w:r>
        <w:rPr>
          <w:rFonts w:ascii="Times New Roman" w:hAnsi="Times New Roman"/>
          <w:caps w:val="false"/>
          <w:smallCaps w:val="false"/>
          <w:sz w:val="20"/>
        </w:rPr>
        <w:t>”, and each such QFC, a “</w:t>
      </w:r>
      <w:r>
        <w:rPr>
          <w:rFonts w:ascii="Times New Roman" w:hAnsi="Times New Roman"/>
          <w:b/>
          <w:i/>
          <w:caps w:val="false"/>
          <w:smallCaps w:val="false"/>
          <w:sz w:val="20"/>
        </w:rPr>
        <w:t>Supported QFC</w:t>
      </w:r>
      <w:r>
        <w:rPr>
          <w:rFonts w:ascii="Times New Roman" w:hAnsi="Times New Roman"/>
          <w:caps w:val="false"/>
          <w:smallCaps w:val="false"/>
          <w:sz w:val="20"/>
        </w:rPr>
        <w:t xml:space="preserve">”), the parties acknowledge and agree as follows with respect to the resolution power of the Federal Deposit Insurance Corporation under the Federal Deposit Insurance Act and </w:t>
      </w:r>
      <w:r>
        <w:rPr>
          <w:rFonts w:ascii="Times New Roman" w:hAnsi="Times New Roman"/>
          <w:i/>
          <w:caps w:val="false"/>
          <w:smallCaps w:val="false"/>
          <w:sz w:val="20"/>
        </w:rPr>
        <w:t xml:space="preserve">Title II </w:t>
      </w:r>
      <w:r>
        <w:rPr>
          <w:rFonts w:ascii="Times New Roman" w:hAnsi="Times New Roman"/>
          <w:caps w:val="false"/>
          <w:smallCaps w:val="false"/>
          <w:sz w:val="20"/>
        </w:rPr>
        <w:t>of the Dodd-Frank Wall Street Reform and Consumer Protection Act (together with the regulations promulgated thereunder, the “</w:t>
      </w:r>
      <w:r>
        <w:rPr>
          <w:rFonts w:ascii="Times New Roman" w:hAnsi="Times New Roman"/>
          <w:b/>
          <w:i/>
          <w:caps w:val="false"/>
          <w:smallCaps w:val="false"/>
          <w:sz w:val="20"/>
        </w:rPr>
        <w:t>U.S. Special Resolution Regimes</w:t>
      </w:r>
      <w:r>
        <w:rPr>
          <w:rFonts w:ascii="Times New Roman" w:hAnsi="Times New Roman"/>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hAnsi="Times New Roman"/>
          <w:b/>
          <w:i/>
          <w:caps w:val="false"/>
          <w:smallCaps w:val="false"/>
          <w:sz w:val="20"/>
        </w:rPr>
        <w:t>Covered Party</w:t>
      </w:r>
      <w:r>
        <w:rPr>
          <w:rFonts w:ascii="Times New Roman" w:hAnsi="Times New Roman"/>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60" w:right="0" w:hanging="30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i/>
          <w:caps w:val="false"/>
          <w:smallCaps w:val="false"/>
          <w:sz w:val="20"/>
        </w:rPr>
        <w:t>Remainder of Page Intentionally Left Blank; Signature Pages Intentionally Omitted]</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3" w:name="ex_946878.htm"/>
      <w:bookmarkStart w:id="44" w:name="ksex_946878"/>
      <w:bookmarkEnd w:id="43"/>
      <w:bookmarkEnd w:id="44"/>
      <w:r>
        <w:rPr>
          <w:rFonts w:ascii="Times New Roman;Times;serif" w:hAnsi="Times New Roman;Times;serif"/>
          <w:b/>
          <w:sz w:val="20"/>
        </w:rPr>
        <w:t>EXHIBIT 19</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20" w:right="0" w:hanging="0"/>
        <w:jc w:val="center"/>
        <w:rPr>
          <w:rFonts w:ascii="Times New Roman" w:hAnsi="Times New Roman"/>
          <w:b/>
          <w:smallCaps/>
          <w:sz w:val="20"/>
        </w:rPr>
      </w:pPr>
      <w:r>
        <w:rPr>
          <w:rFonts w:ascii="Times New Roman" w:hAnsi="Times New Roman"/>
          <w:b/>
          <w:smallCaps/>
          <w:sz w:val="20"/>
        </w:rPr>
        <w:t>Tilray,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INSIDER TRADING AND TRADING WINDOW POLICY As Amended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60"/>
        <w:gridCol w:w="125"/>
        <w:gridCol w:w="10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policy determines acceptable transactions in the securities of Tilray, Inc. (the “</w:t>
      </w:r>
      <w:r>
        <w:rPr>
          <w:rFonts w:ascii="Times New Roman" w:hAnsi="Times New Roman"/>
          <w:b/>
          <w:i/>
          <w:caps w:val="false"/>
          <w:smallCaps w:val="false"/>
          <w:sz w:val="20"/>
        </w:rPr>
        <w:t>Company</w:t>
      </w:r>
      <w:r>
        <w:rPr>
          <w:rFonts w:ascii="Times New Roman" w:hAnsi="Times New Roman"/>
          <w:caps w:val="false"/>
          <w:smallCaps w:val="false"/>
          <w:sz w:val="20"/>
        </w:rPr>
        <w:t>”) by our employees, directors and consultants. During the course of your employment, directorship or consultancy with the Company, you may receive important information that is not yet publicly available (“</w:t>
      </w:r>
      <w:r>
        <w:rPr>
          <w:rFonts w:ascii="Times New Roman" w:hAnsi="Times New Roman"/>
          <w:b/>
          <w:i/>
          <w:caps w:val="false"/>
          <w:smallCaps w:val="false"/>
          <w:sz w:val="20"/>
        </w:rPr>
        <w:t>inside information</w:t>
      </w:r>
      <w:r>
        <w:rPr>
          <w:rFonts w:ascii="Times New Roman" w:hAnsi="Times New Roman"/>
          <w:caps w:val="false"/>
          <w:smallCaps w:val="false"/>
          <w:sz w:val="20"/>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hAnsi="Times New Roman"/>
          <w:b/>
          <w:i/>
          <w:caps w:val="false"/>
          <w:smallCaps w:val="false"/>
          <w:sz w:val="20"/>
        </w:rPr>
        <w:t>tippee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185"/>
        <w:gridCol w:w="183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Insider Trading Policy</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200"/>
        <w:gridCol w:w="19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9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Securities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w:t>
      </w:r>
      <w:r>
        <w:rPr>
          <w:rFonts w:ascii="Times New Roman" w:hAnsi="Times New Roman"/>
          <w:b/>
          <w:caps w:val="false"/>
          <w:smallCaps w:val="false"/>
          <w:sz w:val="20"/>
        </w:rPr>
        <w:t xml:space="preserve">appearance </w:t>
      </w:r>
      <w:r>
        <w:rPr>
          <w:rFonts w:ascii="Times New Roman" w:hAnsi="Times New Roman"/>
          <w:caps w:val="false"/>
          <w:smallCaps w:val="false"/>
          <w:sz w:val="20"/>
        </w:rPr>
        <w:t xml:space="preserve">of insider trading in securities be avoided. The only exception is that transactions directly with the Company, </w:t>
      </w:r>
      <w:r>
        <w:rPr>
          <w:rFonts w:ascii="Times New Roman" w:hAnsi="Times New Roman"/>
          <w:i/>
          <w:caps w:val="false"/>
          <w:smallCaps w:val="false"/>
          <w:sz w:val="20"/>
        </w:rPr>
        <w:t xml:space="preserve">e.g., </w:t>
      </w:r>
      <w:r>
        <w:rPr>
          <w:rFonts w:ascii="Times New Roman" w:hAnsi="Times New Roman"/>
          <w:caps w:val="false"/>
          <w:smallCaps w:val="false"/>
          <w:sz w:val="20"/>
        </w:rPr>
        <w:t xml:space="preserve">option exercises for cash or purchases under the Company’s employee stock purchase plan, are permitted. However, the subsequent </w:t>
      </w:r>
      <w:r>
        <w:rPr>
          <w:rFonts w:ascii="Times New Roman" w:hAnsi="Times New Roman"/>
          <w:b/>
          <w:caps w:val="false"/>
          <w:smallCaps w:val="false"/>
          <w:sz w:val="20"/>
        </w:rPr>
        <w:t xml:space="preserve">sale </w:t>
      </w:r>
      <w:r>
        <w:rPr>
          <w:rFonts w:ascii="Times New Roman" w:hAnsi="Times New Roman"/>
          <w:caps w:val="false"/>
          <w:smallCaps w:val="false"/>
          <w:sz w:val="20"/>
        </w:rPr>
        <w:t xml:space="preserve">(including the sale of shares in a cashless exercise program) or other disposition of such stock </w:t>
      </w:r>
      <w:r>
        <w:rPr>
          <w:rFonts w:ascii="Times New Roman" w:hAnsi="Times New Roman"/>
          <w:b/>
          <w:caps w:val="false"/>
          <w:smallCaps w:val="false"/>
          <w:sz w:val="20"/>
        </w:rPr>
        <w:t xml:space="preserve">is </w:t>
      </w:r>
      <w:r>
        <w:rPr>
          <w:rFonts w:ascii="Times New Roman" w:hAnsi="Times New Roman"/>
          <w:caps w:val="false"/>
          <w:smallCaps w:val="false"/>
          <w:sz w:val="20"/>
        </w:rPr>
        <w:t>fully subject to these restrictions.</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200"/>
        <w:gridCol w:w="15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5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Inside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w:t>
      </w:r>
      <w:r>
        <w:rPr>
          <w:rFonts w:ascii="Times New Roman" w:hAnsi="Times New Roman"/>
          <w:b/>
          <w:caps w:val="false"/>
          <w:smallCaps w:val="false"/>
          <w:sz w:val="20"/>
        </w:rPr>
        <w:t xml:space="preserve">you </w:t>
      </w:r>
      <w:r>
        <w:rPr>
          <w:rFonts w:ascii="Times New Roman" w:hAnsi="Times New Roman"/>
          <w:caps w:val="false"/>
          <w:smallCaps w:val="false"/>
          <w:sz w:val="20"/>
        </w:rPr>
        <w:t>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hAnsi="Times New Roman"/>
          <w:b/>
          <w:i/>
          <w:caps w:val="false"/>
          <w:smallCaps w:val="false"/>
          <w:sz w:val="20"/>
        </w:rPr>
        <w:t>Trading</w:t>
      </w:r>
      <w:r>
        <w:rPr>
          <w:rFonts w:ascii="Times New Roman" w:hAnsi="Times New Roman"/>
          <w:caps w:val="false"/>
          <w:smallCaps w:val="false"/>
          <w:sz w:val="20"/>
        </w:rPr>
        <w:t>” includes engaging in short sales, transactions in put or call options, hedging transactions and other inherently speculative transactions.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Although by no means an all-inclusive list, information about the following items may be considered to be inside information until it is publicly disseminated:</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55"/>
        <w:gridCol w:w="233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results or forecasts;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70"/>
        <w:gridCol w:w="2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new products or processes;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55"/>
        <w:gridCol w:w="521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5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or dispositions of assets, divisions, companies, etc.;</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pending public or private sales of debt or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55"/>
        <w:gridCol w:w="554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declaration of stock splits, dividends or changes in dividend policy;</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
        <w:gridCol w:w="125"/>
        <w:gridCol w:w="31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major contract awards or cancellations;</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60"/>
        <w:gridCol w:w="170"/>
        <w:gridCol w:w="3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3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scientific, clinical or regulatory results;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top management or control changes;</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55"/>
        <w:gridCol w:w="305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possible tender offers or proxy fights;</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60"/>
        <w:gridCol w:w="170"/>
        <w:gridCol w:w="1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writeoffs;</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55"/>
        <w:gridCol w:w="176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litigation;</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275"/>
        <w:gridCol w:w="19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impending bankruptcy;</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405"/>
        <w:gridCol w:w="7475"/>
      </w:tblGrid>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lllllllllllllllllllllllllllllllllllllll.</w:t>
            </w:r>
          </w:p>
        </w:tc>
        <w:tc>
          <w:tcPr>
            <w:tcW w:w="7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or loss of a significant license agreement or other contracts with customers or suppliers;</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5915"/>
        <w:gridCol w:w="3020"/>
      </w:tblGrid>
      <w:tr>
        <w:trPr/>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mmmmmmmmmmmmmmmmmmmmmmmmmmmmmmmmmmmmmmm.</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pricing changes or discount policies;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4160"/>
        <w:gridCol w:w="2900"/>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nnnnnnnnnnnnnnnnnnnnnnnnnnnnnnnnnnnnnnn.</w:t>
            </w:r>
          </w:p>
        </w:tc>
        <w:tc>
          <w:tcPr>
            <w:tcW w:w="2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partner relationships; and</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4160"/>
        <w:gridCol w:w="2360"/>
      </w:tblGrid>
      <w:tr>
        <w:trPr/>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ooooooooooooooooooooooooooooooooooooooo.</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of issuance of patents.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245"/>
        <w:gridCol w:w="61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Trading by Officers and Directors and Other Members of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Because the officers and directors and certain members of management of the Company are the most visible to the public and are most likely, in the view of the public, to possess inside information aboutthe Company, we require them to do more than refrain from insider trading. We require that they limit theirtransactions in the Company’s stock to defined time periods following public dissemination of quarterly and annual financial results and notify and receive prior approval from both the Chief Financial Officer and the Global General Counsel, prior to engaging in transactions in the Company’s stock.</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60"/>
        <w:gridCol w:w="200"/>
        <w:gridCol w:w="14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4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Covered Insiders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provisions outlined in this stock trading policy apply to all officers and directors of the</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Company. In addition, certain members of management and other employees, including any controller or member of the accounting and finance team involved in the preparation of Company financial statements, or such other individuals who are designated by the President or the Chief Financial Officer and Global General Counsel and informed of such designation, are subject to this policy because of their access to sensitive Company information. Generally, any entities or family members whose trading activities are controlled or influenced by any of such persons should be considered to be subject to the same restrictions.</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60"/>
        <w:gridCol w:w="200"/>
        <w:gridCol w:w="129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2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Window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Generally, except as set forth in this paragraphs B, C, D and F of this policy, officers and directors and other members of management may buy or sell securities of the Company only during a “</w:t>
      </w:r>
      <w:r>
        <w:rPr>
          <w:rFonts w:ascii="Times New Roman" w:hAnsi="Times New Roman"/>
          <w:b/>
          <w:i/>
          <w:caps w:val="false"/>
          <w:smallCaps w:val="false"/>
          <w:sz w:val="20"/>
        </w:rPr>
        <w:t>window period</w:t>
      </w:r>
      <w:r>
        <w:rPr>
          <w:rFonts w:ascii="Times New Roman" w:hAnsi="Times New Roman"/>
          <w:caps w:val="false"/>
          <w:smallCaps w:val="false"/>
          <w:sz w:val="20"/>
        </w:rPr>
        <w:t>” that opens after two full trading days have elapsed after the public dissemination of the Company’s annual or quarterly financial results and closes at the end of trading on the last trading day at the end of the Company’s fiscal a quarter. This window period may be closed early or may not open if, in the judgment of the Company’s President, Chief Financial Officer and Global General Counsel, there exists undisclosed information that would make trades by members of the Company’s management and directors inappropriate. It is important to note that the fact that the window period has closed early or has not opened should be considered inside information. An officer or director or other member of management who believes that special circumstances require him or her to trade outside the window period should consult with the Company’s Chief Financial Officer and Global General Counsel. Permission to trade outside the window period will be granted only where the circumstances are extenuating and there appears to be no significant risk that the trade may subsequently bequestioned.</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
        <w:gridCol w:w="200"/>
        <w:gridCol w:w="24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245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Exceptions to Window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ESPP/Option Exercises. </w:t>
            </w:r>
            <w:r>
              <w:rPr>
                <w:rFonts w:ascii="Times New Roman" w:hAnsi="Times New Roman"/>
                <w:caps w:val="false"/>
                <w:smallCaps w:val="false"/>
                <w:sz w:val="20"/>
              </w:rPr>
              <w:t>Officers and other members of management who are eligible to do so may purchase stock under any Company Employee Stock Purchase Plan (“</w:t>
            </w:r>
            <w:r>
              <w:rPr>
                <w:rFonts w:ascii="Times New Roman" w:hAnsi="Times New Roman"/>
                <w:b/>
                <w:i/>
                <w:caps w:val="false"/>
                <w:smallCaps w:val="false"/>
                <w:sz w:val="20"/>
              </w:rPr>
              <w:t>ESPP</w:t>
            </w:r>
            <w:r>
              <w:rPr>
                <w:rFonts w:ascii="Times New Roman" w:hAnsi="Times New Roman"/>
                <w:caps w:val="false"/>
                <w:smallCaps w:val="false"/>
                <w:sz w:val="20"/>
              </w:rPr>
              <w:t xml:space="preserve">”) on periodic designated dates in accordance with the ESPP without restriction to any particular period. Directors and officers and other members of management may exercise options for cash granted under the Company’s stock option plans without restriction to any particular period. However, the subsequent </w:t>
            </w:r>
            <w:r>
              <w:rPr>
                <w:rFonts w:ascii="Times New Roman" w:hAnsi="Times New Roman"/>
                <w:b/>
                <w:caps w:val="false"/>
                <w:smallCaps w:val="false"/>
                <w:sz w:val="20"/>
              </w:rPr>
              <w:t xml:space="preserve">sale </w:t>
            </w:r>
            <w:r>
              <w:rPr>
                <w:rFonts w:ascii="Times New Roman" w:hAnsi="Times New Roman"/>
                <w:caps w:val="false"/>
                <w:smallCaps w:val="false"/>
                <w:sz w:val="20"/>
              </w:rPr>
              <w:t xml:space="preserve">of the stock (including sales of stock in a cashless exercise) acquired upon the exercise of options or pursuant to the ESPP </w:t>
            </w:r>
            <w:r>
              <w:rPr>
                <w:rFonts w:ascii="Times New Roman" w:hAnsi="Times New Roman"/>
                <w:b/>
                <w:caps w:val="false"/>
                <w:smallCaps w:val="false"/>
                <w:sz w:val="20"/>
              </w:rPr>
              <w:t xml:space="preserve">is </w:t>
            </w:r>
            <w:r>
              <w:rPr>
                <w:rFonts w:ascii="Times New Roman" w:hAnsi="Times New Roman"/>
                <w:caps w:val="false"/>
                <w:smallCaps w:val="false"/>
                <w:sz w:val="20"/>
              </w:rPr>
              <w:t>subject to all provisions of this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10b5-1 Automatic Trading Programs. </w:t>
            </w:r>
            <w:r>
              <w:rPr>
                <w:rFonts w:ascii="Times New Roman" w:hAnsi="Times New Roman"/>
                <w:caps w:val="false"/>
                <w:smallCaps w:val="false"/>
                <w:sz w:val="20"/>
              </w:rPr>
              <w:t>In addition, purchases or sales of the Company’s securities made pursuant to, and in compliance with, a written plan established by a director, officer or other member of management that meets the requirements of Rule 10b5-1 under the Securities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(a “</w:t>
            </w:r>
            <w:r>
              <w:rPr>
                <w:rFonts w:ascii="Times New Roman" w:hAnsi="Times New Roman"/>
                <w:b/>
                <w:i/>
                <w:caps w:val="false"/>
                <w:smallCaps w:val="false"/>
                <w:sz w:val="20"/>
              </w:rPr>
              <w:t>Trading Plan</w:t>
            </w:r>
            <w:r>
              <w:rPr>
                <w:rFonts w:ascii="Times New Roman" w:hAnsi="Times New Roman"/>
                <w:caps w:val="false"/>
                <w:smallCaps w:val="false"/>
                <w:sz w:val="20"/>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 The Company must be notified of the establishment of any such Trading Plan, any amendments to such Trading Plan and the termination of such Trading Plan. All Company persons designated as reporting persons under Section 16 of the Exchange Act by the Board of Directors are required to conduct purchases or sales pursuant to Trading Plans. All Trading Plans shall be subject to a 30-day cooling off period between the date of adoption of a Trading Plan and the date of the first transaction.</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200"/>
        <w:gridCol w:w="42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42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Pre-Clearance and Advance Notice of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requirements of paragraph B above, officers and directors and other members of management may not engage in any transaction in the Company’s securities, including any purchase or sale in the open market, loan, or other transfer of beneficial ownership without first obtaining pre- clearance of the transaction from the Company’s Chief Financial Officer and Global General Counsel (each, a “</w:t>
      </w:r>
      <w:r>
        <w:rPr>
          <w:rFonts w:ascii="Times New Roman" w:hAnsi="Times New Roman"/>
          <w:b/>
          <w:i/>
          <w:caps w:val="false"/>
          <w:smallCaps w:val="false"/>
          <w:sz w:val="20"/>
        </w:rPr>
        <w:t>Clearing Officer</w:t>
      </w:r>
      <w:r>
        <w:rPr>
          <w:rFonts w:ascii="Times New Roman" w:hAnsi="Times New Roman"/>
          <w:caps w:val="false"/>
          <w:smallCaps w:val="false"/>
          <w:sz w:val="20"/>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underSection 16(a) of the Exchange Act, if any. Pre-cleared transactions not completed within five business daysshall require new pre-clearance under the provisions of this paragraph. The Company may, at its discretion,shorten such period of time.</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0"/>
        <w:gridCol w:w="185"/>
        <w:gridCol w:w="404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40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Prohibition of Speculative or Short-term Trading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No officer, director or other members of management may engage in short sales, transactions in put or call options, hedging transactions, margin accounts, pledges or other inherently speculative transactions with respect to the Company’s stock at any time.</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455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Short-Swing Trading/Control Stock/Section 16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260"/>
        <w:gridCol w:w="279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27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Duration of Policy’s Applicability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00"/>
        <w:gridCol w:w="7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Chief Financial Officer and Global General Counsel.</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5" w:name="ex_946879.htm"/>
      <w:bookmarkStart w:id="46" w:name="ksex_946879"/>
      <w:bookmarkEnd w:id="45"/>
      <w:bookmarkEnd w:id="46"/>
      <w:r>
        <w:rPr>
          <w:rFonts w:ascii="Times New Roman" w:hAnsi="Times New Roman"/>
          <w:b/>
          <w:caps w:val="false"/>
          <w:smallCaps w:val="false"/>
          <w:sz w:val="20"/>
        </w:rPr>
        <w:t>Exhibit 21.1</w:t>
      </w:r>
      <w:r>
        <w:br w:type="page"/>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SUBSIDIARIES OF TILRAY BRANDS,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caps w:val="false"/>
          <w:smallCaps w:val="false"/>
        </w:rPr>
      </w:pPr>
      <w:r>
        <w:rPr>
          <w:caps w:val="false"/>
          <w:smallCaps w:val="false"/>
        </w:rPr>
        <w:t> </w:t>
      </w:r>
    </w:p>
    <w:tbl>
      <w:tblPr>
        <w:tblW w:w="9685" w:type="dxa"/>
        <w:jc w:val="left"/>
        <w:tblInd w:w="0" w:type="dxa"/>
        <w:tblLayout w:type="fixed"/>
        <w:tblCellMar>
          <w:top w:w="0" w:type="dxa"/>
          <w:left w:w="0" w:type="dxa"/>
          <w:bottom w:w="28" w:type="dxa"/>
          <w:right w:w="0" w:type="dxa"/>
        </w:tblCellMar>
      </w:tblPr>
      <w:tblGrid>
        <w:gridCol w:w="7595"/>
        <w:gridCol w:w="2090"/>
      </w:tblGrid>
      <w:tr>
        <w:trPr/>
        <w:tc>
          <w:tcPr>
            <w:tcW w:w="7595"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 of entity</w:t>
            </w:r>
          </w:p>
        </w:tc>
        <w:tc>
          <w:tcPr>
            <w:tcW w:w="209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Place of incorporation</w:t>
            </w:r>
          </w:p>
        </w:tc>
      </w:tr>
      <w:tr>
        <w:trPr/>
        <w:tc>
          <w:tcPr>
            <w:tcW w:w="7595" w:type="dxa"/>
            <w:tcBorders>
              <w:top w:val="single" w:sz="6" w:space="0" w:color="000000"/>
              <w:left w:val="single" w:sz="6" w:space="0" w:color="000000"/>
              <w:bottom w:val="single" w:sz="6" w:space="0" w:color="000000"/>
              <w:right w:val="single" w:sz="6" w:space="0" w:color="000000"/>
            </w:tcBorders>
            <w:tcMar>
              <w:top w:w="28" w:type="dxa"/>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10 Barrel Brewing Idaho, LLC</w:t>
            </w:r>
          </w:p>
        </w:tc>
        <w:tc>
          <w:tcPr>
            <w:tcW w:w="2090" w:type="dxa"/>
            <w:tcBorders>
              <w:top w:val="single" w:sz="6" w:space="0" w:color="000000"/>
              <w:bottom w:val="single" w:sz="6" w:space="0" w:color="000000"/>
              <w:right w:val="single" w:sz="6" w:space="0" w:color="000000"/>
            </w:tcBorders>
            <w:tcMar>
              <w:top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(US-ID)</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10 Barrel Brewing,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(US-OR)</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1197879 B.C.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14U Pharma GmbH</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2618351 Ontario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2656751 Ontario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2787643 Ontario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48North Amalco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48North Cannabis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5048963 Ontario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5054220 Ontario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51st Avenue Denver</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9037136 Canada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ABC Beverages Properties,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ABP S.A.</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Argentina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American Beverage Crafts Group. Inc. fka Four Twenty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American Beverage Crafts,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Diamond Inc. fka 1974568 Ontario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Germany GmbH fka Nuuvera Deutschland GmbH</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GP Holdings ULC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RX GMBH fka Deutschland GmbH</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Aphria Wellbeing GmbH</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BBI Acquisition Company</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Blue Point Brewing Company,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Brewery Lane,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Brewery,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Holding Company,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 Santa Fe Drive,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Breckenridge-Wynkoop 2,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BrewDog Brewing Australia Pty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Australia </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BrewDog Ireland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(ROI)</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Broken Coast Cannabis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Broken Coast Cannabis Limited Partnership</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Cannfections Group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CC Pharma GmbH</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Cheese Grits,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(US-GA)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Colcanna S.A.S.</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Colombia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DelShen Therapeutics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Detroit Rivertown Brewing Company,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(US-MI)</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Dorada Ventures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Double Diamond Distillery,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Eezy Group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FHF Holdings fka 1037270 B.C.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Fresh Hemp Foods Ltd. dba Manitoba Harvest</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Good &amp; Green Cannabis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Good &amp; Green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Hampstead International,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Barbados</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HEXO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HEXO Operations,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HEXO USA,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HiBall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Botanicals B.V.</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The Netherlands</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Farms Ltd. fka Bouchard Ventures</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Gardens,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Holdings B.V. </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The Netherlands</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Holdings Ltd. fka High Park Cannabis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High Park Shops Inc. B.C.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Latam Holdings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Liquid GR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(US-MI)</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Lyphe Clinic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Lyphe Dispensary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Lyphe Subco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Manitoba Harvest USA,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Marigold Projects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Jamaica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McKenzie River Brewing Company,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(US-OR)</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MMJ International Investments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(CA-BC)</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Montauk Brewing Company</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Natura Naturals Holdings,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Natura Naturals,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Nuuvera Holdings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Canadian </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Nuuvera Israel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Israel</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Ottley Drive Corporation</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Park Brewing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(US-MI)</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PDX Mississippi Ave,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Privateer Evolution,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Revolver Brewing,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(US-TX)</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Solana Life Group, S de R.L.</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Panama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Superhero Acquisition Corp.</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Superhero Acquisition LP</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SW Brewing Company,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SweetWater Brewing Company,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(US-GA)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SweetWater Colorado Brewing Company,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Terrapin Beer Company</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(US-GA)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ABC,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Alternative Beverages,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Australia New Zealand Pty.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Australia</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Beverages UK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Beverages,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Brands UK, Ltd. fka Tilray Wellness UK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BrewDog U.S. Holdco,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BrewDog U.S.,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Deutschland GmbH fka Pining Ventures GmbH</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Germany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Enroot,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Fort Collins,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France SAS</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France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General Trading FZE</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(UAE)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Holdco M,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Lyphe UK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Medical Italia S.r.l. fka FL Group S.r.l.</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Italy</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Tilray Medical USA,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Portugal Unipessoal, Lda.</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Portugal</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Services 1,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Ventures Limited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Ireland</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Tilray Wellness,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(US-DE)</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TMHMD, Inc.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(CA-ON)</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Travel Clinic Farnborough Ltd.</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283"/>
              <w:jc w:val="left"/>
              <w:rPr>
                <w:rFonts w:ascii="Arial;Helvetica;sans-serif" w:hAnsi="Arial;Helvetica;sans-serif"/>
                <w:color w:val="000000"/>
                <w:sz w:val="22"/>
              </w:rPr>
            </w:pPr>
            <w:r>
              <w:rPr>
                <w:rFonts w:ascii="Arial;Helvetica;sans-serif" w:hAnsi="Arial;Helvetica;sans-serif"/>
                <w:color w:val="000000"/>
                <w:sz w:val="22"/>
              </w:rPr>
              <w:t>United Kingdom</w:t>
            </w:r>
          </w:p>
        </w:tc>
      </w:tr>
      <w:tr>
        <w:trPr/>
        <w:tc>
          <w:tcPr>
            <w:tcW w:w="7595" w:type="dxa"/>
            <w:tcBorders>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Truss CBD USA, LLC</w:t>
            </w:r>
          </w:p>
        </w:tc>
        <w:tc>
          <w:tcPr>
            <w:tcW w:w="2090" w:type="dxa"/>
            <w:tcBorders>
              <w:bottom w:val="single" w:sz="6" w:space="0" w:color="000000"/>
              <w:right w:val="single" w:sz="6" w:space="0" w:color="000000"/>
            </w:tcBorders>
            <w:tcMar>
              <w:right w:w="28" w:type="dxa"/>
            </w:tcMar>
            <w:vAlign w:val="center"/>
          </w:tcPr>
          <w:p>
            <w:pPr>
              <w:pStyle w:val="TableContents"/>
              <w:bidi w:val="0"/>
              <w:spacing w:before="0" w:after="0"/>
              <w:jc w:val="left"/>
              <w:rPr>
                <w:rFonts w:ascii="Aptos Narrow;sans-serif" w:hAnsi="Aptos Narrow;sans-serif"/>
                <w:b w:val="false"/>
                <w:i w:val="false"/>
                <w:caps w:val="false"/>
                <w:smallCaps w:val="false"/>
                <w:strike w:val="false"/>
                <w:dstrike w:val="false"/>
                <w:color w:val="000000"/>
                <w:sz w:val="23"/>
                <w:u w:val="none"/>
                <w:effect w:val="none"/>
              </w:rPr>
            </w:pPr>
            <w:r>
              <w:rPr>
                <w:rFonts w:ascii="Aptos Narrow;sans-serif" w:hAnsi="Aptos Narrow;sans-serif"/>
                <w:b w:val="false"/>
                <w:i w:val="false"/>
                <w:caps w:val="false"/>
                <w:smallCaps w:val="false"/>
                <w:strike w:val="false"/>
                <w:dstrike w:val="false"/>
                <w:color w:val="000000"/>
                <w:sz w:val="23"/>
                <w:u w:val="none"/>
                <w:effect w:val="none"/>
              </w:rPr>
              <w:t>(US-CO)</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r>
        <w:trPr/>
        <w:tc>
          <w:tcPr>
            <w:tcW w:w="7595"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946880.htm"/>
      <w:bookmarkStart w:id="48" w:name="ksex_946880"/>
      <w:bookmarkEnd w:id="47"/>
      <w:bookmarkEnd w:id="48"/>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the Registration Statements on Form S-3 (No. 333-290806) and Forms S-8 (No. 333-272838, 333-266695, 333-256023, 333-238179, 333-235581, 333-231539, 333-226267, and 333-274661) of Tilray Brands, Inc. of our report dated July 28, 2026 relating to the consolidated financial statements and the effectiveness of internal control over financial reporting, which appears in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PricewaterhouseCoopers LLP</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Chartered Professional Accountants, Licensed Public Accountants</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Toronto, Canada</w:t>
      </w:r>
    </w:p>
    <w:p>
      <w:pPr>
        <w:pStyle w:val="TextBody"/>
        <w:bidi w:val="0"/>
        <w:spacing w:lineRule="auto" w:line="420"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9" w:name="ex_946881.htm"/>
      <w:bookmarkStart w:id="50" w:name="ksex_946881"/>
      <w:bookmarkEnd w:id="49"/>
      <w:bookmarkEnd w:id="50"/>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Irwin Simon, certify that:</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Tilray Brands,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610"/>
        <w:gridCol w:w="60"/>
        <w:gridCol w:w="320"/>
        <w:gridCol w:w="320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1" w:name="led276483F2023421683042175765"/>
            <w:bookmarkEnd w:id="51"/>
            <w:r>
              <w:rPr>
                <w:rFonts w:ascii="Times New Roman" w:hAnsi="Times New Roman"/>
                <w:caps w:val="false"/>
                <w:smallCaps w:val="false"/>
                <w:sz w:val="20"/>
              </w:rPr>
              <w:t>July 28,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Irwin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Irwin Simon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2" w:name="ex_946882.htm"/>
      <w:bookmarkStart w:id="53" w:name="ksex_946882"/>
      <w:bookmarkEnd w:id="52"/>
      <w:bookmarkEnd w:id="53"/>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RULES 13a-14(a) AND 15d-14(a)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Carl Merton, certify that:</w:t>
      </w:r>
    </w:p>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Tilray Brands,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610"/>
        <w:gridCol w:w="60"/>
        <w:gridCol w:w="320"/>
        <w:gridCol w:w="197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4" w:name="led276483F2023421683042202696"/>
            <w:bookmarkEnd w:id="54"/>
            <w:r>
              <w:rPr>
                <w:rFonts w:ascii="Times New Roman" w:hAnsi="Times New Roman"/>
                <w:caps w:val="false"/>
                <w:smallCaps w:val="false"/>
                <w:sz w:val="20"/>
              </w:rPr>
              <w:t>July 28,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Carl Merton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Carl Merton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5" w:name="ex_946883.htm"/>
      <w:bookmarkStart w:id="56" w:name="ksex_946883"/>
      <w:bookmarkEnd w:id="55"/>
      <w:bookmarkEnd w:id="56"/>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Irwin Simon, President and Chief Executive Officer of Tilray Brands, Inc. (the “Company”), and Carl Merton, Chief Financial Officer of the Company, each hereby certifies that, to the best of his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w:t>
            </w:r>
          </w:p>
        </w:tc>
        <w:tc>
          <w:tcPr>
            <w:tcW w:w="100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Annual Report on Form 10-K for the fiscal year ended </w:t>
            </w:r>
            <w:bookmarkStart w:id="57" w:name="led276483F2023421683042229460"/>
            <w:bookmarkEnd w:id="57"/>
            <w:r>
              <w:rPr>
                <w:rFonts w:ascii="Times New Roman" w:hAnsi="Times New Roman"/>
                <w:caps w:val="false"/>
                <w:smallCaps w:val="false"/>
                <w:sz w:val="20"/>
              </w:rPr>
              <w:t>May 31, 2026, to which this Certification is attached as Exhibit 32.1 (the “Annual Report”), fully complies with the requirements of Section 13(a) or Section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w:t>
            </w:r>
          </w:p>
        </w:tc>
        <w:tc>
          <w:tcPr>
            <w:tcW w:w="10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smallCaps/>
          <w:sz w:val="20"/>
        </w:rPr>
      </w:pPr>
      <w:r>
        <w:rPr>
          <w:rFonts w:ascii="Times New Roman" w:hAnsi="Times New Roman"/>
          <w:b/>
          <w:smallCaps/>
          <w:sz w:val="20"/>
        </w:rPr>
        <w:t>In Witness Whereof</w:t>
      </w:r>
      <w:r>
        <w:rPr>
          <w:rFonts w:ascii="Times New Roman" w:hAnsi="Times New Roman"/>
          <w:smallCaps/>
          <w:sz w:val="20"/>
        </w:rPr>
        <w:t xml:space="preserve">, the undersigned have set their hands hereto as of the 28th day of July </w:t>
      </w:r>
      <w:bookmarkStart w:id="58" w:name="led276483F2023421683042242072"/>
      <w:bookmarkEnd w:id="58"/>
      <w:r>
        <w:rPr>
          <w:rFonts w:ascii="Times New Roman" w:hAnsi="Times New Roman"/>
          <w:smallCaps/>
          <w:sz w:val="20"/>
        </w:rPr>
        <w:t>2026.</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080"/>
        <w:gridCol w:w="60"/>
        <w:gridCol w:w="1880"/>
      </w:tblGrid>
      <w:tr>
        <w:trPr/>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Irwin Simon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Carl Merton</w:t>
            </w:r>
          </w:p>
        </w:tc>
      </w:tr>
      <w:tr>
        <w:trPr/>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Irwin Simon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Carl Merton</w:t>
            </w:r>
          </w:p>
        </w:tc>
      </w:tr>
      <w:tr>
        <w:trPr/>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This certification accompanies the Form 10-K to which it relates, is not deemed filed with the Securities and Exchange Commission and is not to be incorporated by reference into any filing of Tilray Brands,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9" w:name="ex_946884.htm"/>
      <w:bookmarkStart w:id="60" w:name="ksex_946884"/>
      <w:bookmarkEnd w:id="59"/>
      <w:bookmarkEnd w:id="60"/>
      <w:r>
        <w:rPr>
          <w:rFonts w:ascii="Times New Roman;Times;serif" w:hAnsi="Times New Roman;Times;serif"/>
          <w:b/>
          <w:sz w:val="20"/>
        </w:rPr>
        <w:t>EXHIBIT 97.1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TILRAY BRANDS,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POLICY FOR RECOVERY OF ERRONEOUSLY AWARDED INCENTIVE COMPENSATION</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(Effective Date of Policy: September 13, 2023)</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1.    INTRODUCTION</w:t>
        <w:br/>
        <w:t>Tilray Brands, Inc., a Delaware corporation (the “Company”), is adopting this policy (this “Policy”) to provide for the Company’s recovery of certain Incentive Compensation (as defined below) erroneously awarded to Affected Officers (as defined below) under certain circumstances. </w:t>
        <w:br/>
        <w:t>This Policy is administered by the Compensation Committee (the “Committee”) of the Company’s Board of Directors (the “Board”).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 </w:t>
        <w:br/>
        <w:t>This Policy is intended to comply with Section 10D of the Securities and Exchange Act of 1934, as amended (the “Exchange Act”), Rule 10D-1 thereunder and the applicable rules of any national securities exchange on which the Company’s securities are listed (the “Exchange”) and will be interpreted and administered consistent with that intent.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2.    EFFECTIVE DATE</w:t>
        <w:br/>
        <w:t>This Policy shall apply to all Incentive Compensation paid or awarded on or after the Effective Date of this Policy, and to the extent permitted or required by applicable law.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3.    DEFINITIONS</w:t>
        <w:br/>
        <w:t>For purposes of this Policy, the following terms shall have the meanings set forth below: </w:t>
        <w:br/>
        <w:t>“Affected Officer” means any current or former “officer” as defined in Exchange Act Rule 16a-1, and any other senior executives as determined by the Committee.</w:t>
        <w:br/>
        <w:t>“Erroneously Awarded Compensation”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br/>
        <w:t>“Financial Reporting Measure”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 </w:t>
        <w:br/>
        <w:t>“Incentive Compensation”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br/>
        <w:t>“Restatement”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4.    RECOVERY </w:t>
        <w:br/>
        <w:t>If the Company is required to prepare a Restatement, the Company shall seek to recover and claw back from any Affected Officer reasonably promptly the Erroneously Awarded Compensation that is received by the Affected Officer: </w:t>
        <w:br/>
        <w:t>(i)    after the person begins service as an Affected Officer;</w:t>
        <w:br/>
        <w:t>(ii)    who serves as an Affected Officer at any time during the performance period for that Incentive Compensation; </w:t>
        <w:br/>
        <w:t>(iii)    while the Company has a class of securities listed on the Exchange; and</w:t>
        <w:br/>
        <w:t>(iv)    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 </w:t>
        <w:b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For purposes of this Policy:</w:t>
        <w:br/>
        <w:t>•    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br/>
        <w:t>•    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 </w:t>
        <w:b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5.    SOURCES OF RECOUPMENT</w:t>
        <w:b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6.    LIMITED EXCEPTIONS TO RECOVERY</w:t>
        <w:b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br/>
        <w:t>(i)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 </w:t>
        <w:br/>
        <w:t>(ii)    Recovery would violate home country law where the law was adopted prior to November 28, 2022, and the Company provides an opinion of home country counsel to that effect to the Exchange that is acceptable to the Exchange; or</w:t>
        <w:br/>
        <w:t>(iii)    Recovery would likely cause an otherwise tax-qualified retirement plan to fail to meet the requirements of the Internal Revenue Code of 1986, as amended.</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7.    NO INDEMNIFICATION OR INSURANCE</w:t>
        <w:br/>
        <w:t>The Company will not indemnify, insure or otherwise reimburse any Affected Officer against the recovery of Erroneously Awarded Compensation.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br/>
        <w:t>8.    NO IMPAIRMENT OF OTHER REMEDIES</w:t>
        <w:b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 w:name="Aptos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31348/000143774925000868/ex_761773.htm" TargetMode="External"/><Relationship Id="rId4" Type="http://schemas.openxmlformats.org/officeDocument/2006/relationships/hyperlink" Target="http://www.sec.gov/Archives/edgar/data/1731348/000143774925036448/ex_892363.htm" TargetMode="External"/><Relationship Id="rId5" Type="http://schemas.openxmlformats.org/officeDocument/2006/relationships/hyperlink" Target="http://www.sec.gov/Archives/edgar/data/0001731348/000156459022000856/tlry-ex32_7.htm" TargetMode="External"/><Relationship Id="rId6" Type="http://schemas.openxmlformats.org/officeDocument/2006/relationships/hyperlink" Target="http://www.sec.gov/Archives/edgar/data/1731348/000114036123027543/ny20009174x9_ex4-1.htm" TargetMode="External"/><Relationship Id="rId7" Type="http://schemas.openxmlformats.org/officeDocument/2006/relationships/hyperlink" Target="http://www.sec.gov/Archives/edgar/data/1731348/000114036123027543/ny20009174x9_ex4-2.htm" TargetMode="External"/><Relationship Id="rId8" Type="http://schemas.openxmlformats.org/officeDocument/2006/relationships/hyperlink" Target="http://www.sec.gov/Archives/edgar/data/1731348/000119312520075221/d836331dex41.htm" TargetMode="External"/><Relationship Id="rId9" Type="http://schemas.openxmlformats.org/officeDocument/2006/relationships/hyperlink" Target="http://www.sec.gov/Archives/edgar/data/1731348/000119312520075221/d836331dex42.htm" TargetMode="External"/><Relationship Id="rId10" Type="http://schemas.openxmlformats.org/officeDocument/2006/relationships/hyperlink" Target="http://www.sec.gov/Archives/edgar/data/1731348/000117184322000583/exh_41.htm" TargetMode="External"/><Relationship Id="rId11" Type="http://schemas.openxmlformats.org/officeDocument/2006/relationships/hyperlink" Target="http://www.sec.gov/Archives/edgar/data/1731348/000117184322000583/exh_42.htm" TargetMode="External"/><Relationship Id="rId12" Type="http://schemas.openxmlformats.org/officeDocument/2006/relationships/hyperlink" Target="http://www.sec.gov/Archives/edgar/data/1731348/000119312518214179/d545137dex102.htm" TargetMode="External"/><Relationship Id="rId13" Type="http://schemas.openxmlformats.org/officeDocument/2006/relationships/hyperlink" Target="http://www.sec.gov/Archives/edgar/data/1731348/000119312518214179/d545137dex104.htm" TargetMode="External"/><Relationship Id="rId14" Type="http://schemas.openxmlformats.org/officeDocument/2006/relationships/hyperlink" Target="http://www.sec.gov/Archives/edgar/data/1731348/000119312518214179/d545137dex105.htm" TargetMode="External"/><Relationship Id="rId15" Type="http://schemas.openxmlformats.org/officeDocument/2006/relationships/hyperlink" Target="http://www.sec.gov/Archives/edgar/data/0001731348/000156459021038648/tlry-ex1039_688.htm" TargetMode="External"/><Relationship Id="rId16" Type="http://schemas.openxmlformats.org/officeDocument/2006/relationships/hyperlink" Target="http://www.sec.gov/Archives/edgar/data/0001731348/000156459021050422/tlry-ex101_15.htm" TargetMode="External"/><Relationship Id="rId17" Type="http://schemas.openxmlformats.org/officeDocument/2006/relationships/hyperlink" Target="http://www.sec.gov/Archives/edgar/data/0001731348/000156459021050422/tlry-ex102_16.htm" TargetMode="External"/><Relationship Id="rId18" Type="http://schemas.openxmlformats.org/officeDocument/2006/relationships/hyperlink" Target="http://www.sec.gov/Archives/edgar/data/0001731348/000156459021050422/tlry-ex104_13.htm" TargetMode="External"/><Relationship Id="rId19" Type="http://schemas.openxmlformats.org/officeDocument/2006/relationships/hyperlink" Target="http://www.sec.gov/Archives/edgar/data/1731348/000156459022026894/tlry-ex1014_195.htm" TargetMode="External"/><Relationship Id="rId20" Type="http://schemas.openxmlformats.org/officeDocument/2006/relationships/hyperlink" Target="http://www.sec.gov/Archives/edgar/data/0001731348/000114036122025850/brhc10039584_ex10-7.htm" TargetMode="External"/><Relationship Id="rId21" Type="http://schemas.openxmlformats.org/officeDocument/2006/relationships/hyperlink" Target="http://www.sec.gov/Archives/edgar/data/1731348/000143774923022325/ex_548126.htm" TargetMode="External"/><Relationship Id="rId22" Type="http://schemas.openxmlformats.org/officeDocument/2006/relationships/hyperlink" Target="http://www.sec.gov/Archives/edgar/data/1731348/000143774923027331/ex_575564.htm" TargetMode="External"/><Relationship Id="rId23" Type="http://schemas.openxmlformats.org/officeDocument/2006/relationships/hyperlink" Target="http://www.sec.gov/Archives/edgar/data/1731348/000143774923027672/ex_572059.htm" TargetMode="External"/><Relationship Id="rId24" Type="http://schemas.openxmlformats.org/officeDocument/2006/relationships/hyperlink" Target="http://www.sec.gov/Archives/edgar/data/1731348/000143774924001001/ex_610740.htm" TargetMode="External"/><Relationship Id="rId25" Type="http://schemas.openxmlformats.org/officeDocument/2006/relationships/hyperlink" Target="http://www.sec.gov/Archives/edgar/data/1731348/000143774924011541/ex_637901.htm" TargetMode="External"/><Relationship Id="rId26" Type="http://schemas.openxmlformats.org/officeDocument/2006/relationships/hyperlink" Target="http://www.sec.gov/Archives/edgar/data/1731348/000114036123042396/brhc20058217_ex10-1.htm" TargetMode="External"/><Relationship Id="rId27" Type="http://schemas.openxmlformats.org/officeDocument/2006/relationships/hyperlink" Target="http://www.sec.gov/Archives/edgar/data/1731348/000143774923027331/ex_575565.htm" TargetMode="External"/><Relationship Id="rId28" Type="http://schemas.openxmlformats.org/officeDocument/2006/relationships/hyperlink" Target="http://www.sec.gov/Archives/edgar/data/1731348/000143774924001001/ex_612768.htm" TargetMode="External"/><Relationship Id="rId29" Type="http://schemas.openxmlformats.org/officeDocument/2006/relationships/hyperlink" Target="http://www.sec.gov/Archives/edgar/data/1731348/000143774924011541/ex_648284.htm" TargetMode="External"/><Relationship Id="rId30" Type="http://schemas.openxmlformats.org/officeDocument/2006/relationships/hyperlink" Target="http://www.sec.gov/Archives/edgar/data/1731348/000143774924031042/ex_729203.htm" TargetMode="External"/><Relationship Id="rId31" Type="http://schemas.openxmlformats.org/officeDocument/2006/relationships/hyperlink" Target="http://www.sec.gov/Archives/edgar/data/1731348/000143774924032999/ex_741645.htm" TargetMode="External"/><Relationship Id="rId32" Type="http://schemas.openxmlformats.org/officeDocument/2006/relationships/hyperlink" Target="http://www.sec.gov/Archives/edgar/data/1731348/000143774925005242/ex_782816.htm" TargetMode="External"/><Relationship Id="rId33" Type="http://schemas.openxmlformats.org/officeDocument/2006/relationships/hyperlink" Target="http://www.sec.gov/Archives/edgar/data/1731348/000143774925023703/ex_842400.htm" TargetMode="External"/><Relationship Id="rId34" Type="http://schemas.openxmlformats.org/officeDocument/2006/relationships/hyperlink" Target="http://www.sec.gov/Archives/edgar/data/1731348/000143774925030797/ex_866869.htm" TargetMode="External"/><Relationship Id="rId35" Type="http://schemas.openxmlformats.org/officeDocument/2006/relationships/hyperlink" Target="http://www.sec.gov/Archives/edgar/data/1731348/000143774925030797/ex_867341.htm" TargetMode="External"/><Relationship Id="rId36" Type="http://schemas.openxmlformats.org/officeDocument/2006/relationships/hyperlink" Target="http://www.sec.gov/Archives/edgar/data/1731348/000143774926010907/ex_934071.htm" TargetMode="External"/><Relationship Id="rId37" Type="http://schemas.openxmlformats.org/officeDocument/2006/relationships/hyperlink" Target="http://www.sec.gov/Archives/edgar/data/1731348/000114036126014692/ny20066669x2_ex1-1.htm" TargetMode="External"/><Relationship Id="rId38" Type="http://schemas.openxmlformats.org/officeDocument/2006/relationships/hyperlink" Target="http://www.sec.gov/Archives/edgar/data/1731348/000143774924031042/ex_729202.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180881</Words>
  <Characters>983548</Characters>
  <CharactersWithSpaces>1171867</CharactersWithSpaces>
  <Paragraphs>25348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