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189230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8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0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8, 2026</w:t>
      </w:r>
    </w:p>
    <w:p>
      <w:pPr>
        <w:spacing w:after="0" w:line="20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Tilray Brands, Inc.</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1"/>
          <w:szCs w:val="21"/>
          <w:color w:val="auto"/>
        </w:rPr>
        <w:t>_______________________________</w:t>
      </w:r>
    </w:p>
    <w:p>
      <w:pPr>
        <w:sectPr>
          <w:pgSz w:w="11900" w:h="16838" w:orient="portrait"/>
          <w:cols w:equalWidth="0" w:num="1">
            <w:col w:w="11240"/>
          </w:cols>
          <w:pgMar w:left="320" w:top="495" w:right="339" w:bottom="1440" w:gutter="0" w:footer="0" w:header="0"/>
        </w:sectPr>
      </w:pPr>
    </w:p>
    <w:p>
      <w:pPr>
        <w:spacing w:after="0" w:line="21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2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24"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40" w:space="720"/>
            <w:col w:w="3120"/>
          </w:cols>
          <w:pgMar w:left="320" w:top="495"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N8H 4H3</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845-7291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1"/>
          <w:szCs w:val="21"/>
          <w:color w:val="auto"/>
        </w:rPr>
        <w:t>_______________________________</w:t>
      </w:r>
    </w:p>
    <w:p>
      <w:pPr>
        <w:spacing w:after="0" w:line="216" w:lineRule="exact"/>
        <w:rPr>
          <w:sz w:val="24"/>
          <w:szCs w:val="24"/>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40" w:hanging="24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 w:lineRule="exact"/>
        <w:rPr>
          <w:rFonts w:ascii="MS PGothic" w:cs="MS PGothic" w:eastAsia="MS PGothic" w:hAnsi="MS PGothic"/>
          <w:sz w:val="18"/>
          <w:szCs w:val="18"/>
          <w:color w:val="auto"/>
        </w:rPr>
      </w:pPr>
    </w:p>
    <w:p>
      <w:pPr>
        <w:ind w:left="340" w:hanging="24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 w:lineRule="exact"/>
        <w:rPr>
          <w:rFonts w:ascii="MS PGothic" w:cs="MS PGothic" w:eastAsia="MS PGothic" w:hAnsi="MS PGothic"/>
          <w:sz w:val="18"/>
          <w:szCs w:val="18"/>
          <w:color w:val="auto"/>
        </w:rPr>
      </w:pPr>
    </w:p>
    <w:p>
      <w:pPr>
        <w:ind w:left="340" w:hanging="24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17"/>
        </w:trPr>
        <w:tc>
          <w:tcPr>
            <w:tcW w:w="4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22"/>
        </w:trPr>
        <w:tc>
          <w:tcPr>
            <w:tcW w:w="45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Common stock, par value $0.0001 per share</w:t>
            </w:r>
          </w:p>
        </w:tc>
        <w:tc>
          <w:tcPr>
            <w:tcW w:w="24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3"/>
              </w:rPr>
              <w:t>TLRY</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70" w:lineRule="exact"/>
        <w:rPr>
          <w:sz w:val="24"/>
          <w:szCs w:val="24"/>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8" w:lineRule="exact"/>
        <w:rPr>
          <w:sz w:val="24"/>
          <w:szCs w:val="24"/>
          <w:color w:val="auto"/>
        </w:rPr>
      </w:pPr>
    </w:p>
    <w:p>
      <w:pPr>
        <w:ind w:right="220"/>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201295</wp:posOffset>
            </wp:positionV>
            <wp:extent cx="71354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4191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8, 2026, the Registrant issued a press release, a copy of which is attached hereto as Exhibit 99.1 and is incorporated herein by reference.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00" w:type="dxa"/>
            <w:vAlign w:val="bottom"/>
          </w:tcPr>
          <w:p>
            <w:pPr>
              <w:spacing w:after="0"/>
              <w:rPr>
                <w:sz w:val="19"/>
                <w:szCs w:val="19"/>
                <w:color w:val="auto"/>
              </w:rPr>
            </w:pPr>
          </w:p>
        </w:tc>
      </w:tr>
      <w:tr>
        <w:trPr>
          <w:trHeight w:val="38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Number</w:t>
            </w:r>
          </w:p>
        </w:tc>
        <w:tc>
          <w:tcPr>
            <w:tcW w:w="26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40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January 8, 2026</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3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38"/>
        </w:trPr>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0" w:type="dxa"/>
            <w:vAlign w:val="bottom"/>
          </w:tcPr>
          <w:p>
            <w:pPr>
              <w:spacing w:after="0"/>
              <w:rPr>
                <w:sz w:val="20"/>
                <w:szCs w:val="20"/>
                <w:color w:val="auto"/>
              </w:rPr>
            </w:pPr>
          </w:p>
        </w:tc>
      </w:tr>
      <w:tr>
        <w:trPr>
          <w:trHeight w:val="66"/>
        </w:trPr>
        <w:tc>
          <w:tcPr>
            <w:tcW w:w="3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7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35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00" w:type="dxa"/>
            <w:vAlign w:val="bottom"/>
          </w:tcPr>
          <w:p>
            <w:pPr>
              <w:spacing w:after="0"/>
              <w:rPr>
                <w:sz w:val="20"/>
                <w:szCs w:val="20"/>
                <w:color w:val="auto"/>
              </w:rPr>
            </w:pPr>
          </w:p>
        </w:tc>
        <w:tc>
          <w:tcPr>
            <w:tcW w:w="39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Tilray Brands, Inc.</w:t>
            </w:r>
          </w:p>
        </w:tc>
      </w:tr>
      <w:tr>
        <w:trPr>
          <w:trHeight w:val="67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2026</w:t>
            </w:r>
          </w:p>
        </w:tc>
        <w:tc>
          <w:tcPr>
            <w:tcW w:w="39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Mitchell Gendel</w:t>
            </w:r>
          </w:p>
        </w:tc>
      </w:tr>
      <w:tr>
        <w:trPr>
          <w:trHeight w:val="230"/>
        </w:trPr>
        <w:tc>
          <w:tcPr>
            <w:tcW w:w="3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Mitchell Gendel</w:t>
            </w:r>
          </w:p>
        </w:tc>
      </w:tr>
      <w:tr>
        <w:trPr>
          <w:trHeight w:val="238"/>
        </w:trPr>
        <w:tc>
          <w:tcPr>
            <w:tcW w:w="3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w w:val="97"/>
              </w:rPr>
              <w:t>Global General Counsel</w:t>
            </w:r>
          </w:p>
        </w:tc>
      </w:tr>
    </w:tbl>
    <w:p>
      <w:pPr>
        <w:sectPr>
          <w:pgSz w:w="11900" w:h="16838" w:orient="portrait"/>
          <w:cols w:equalWidth="0" w:num="1">
            <w:col w:w="10960"/>
          </w:cols>
          <w:pgMar w:left="320" w:top="594" w:right="619" w:bottom="1440" w:gutter="0" w:footer="0" w:header="0"/>
        </w:sectPr>
      </w:pPr>
    </w:p>
    <w:bookmarkStart w:id="3" w:name="page4"/>
    <w:bookmarkEnd w:id="3"/>
    <w:p>
      <w:pPr>
        <w:ind w:left="99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0" w:lineRule="exact"/>
        <w:rPr>
          <w:sz w:val="20"/>
          <w:szCs w:val="20"/>
          <w:color w:val="auto"/>
        </w:rPr>
      </w:pPr>
    </w:p>
    <w:p>
      <w:pPr>
        <w:jc w:val="center"/>
        <w:ind w:left="340" w:right="160"/>
        <w:spacing w:after="0" w:line="274" w:lineRule="auto"/>
        <w:rPr>
          <w:sz w:val="20"/>
          <w:szCs w:val="20"/>
          <w:color w:val="auto"/>
        </w:rPr>
      </w:pPr>
      <w:r>
        <w:rPr>
          <w:rFonts w:ascii="Times New Roman" w:cs="Times New Roman" w:eastAsia="Times New Roman" w:hAnsi="Times New Roman"/>
          <w:sz w:val="25"/>
          <w:szCs w:val="25"/>
          <w:b w:val="1"/>
          <w:bCs w:val="1"/>
          <w:color w:val="auto"/>
        </w:rPr>
        <w:t>Tilray Brands Delivers Record Q2 Fiscal 2026 Net Revenue of $218 Million, Moves to Net Cash Position and Reaffirms Full-Year Adjusted EBITDA Guidance</w:t>
      </w:r>
    </w:p>
    <w:p>
      <w:pPr>
        <w:spacing w:after="0" w:line="1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b w:val="1"/>
          <w:bCs w:val="1"/>
          <w:color w:val="auto"/>
        </w:rPr>
        <w:t>International Medical Cannabis Revenue Increases 36%; Canadian Adult-Use Cannabis Revenue Grows 6%</w:t>
      </w:r>
    </w:p>
    <w:p>
      <w:pPr>
        <w:spacing w:after="0" w:line="2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Tilray Pharma Achieves Record Quarterly Revenue</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auto"/>
        </w:rPr>
        <w:t>U.S. Federal Cannabis Rescheduling Expected to Unlock New Market Opportunity for Tilray Medical Expansion into the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Strong Financial Position with $292 Million in Cash and Marketable Securities</w:t>
      </w:r>
      <w:r>
        <w:rPr>
          <w:rFonts w:ascii="Times New Roman" w:cs="Times New Roman" w:eastAsia="Times New Roman" w:hAnsi="Times New Roman"/>
          <w:sz w:val="35"/>
          <w:szCs w:val="35"/>
          <w:b w:val="1"/>
          <w:bCs w:val="1"/>
          <w:color w:val="auto"/>
          <w:vertAlign w:val="superscript"/>
        </w:rPr>
        <w:t>1</w:t>
      </w:r>
      <w:r>
        <w:rPr>
          <w:rFonts w:ascii="Times New Roman" w:cs="Times New Roman" w:eastAsia="Times New Roman" w:hAnsi="Times New Roman"/>
          <w:sz w:val="21"/>
          <w:szCs w:val="21"/>
          <w:b w:val="1"/>
          <w:bCs w:val="1"/>
          <w:color w:val="auto"/>
        </w:rPr>
        <w:t xml:space="preserve"> and ~$30 Million Net Cash</w:t>
      </w:r>
    </w:p>
    <w:p>
      <w:pPr>
        <w:spacing w:after="0" w:line="92"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1"/>
          <w:szCs w:val="21"/>
          <w:color w:val="auto"/>
        </w:rPr>
        <w:t>NEW YORK and LONDON and LEAMINGTON, Ontario, Jan. 08, 2026 (GLOBE NEWSWIRE) -- Tilray Brands, Inc. (“Tilray”, “our”, “we” or the “Company”) (Nasdaq: TLRY; TSX: TLRY), a global lifestyle and consumer packaged goods company at the forefront of the cannabis, beverage, and wellness industries, today reported financial results for its second fiscal quarter ended November 30, 2025. All financial information in this press release is reported in U.S. dollars, unless otherwise indicated.</w:t>
      </w:r>
    </w:p>
    <w:p>
      <w:pPr>
        <w:spacing w:after="0" w:line="16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Irwin D. Simon, Chairman and Chief Executive Officer, commented, "We achieved another record quarter with net revenue reaching $218 million, a result of disciplined execution within our diversified portfolio spanning cannabis, beverage, wellness and distribution sectors. Our business model supports scalability, adaptability in challenging markets, and long-term value creation, as demonstrated by our ability to perform while reinforcing our core operations. The quarter concluded with a strong balance sheet and ample liquidity, highlighting our prudent financial management and affording us flexibility for selective investment in strategic growth initiatives. As we continue expanding our operations and pursuing our priorities, we remain committed to achieving sustainable profitability and enhancing long-term shareholder value."</w:t>
      </w:r>
    </w:p>
    <w:p>
      <w:pPr>
        <w:spacing w:after="0" w:line="17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1"/>
          <w:szCs w:val="21"/>
          <w:color w:val="auto"/>
        </w:rPr>
        <w:t>Mr. Simon, continued, “We believe federal rescheduling would mark an important advancement for medical cannabis in the United States, paving the way for more research, wider physician involvement, and better patient access. Tilray has invested for years in developing the infrastructure, expertise, and discipline needed to operate successfully in tightly regulated medical markets worldwide. As the U.S. regulatory landscape progresses, Tilray is prepared to leverage its experience to play a key role in building a responsible, research-oriented national medical cannabis industry. With a dedicated team and platform already in place with Tilray Medical U.S., we intend to leverage the infrastructure, expertise and know-how developed in conjunction with Tilray Medical’s expected $150 million global medical cannabis business and our $300 million Tilray Pharma medical distribution platform in order to rollout our repeatable medical model and expand upon our current research, as well as initiating new FDA trials and partnerships for product development.”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w:t>
      </w:r>
    </w:p>
    <w:p>
      <w:pPr>
        <w:spacing w:after="0" w:line="43" w:lineRule="exact"/>
        <w:rPr>
          <w:sz w:val="20"/>
          <w:szCs w:val="20"/>
          <w:color w:val="auto"/>
        </w:rPr>
      </w:pPr>
    </w:p>
    <w:p>
      <w:pPr>
        <w:ind w:right="220" w:firstLine="6"/>
        <w:spacing w:after="0" w:line="231" w:lineRule="auto"/>
        <w:tabs>
          <w:tab w:leader="none" w:pos="117"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 xml:space="preserve">Cash and marketable securities and net (debt) cash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additional discussion regarding these non-GAAP measures and for a reconciliation of this Non-GAAP Measure to our most comparable GAAP measure.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Financial Highlights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All comparisons made to the prior year period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Net revenue increased 3% to $217.5 million in the second quarter compared to $211.0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-89535</wp:posOffset>
            </wp:positionV>
            <wp:extent cx="67310" cy="67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Gross profit was $57.5 million in the second quarter compared to $61.2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-102235</wp:posOffset>
            </wp:positionV>
            <wp:extent cx="67310" cy="67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spacing w:after="0" w:line="236" w:lineRule="auto"/>
        <w:rPr>
          <w:sz w:val="20"/>
          <w:szCs w:val="20"/>
          <w:color w:val="auto"/>
        </w:rPr>
      </w:pPr>
      <w:r>
        <w:rPr>
          <w:rFonts w:ascii="Times New Roman" w:cs="Times New Roman" w:eastAsia="Times New Roman" w:hAnsi="Times New Roman"/>
          <w:sz w:val="21"/>
          <w:szCs w:val="21"/>
          <w:color w:val="auto"/>
        </w:rPr>
        <w:t>Gross margin was 26% in the second quarter compared to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-102235</wp:posOffset>
            </wp:positionV>
            <wp:extent cx="67310" cy="67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right="220"/>
        <w:spacing w:after="0" w:line="236" w:lineRule="auto"/>
        <w:rPr>
          <w:sz w:val="20"/>
          <w:szCs w:val="20"/>
          <w:color w:val="auto"/>
        </w:rPr>
      </w:pPr>
      <w:r>
        <w:rPr>
          <w:rFonts w:ascii="Times New Roman" w:cs="Times New Roman" w:eastAsia="Times New Roman" w:hAnsi="Times New Roman"/>
          <w:sz w:val="21"/>
          <w:szCs w:val="21"/>
          <w:color w:val="auto"/>
        </w:rPr>
        <w:t>Cannabis net revenue increased 3% to $67.5 million in the second quarter compared to $65.7 million as a result of a 36% increase in international cannabis and a 6% increase in Canadian adult-use cannabis, offset by a lower presence in Canadian wholesale cannabis in anticipation of deployment in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-403860</wp:posOffset>
            </wp:positionV>
            <wp:extent cx="67310" cy="67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6" w:lineRule="auto"/>
        <w:rPr>
          <w:sz w:val="20"/>
          <w:szCs w:val="20"/>
          <w:color w:val="auto"/>
        </w:rPr>
      </w:pPr>
      <w:r>
        <w:rPr>
          <w:rFonts w:ascii="Times New Roman" w:cs="Times New Roman" w:eastAsia="Times New Roman" w:hAnsi="Times New Roman"/>
          <w:sz w:val="21"/>
          <w:szCs w:val="21"/>
          <w:color w:val="auto"/>
        </w:rPr>
        <w:t>Cannabis gross profit increased to $26.1 million in the second quarter compared to $23.2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-101600</wp:posOffset>
            </wp:positionV>
            <wp:extent cx="67310" cy="67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7" w:lineRule="auto"/>
        <w:rPr>
          <w:sz w:val="20"/>
          <w:szCs w:val="20"/>
          <w:color w:val="auto"/>
        </w:rPr>
      </w:pPr>
      <w:r>
        <w:rPr>
          <w:rFonts w:ascii="Times New Roman" w:cs="Times New Roman" w:eastAsia="Times New Roman" w:hAnsi="Times New Roman"/>
          <w:sz w:val="21"/>
          <w:szCs w:val="21"/>
          <w:color w:val="auto"/>
        </w:rPr>
        <w:t>Cannabis gross margin increased to 39% in the second quarter compared to 35%.</w:t>
      </w:r>
    </w:p>
    <w:p>
      <w:pPr>
        <w:ind w:left="540"/>
        <w:spacing w:after="0" w:line="236" w:lineRule="auto"/>
        <w:rPr>
          <w:sz w:val="20"/>
          <w:szCs w:val="20"/>
          <w:color w:val="auto"/>
        </w:rPr>
      </w:pPr>
      <w:r>
        <w:rPr>
          <w:rFonts w:ascii="Times New Roman" w:cs="Times New Roman" w:eastAsia="Times New Roman" w:hAnsi="Times New Roman"/>
          <w:sz w:val="21"/>
          <w:szCs w:val="21"/>
          <w:color w:val="auto"/>
        </w:rPr>
        <w:t>Beverage net revenue was $50.1 million in the second quarter compared to $63.1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-102235</wp:posOffset>
            </wp:positionV>
            <wp:extent cx="67310" cy="67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6" w:lineRule="auto"/>
        <w:rPr>
          <w:sz w:val="20"/>
          <w:szCs w:val="20"/>
          <w:color w:val="auto"/>
        </w:rPr>
      </w:pPr>
      <w:r>
        <w:rPr>
          <w:rFonts w:ascii="Times New Roman" w:cs="Times New Roman" w:eastAsia="Times New Roman" w:hAnsi="Times New Roman"/>
          <w:sz w:val="21"/>
          <w:szCs w:val="21"/>
          <w:color w:val="auto"/>
        </w:rPr>
        <w:t>Beverage gross profit was $15.7 million in the second quarter compared to $25.2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-101600</wp:posOffset>
            </wp:positionV>
            <wp:extent cx="67310" cy="67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6" w:lineRule="auto"/>
        <w:rPr>
          <w:sz w:val="20"/>
          <w:szCs w:val="20"/>
          <w:color w:val="auto"/>
        </w:rPr>
      </w:pPr>
      <w:r>
        <w:rPr>
          <w:rFonts w:ascii="Times New Roman" w:cs="Times New Roman" w:eastAsia="Times New Roman" w:hAnsi="Times New Roman"/>
          <w:sz w:val="21"/>
          <w:szCs w:val="21"/>
          <w:color w:val="auto"/>
        </w:rPr>
        <w:t>Beverage gross margin was 31% in the second quarter compared to 40%.</w:t>
      </w:r>
    </w:p>
    <w:p>
      <w:pPr>
        <w:ind w:left="540"/>
        <w:spacing w:after="0" w:line="236" w:lineRule="auto"/>
        <w:rPr>
          <w:sz w:val="20"/>
          <w:szCs w:val="20"/>
          <w:color w:val="auto"/>
        </w:rPr>
      </w:pPr>
      <w:r>
        <w:rPr>
          <w:rFonts w:ascii="Times New Roman" w:cs="Times New Roman" w:eastAsia="Times New Roman" w:hAnsi="Times New Roman"/>
          <w:sz w:val="21"/>
          <w:szCs w:val="21"/>
          <w:color w:val="auto"/>
        </w:rPr>
        <w:t>Wellness net revenue was $14.6 million in the second quarter and was flat.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-101600</wp:posOffset>
            </wp:positionV>
            <wp:extent cx="67310" cy="67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7" w:lineRule="auto"/>
        <w:rPr>
          <w:sz w:val="20"/>
          <w:szCs w:val="20"/>
          <w:color w:val="auto"/>
        </w:rPr>
      </w:pPr>
      <w:r>
        <w:rPr>
          <w:rFonts w:ascii="Times New Roman" w:cs="Times New Roman" w:eastAsia="Times New Roman" w:hAnsi="Times New Roman"/>
          <w:sz w:val="21"/>
          <w:szCs w:val="21"/>
          <w:color w:val="auto"/>
        </w:rPr>
        <w:t>Wellness gross profit increased to $4.6 million in the second quarter compared to $4.5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-102235</wp:posOffset>
            </wp:positionV>
            <wp:extent cx="67310" cy="67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6" w:lineRule="auto"/>
        <w:rPr>
          <w:sz w:val="20"/>
          <w:szCs w:val="20"/>
          <w:color w:val="auto"/>
        </w:rPr>
      </w:pPr>
      <w:r>
        <w:rPr>
          <w:rFonts w:ascii="Times New Roman" w:cs="Times New Roman" w:eastAsia="Times New Roman" w:hAnsi="Times New Roman"/>
          <w:sz w:val="21"/>
          <w:szCs w:val="21"/>
          <w:color w:val="auto"/>
        </w:rPr>
        <w:t>Wellness gross margin increased to 32% in the second quarter compared to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-101600</wp:posOffset>
            </wp:positionV>
            <wp:extent cx="67310" cy="673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right="540"/>
        <w:spacing w:after="0" w:line="236" w:lineRule="auto"/>
        <w:rPr>
          <w:sz w:val="20"/>
          <w:szCs w:val="20"/>
          <w:color w:val="auto"/>
        </w:rPr>
      </w:pPr>
      <w:r>
        <w:rPr>
          <w:rFonts w:ascii="Times New Roman" w:cs="Times New Roman" w:eastAsia="Times New Roman" w:hAnsi="Times New Roman"/>
          <w:sz w:val="21"/>
          <w:szCs w:val="21"/>
          <w:color w:val="auto"/>
        </w:rPr>
        <w:t>Distribution net revenue, which includes Tilray Pharma, grew to our highest revenue quarter ever to $85.3 million in the second quarter compared to $67.6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-252730</wp:posOffset>
            </wp:positionV>
            <wp:extent cx="67310" cy="67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6" w:lineRule="auto"/>
        <w:rPr>
          <w:sz w:val="20"/>
          <w:szCs w:val="20"/>
          <w:color w:val="auto"/>
        </w:rPr>
      </w:pPr>
      <w:r>
        <w:rPr>
          <w:rFonts w:ascii="Times New Roman" w:cs="Times New Roman" w:eastAsia="Times New Roman" w:hAnsi="Times New Roman"/>
          <w:sz w:val="21"/>
          <w:szCs w:val="21"/>
          <w:color w:val="auto"/>
        </w:rPr>
        <w:t>Distribution gross profit increased to $11.0 million in the second quarter compared to $8.4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-101600</wp:posOffset>
            </wp:positionV>
            <wp:extent cx="67310" cy="67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1060"/>
        <w:spacing w:after="0" w:line="236" w:lineRule="auto"/>
        <w:rPr>
          <w:sz w:val="20"/>
          <w:szCs w:val="20"/>
          <w:color w:val="auto"/>
        </w:rPr>
      </w:pPr>
      <w:r>
        <w:rPr>
          <w:rFonts w:ascii="Times New Roman" w:cs="Times New Roman" w:eastAsia="Times New Roman" w:hAnsi="Times New Roman"/>
          <w:sz w:val="21"/>
          <w:szCs w:val="21"/>
          <w:color w:val="auto"/>
        </w:rPr>
        <w:t>Distribution gross margin increased to 13% in the second quarter compared to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-101600</wp:posOffset>
            </wp:positionV>
            <wp:extent cx="67310" cy="67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right="40"/>
        <w:spacing w:after="0" w:line="238" w:lineRule="auto"/>
        <w:rPr>
          <w:sz w:val="20"/>
          <w:szCs w:val="20"/>
          <w:color w:val="auto"/>
        </w:rPr>
      </w:pPr>
      <w:r>
        <w:rPr>
          <w:rFonts w:ascii="Times New Roman" w:cs="Times New Roman" w:eastAsia="Times New Roman" w:hAnsi="Times New Roman"/>
          <w:sz w:val="21"/>
          <w:szCs w:val="21"/>
          <w:color w:val="auto"/>
        </w:rPr>
        <w:t>Net loss improved $41.8 million to $(43.5) million in the second quarter compared to a net loss of $(85.3) million and net loss per share improved to $(0.41) in the second quarter from $(0.99).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-255270</wp:posOffset>
            </wp:positionV>
            <wp:extent cx="67310" cy="67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jc w:val="both"/>
        <w:ind w:left="540" w:right="140"/>
        <w:spacing w:after="0" w:line="207" w:lineRule="auto"/>
        <w:rPr>
          <w:sz w:val="20"/>
          <w:szCs w:val="20"/>
          <w:color w:val="auto"/>
        </w:rPr>
      </w:pPr>
      <w:r>
        <w:rPr>
          <w:rFonts w:ascii="Times New Roman" w:cs="Times New Roman" w:eastAsia="Times New Roman" w:hAnsi="Times New Roman"/>
          <w:sz w:val="21"/>
          <w:szCs w:val="21"/>
          <w:color w:val="auto"/>
        </w:rPr>
        <w:t>Adjusted net loss</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1"/>
          <w:szCs w:val="21"/>
          <w:color w:val="auto"/>
        </w:rPr>
        <w:t xml:space="preserve"> and adjusted net loss per share</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1"/>
          <w:szCs w:val="21"/>
          <w:color w:val="auto"/>
        </w:rPr>
        <w:t xml:space="preserve"> improved to $(2.0) million and $(0.02) in the second quarter compared to adjusted net loss of $(2.2) million and $(0.03). Excluding non-cash income tax charges, adjusted net income and adjusted net income per share would be $1.6 million and $0.01.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-405765</wp:posOffset>
            </wp:positionV>
            <wp:extent cx="67310" cy="673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Adjusted EBITDA</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1"/>
          <w:szCs w:val="21"/>
          <w:color w:val="auto"/>
        </w:rPr>
        <w:t xml:space="preserve"> was $8.4 million in the second quarter compared to $9.0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-176530</wp:posOffset>
            </wp:positionV>
            <wp:extent cx="67310" cy="67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ectPr>
          <w:pgSz w:w="11900" w:h="16838" w:orient="portrait"/>
          <w:cols w:equalWidth="0" w:num="1">
            <w:col w:w="11240"/>
          </w:cols>
          <w:pgMar w:left="320" w:top="110" w:right="339" w:bottom="0" w:gutter="0" w:footer="0" w:header="0"/>
        </w:sectPr>
      </w:pPr>
    </w:p>
    <w:bookmarkStart w:id="4" w:name="page5"/>
    <w:bookmarkEnd w:id="4"/>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Cash Flow: </w:t>
      </w:r>
      <w:r>
        <w:rPr>
          <w:rFonts w:ascii="Times New Roman" w:cs="Times New Roman" w:eastAsia="Times New Roman" w:hAnsi="Times New Roman"/>
          <w:sz w:val="21"/>
          <w:szCs w:val="21"/>
          <w:color w:val="auto"/>
        </w:rPr>
        <w:t>Cash used in operations improved $32.2 million to $(8.5) million from $(40.7) million.</w:t>
      </w:r>
    </w:p>
    <w:p>
      <w:pPr>
        <w:spacing w:after="0" w:line="20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Balance Sheet Update: </w:t>
      </w:r>
      <w:r>
        <w:rPr>
          <w:rFonts w:ascii="Times New Roman" w:cs="Times New Roman" w:eastAsia="Times New Roman" w:hAnsi="Times New Roman"/>
          <w:sz w:val="21"/>
          <w:szCs w:val="21"/>
          <w:color w:val="auto"/>
        </w:rPr>
        <w:t>In the second quarter, we grew our cash and marketable securities balance to $291.6 million providing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flexibility for strategic opportunities. Additionally, we reduced our total outstanding debt by $4.2 million, further strengthening the balance sheet.</w:t>
      </w:r>
    </w:p>
    <w:p>
      <w:pPr>
        <w:spacing w:after="0" w:line="15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Net (Debt) Cash Position: </w:t>
      </w:r>
      <w:r>
        <w:rPr>
          <w:rFonts w:ascii="Times New Roman" w:cs="Times New Roman" w:eastAsia="Times New Roman" w:hAnsi="Times New Roman"/>
          <w:sz w:val="21"/>
          <w:szCs w:val="21"/>
          <w:color w:val="auto"/>
        </w:rPr>
        <w:t>Our Q1 net debt position of $3.8 million improved $31.2 million sequentially to an overall net 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position of $27.4 million.</w:t>
      </w:r>
      <w:r>
        <w:rPr>
          <w:rFonts w:ascii="Times New Roman" w:cs="Times New Roman" w:eastAsia="Times New Roman" w:hAnsi="Times New Roman"/>
          <w:sz w:val="35"/>
          <w:szCs w:val="35"/>
          <w:color w:val="auto"/>
          <w:vertAlign w:val="superscript"/>
        </w:rPr>
        <w:t>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Adjusted EBITDA Outlook for Fiscal 2026 Reaffirmed at $62 Million – $72 Million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Live Audio Webcast</w:t>
      </w:r>
    </w:p>
    <w:p>
      <w:pPr>
        <w:spacing w:after="0" w:line="211"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1"/>
          <w:szCs w:val="21"/>
          <w:color w:val="auto"/>
        </w:rPr>
        <w:t>Tilray Brands will host a webcast to discuss these results today at 4:30 p.m. Eastern Time. Investors may join the live webcast available on the Events &amp; Presentations section of Tilray’s Investor Relations website. A replay will be available and archived on the Company’s website.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68" w:lineRule="exact"/>
        <w:rPr>
          <w:sz w:val="20"/>
          <w:szCs w:val="20"/>
          <w:color w:val="auto"/>
        </w:rPr>
      </w:pPr>
    </w:p>
    <w:p>
      <w:pPr>
        <w:ind w:right="420" w:firstLine="6"/>
        <w:spacing w:after="0" w:line="196" w:lineRule="auto"/>
        <w:tabs>
          <w:tab w:leader="none" w:pos="117"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 xml:space="preserve">Adjusted net loss and adjusted net loss per share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additional discussion regarding these non-GAAP measures and for a reconciliation of such Non-GAAP Measures to our most comparable GAAP measure.</w:t>
      </w:r>
    </w:p>
    <w:p>
      <w:pPr>
        <w:spacing w:after="0" w:line="21" w:lineRule="exact"/>
        <w:rPr>
          <w:sz w:val="20"/>
          <w:szCs w:val="20"/>
          <w:color w:val="auto"/>
        </w:rPr>
      </w:pPr>
    </w:p>
    <w:p>
      <w:pPr>
        <w:ind w:right="400" w:firstLine="6"/>
        <w:spacing w:after="0" w:line="196" w:lineRule="auto"/>
        <w:tabs>
          <w:tab w:leader="none" w:pos="117"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Adjusted EBITDA is a non-GAAP financial measure. See “Use of Non-GAAP Measures” below for a discussion of these Non-GAAP measures and for a reconciliation of this Non-GAAP Measure to our most comparable GAAP measure.</w:t>
      </w:r>
    </w:p>
    <w:p>
      <w:pPr>
        <w:spacing w:after="0" w:line="21" w:lineRule="exact"/>
        <w:rPr>
          <w:sz w:val="20"/>
          <w:szCs w:val="20"/>
          <w:color w:val="auto"/>
        </w:rPr>
      </w:pPr>
    </w:p>
    <w:p>
      <w:pPr>
        <w:ind w:right="540" w:firstLine="6"/>
        <w:spacing w:after="0" w:line="196" w:lineRule="auto"/>
        <w:tabs>
          <w:tab w:leader="none" w:pos="117"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i w:val="1"/>
          <w:iCs w:val="1"/>
          <w:color w:val="auto"/>
        </w:rPr>
        <w:t>Net (debt) cash are non-GAAP financial measures. See “Use of Non-GAAP Measures” below for a discussion of these Non-GAAP measures and for a reconciliation of this Non-GAAP Measure to our most comparable GAAP measure.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About Tilray Brands</w:t>
      </w:r>
    </w:p>
    <w:p>
      <w:pPr>
        <w:spacing w:after="0" w:line="23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1"/>
          <w:szCs w:val="21"/>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spacing w:after="0" w:line="170"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21"/>
          <w:szCs w:val="21"/>
          <w:color w:val="auto"/>
        </w:rPr>
        <w:t>For more information on how we are elevating lives through moments of connection, visit Tilray.com and follow @Tilray on all social platforms.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Cautionary Statement Concerning Forward-Looking Statements</w:t>
      </w:r>
    </w:p>
    <w:p>
      <w:pPr>
        <w:spacing w:after="0" w:line="21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1"/>
          <w:szCs w:val="21"/>
          <w:color w:val="auto"/>
        </w:rPr>
        <w:t>Certain statements in this press release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“position,”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1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1"/>
          <w:szCs w:val="21"/>
          <w:color w:val="auto"/>
        </w:rPr>
        <w:t>Forward-looking statements include statements regarding our intentions, beliefs, projections, outlook, analyses or current expectations concerning, among other things: the Company’s ability to become a leading lifestyle consumer packaged goods company; the Company’s ability to become a leading beverage alcohol Company; the Company’s ability to achieve long term profitability; the Company’s ability to achieve operational scale, market share, distribution, profitability and revenue growth in particular business lines and markets; the Company’s ability to successfully achieve revenue growth, margin and profitability improvements, production and supply chain efficiencies, synergies and cost savings; the Company’s ability to achieve fiscal year 2026 financial guidance, including expected Adjusted EBITDA of $62 to $72 million and synergy optimizations; the Company’s expected revenue growth, sales volume, profitability, synergies and accretion related to any of its acquisitions; expected opportunities in the U.S., including upon U.S. federal cannabis legalization or rescheduling and the Company’s ability to leverage its platform in connection therewith; the Company’s ability to successfully leverage artificial intelligence strategies; the Company’s anticipated investments and acquisitions, including in organic and strategic growth, partnership efforts, product offerings and other initiatives; and the Company’s ability to commercialize new and innovative products.</w:t>
      </w:r>
    </w:p>
    <w:p>
      <w:pPr>
        <w:spacing w:after="0" w:line="17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1"/>
          <w:szCs w:val="21"/>
          <w:color w:val="auto"/>
        </w:rPr>
        <w:t>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Use of Non-U.S. GAAP Financial Measures</w:t>
      </w:r>
    </w:p>
    <w:p>
      <w:pPr>
        <w:sectPr>
          <w:pgSz w:w="11900" w:h="16884" w:orient="portrait"/>
          <w:cols w:equalWidth="0" w:num="1">
            <w:col w:w="11240"/>
          </w:cols>
          <w:pgMar w:left="320" w:top="110" w:right="339" w:bottom="0" w:gutter="0" w:footer="0" w:header="0"/>
        </w:sectPr>
      </w:pPr>
    </w:p>
    <w:bookmarkStart w:id="5" w:name="page6"/>
    <w:bookmarkEnd w:id="5"/>
    <w:p>
      <w:pPr>
        <w:spacing w:after="0" w:line="239" w:lineRule="auto"/>
        <w:rPr>
          <w:sz w:val="20"/>
          <w:szCs w:val="20"/>
          <w:color w:val="auto"/>
        </w:rPr>
      </w:pPr>
      <w:r>
        <w:rPr>
          <w:rFonts w:ascii="Times New Roman" w:cs="Times New Roman" w:eastAsia="Times New Roman" w:hAnsi="Times New Roman"/>
          <w:sz w:val="21"/>
          <w:szCs w:val="21"/>
          <w:color w:val="auto"/>
        </w:rPr>
        <w:t>This press release and the accompanying tables include non-GAAP financial measures, including Adjusted gross margin (consolidated and for each of our reporting segments), Adjusted gross profit (consolidated and for each of our reporting segments), Adjusted EBITDA, Adjusted cash operating income (loss), Adjusted net income (loss), Adjusted net income (loss) per share, free cash flow, adjusted free cash flow, constant currency presentations of revenue, cash and marketable securities, and net (debt) cash.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nor should adjusted net income (loss) per share be used as a measure of liquidity.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17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1"/>
          <w:szCs w:val="21"/>
          <w:color w:val="auto"/>
        </w:rPr>
        <w:t>Certain forward-looking non-GAAP financial measures included in this press release are not reconciled to the comparable forward-looking GAAP financial measures. The Company is not able to reconcile these forward-looking non-GAAP financial measures to their most directly comparable forward-looking GAAP financial measures without unreasonable efforts because the Company is unable to predict with a reasonable degree of certainty the type and extent of certain items that would be expected to impact GAAP measures but would not impact the non-GAAP measures. Such items may include litigation and related expenses, transaction costs, impairments of intangible assets and goodwill, foreign exchange movements and other items. The unavailable information could have a significant impact on the Company's GAAP financial results.</w:t>
      </w:r>
    </w:p>
    <w:p>
      <w:pPr>
        <w:spacing w:after="0" w:line="17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1"/>
          <w:szCs w:val="21"/>
          <w:color w:val="auto"/>
        </w:rPr>
        <w:t>The Company believes presenting net sales at constant currency provides useful information to investors because it provides transparency to underlying performance in the Company's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 A reconciliation of prior year revenue to constant currency revenue the most directly comparable GAAP measure, has been provided in the financial statement tables included above in this press release.</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Adjusted EBITDA is calculated as net income (loss) before income tax expense (recovery), net; interest expense, net; non-operating income (expense), net; amortization; stock-based compensation; change in fair value of contingent consideration; purchase price accounting step-up; project 420 optimization costs; litigation costs; restructuring costs, and transaction (income) costs, net. A reconciliation of Adjusted EBITDA to net loss, the most directly comparable GAAP measure, has been provided in the financial statement tables included below in this press release.</w:t>
      </w:r>
    </w:p>
    <w:p>
      <w:pPr>
        <w:spacing w:after="0" w:line="172"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21"/>
          <w:szCs w:val="21"/>
          <w:color w:val="auto"/>
        </w:rPr>
        <w:t>Adjusted cash operating income (loss) is calculated as operating loss, less; amortization; stock-based compensation; and change in fair value of contingent consideration. A reconciliation of adjusted cash operating income (loss) to operating loss, the most directly comparable GAAP measure, has been included below in this press release. Adjusted cash operating income (loss) is not calculated in accordance with GAAP and should not be considered an alternative for GAAP operating income or as a measure of liquidity.</w:t>
      </w:r>
    </w:p>
    <w:p>
      <w:pPr>
        <w:spacing w:after="0" w:line="168"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1"/>
          <w:szCs w:val="21"/>
          <w:color w:val="auto"/>
        </w:rPr>
        <w:t>Adjusted net income (loss) is calculated as net loss attributable to stockholders of Tilray Brands, Inc., less; non-operating income (expense), net; amortization; stock-based compensation; change in fair value of contingent consideration; project 420 optimization costs; litigation costs; restructuring costs and transaction (income) costs, net. A reconciliation of Adjusted net income (loss) to net loss attributable to stockholders of Tilray Brands, Inc., the most directly comparable GAAP measure, has been included below in this press release.</w:t>
      </w:r>
    </w:p>
    <w:p>
      <w:pPr>
        <w:spacing w:after="0" w:line="172"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1"/>
          <w:szCs w:val="21"/>
          <w:color w:val="auto"/>
        </w:rPr>
        <w:t>Adjusted net income (loss) per share is calculated as net loss attributable to stockholders of Tilray Brands, Inc., net; non-operating income (expense), net; amortization; stock-based compensation; change in fair value of contingent consideration; project 420 optimization costs; litigation costs; restructuring costs and transaction (income) costs, divided by weighted average number of common shares outstanding. A reconciliation of Adjusted net income (loss) per share to net loss attributable to stockholders of Tilray Brands, Inc., the most directly comparable GAAP measure, has been included below in this press release. Adjusted net income (loss) per share is not calculated in accordance with GAAP and should not be considered an alternative for GAAP net income (loss) per share or as a measure of liquidity.</w:t>
      </w:r>
    </w:p>
    <w:p>
      <w:pPr>
        <w:spacing w:after="0" w:line="17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1"/>
          <w:szCs w:val="21"/>
          <w:color w:val="auto"/>
        </w:rPr>
        <w:t>Adjusted gross profit (consolidated and for each of our reporting segments), is calculated as gross profit adjusted to exclude the impact of purchase price accounting valuation step-up. A reconciliation of Adjusted gross profit, excluding purchase price accounting valuation step-up, to gross profit, the most directly comparable GAAP measure, has been provided in the financial statement tables included above in this press release. Adjusted gross margin (consolidated and for each of our reporting segments), excluding purchase price accounting valuation step-up, is calculated as revenue less cost of sales adjusted to add back amortization of inventory step-up, divided by revenue. A reconciliation of Adjusted gross margin, excluding purchase price accounting valuation step-up, to gross margin, the most directly comparable GAAP measure, has been provided in the financial statement tables included above in this press release.</w:t>
      </w:r>
    </w:p>
    <w:p>
      <w:pPr>
        <w:spacing w:after="0" w:line="17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Free cash flow is comprised of two GAAP measures which are net cash flow provided by (used in) operating activities less investments in capital and intangible assets, net. A reconciliation of net cash flow provided by (used in) operating activities to free cash flow, the most directly comparable GAAP measure, has been provided in the financial statement tables included above in this press release. Adjusted free cash flow is comprised of two GAAP measures which are net cash flow provided by (used in) operating activities less investments in capital and intangible assets, net, and the exclusion of growth CAPEX from investments in capital and</w:t>
      </w:r>
    </w:p>
    <w:p>
      <w:pPr>
        <w:sectPr>
          <w:pgSz w:w="11900" w:h="16838" w:orient="portrait"/>
          <w:cols w:equalWidth="0" w:num="1">
            <w:col w:w="11220"/>
          </w:cols>
          <w:pgMar w:left="320" w:top="114" w:right="359" w:bottom="0" w:gutter="0" w:footer="0" w:header="0"/>
        </w:sectPr>
      </w:pPr>
    </w:p>
    <w:bookmarkStart w:id="6" w:name="page7"/>
    <w:bookmarkEnd w:id="6"/>
    <w:p>
      <w:pPr>
        <w:ind w:right="160"/>
        <w:spacing w:after="0" w:line="247" w:lineRule="auto"/>
        <w:rPr>
          <w:sz w:val="20"/>
          <w:szCs w:val="20"/>
          <w:color w:val="auto"/>
        </w:rPr>
      </w:pPr>
      <w:r>
        <w:rPr>
          <w:rFonts w:ascii="Times New Roman" w:cs="Times New Roman" w:eastAsia="Times New Roman" w:hAnsi="Times New Roman"/>
          <w:sz w:val="21"/>
          <w:szCs w:val="21"/>
          <w:color w:val="auto"/>
        </w:rPr>
        <w:t>intangible assets, net, which excludes the amount of capital expenditures that are considered to be associated with growth of future operations rather than to maintain the existing operations of the Company, and excludes cash paid for litigation settlements. A reconciliation of net cash flow provided by (used in) operating activities to adjusted free cash flow, the most directly comparable GAAP measure, has been provided in the financial statement tables included above in this press release.</w:t>
      </w:r>
    </w:p>
    <w:p>
      <w:pPr>
        <w:spacing w:after="0" w:line="166"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1"/>
          <w:szCs w:val="21"/>
          <w:color w:val="auto"/>
        </w:rPr>
        <w:t>Cash and marketable securities are comprised of two GAAP measures, cash and cash equivalents added to marketable securities.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Net (debt) cash is comprised of GAAP measures and reduces bank indebtedness, current and non-current portions of long-term debt, the principal balance of convertible debt by cash and cash equivalents and marketable securities. The company believes this metric provides useful information to management, analysts, and investors regarding its liquidity and the Company’s ability to repay all of its debt.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Contacts: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Investor Relations</w:t>
      </w:r>
    </w:p>
    <w:p>
      <w:pPr>
        <w:spacing w:after="0" w:line="236" w:lineRule="auto"/>
        <w:rPr>
          <w:sz w:val="20"/>
          <w:szCs w:val="20"/>
          <w:color w:val="auto"/>
        </w:rPr>
      </w:pPr>
      <w:r>
        <w:rPr>
          <w:rFonts w:ascii="Times New Roman" w:cs="Times New Roman" w:eastAsia="Times New Roman" w:hAnsi="Times New Roman"/>
          <w:sz w:val="21"/>
          <w:szCs w:val="21"/>
          <w:color w:val="auto"/>
        </w:rPr>
        <w:t>investors@tilray.com</w:t>
      </w:r>
    </w:p>
    <w:p>
      <w:pPr>
        <w:spacing w:after="0"/>
        <w:rPr>
          <w:sz w:val="20"/>
          <w:szCs w:val="20"/>
          <w:color w:val="auto"/>
        </w:rPr>
      </w:pPr>
      <w:r>
        <w:rPr>
          <w:rFonts w:ascii="Times New Roman" w:cs="Times New Roman" w:eastAsia="Times New Roman" w:hAnsi="Times New Roman"/>
          <w:sz w:val="21"/>
          <w:szCs w:val="21"/>
          <w:color w:val="auto"/>
        </w:rPr>
        <w:t>Pro-TLRY@prosek.com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Media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news@tilray.com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Consolidated Statements of Financial Position</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21"/>
                <w:szCs w:val="21"/>
                <w:b w:val="1"/>
                <w:bCs w:val="1"/>
                <w:color w:val="auto"/>
              </w:rPr>
              <w:t>November 30,</w:t>
            </w:r>
          </w:p>
        </w:tc>
        <w:tc>
          <w:tcPr>
            <w:tcW w:w="240" w:type="dxa"/>
            <w:vAlign w:val="bottom"/>
          </w:tcPr>
          <w:p>
            <w:pPr>
              <w:spacing w:after="0"/>
              <w:rPr>
                <w:sz w:val="24"/>
                <w:szCs w:val="24"/>
                <w:color w:val="auto"/>
              </w:rPr>
            </w:pPr>
          </w:p>
        </w:tc>
        <w:tc>
          <w:tcPr>
            <w:tcW w:w="1220" w:type="dxa"/>
            <w:vAlign w:val="bottom"/>
            <w:vMerge w:val="restart"/>
          </w:tcPr>
          <w:p>
            <w:pPr>
              <w:jc w:val="right"/>
              <w:ind w:right="254"/>
              <w:spacing w:after="0"/>
              <w:rPr>
                <w:sz w:val="20"/>
                <w:szCs w:val="20"/>
                <w:color w:val="auto"/>
              </w:rPr>
            </w:pPr>
            <w:r>
              <w:rPr>
                <w:rFonts w:ascii="Times New Roman" w:cs="Times New Roman" w:eastAsia="Times New Roman" w:hAnsi="Times New Roman"/>
                <w:sz w:val="21"/>
                <w:szCs w:val="21"/>
                <w:b w:val="1"/>
                <w:bCs w:val="1"/>
                <w:color w:val="auto"/>
              </w:rPr>
              <w:t>May 31,</w:t>
            </w:r>
          </w:p>
        </w:tc>
        <w:tc>
          <w:tcPr>
            <w:tcW w:w="0" w:type="dxa"/>
            <w:vAlign w:val="bottom"/>
          </w:tcPr>
          <w:p>
            <w:pPr>
              <w:spacing w:after="0"/>
              <w:rPr>
                <w:sz w:val="1"/>
                <w:szCs w:val="1"/>
                <w:color w:val="auto"/>
              </w:rPr>
            </w:pPr>
          </w:p>
        </w:tc>
      </w:tr>
      <w:tr>
        <w:trPr>
          <w:trHeight w:val="248"/>
        </w:trPr>
        <w:tc>
          <w:tcPr>
            <w:tcW w:w="8100" w:type="dxa"/>
            <w:vAlign w:val="bottom"/>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21"/>
                <w:szCs w:val="21"/>
                <w:b w:val="1"/>
                <w:bCs w:val="1"/>
                <w:color w:val="auto"/>
              </w:rPr>
              <w:t>2025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21"/>
                <w:szCs w:val="21"/>
                <w:b w:val="1"/>
                <w:bCs w:val="1"/>
                <w:color w:val="auto"/>
              </w:rPr>
              <w:t>2025</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Assets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Current assets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Cash and cash equivalents</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246,703</w:t>
            </w:r>
          </w:p>
        </w:tc>
        <w:tc>
          <w:tcPr>
            <w:tcW w:w="100" w:type="dxa"/>
            <w:vAlign w:val="bottom"/>
          </w:tcPr>
          <w:p>
            <w:pPr>
              <w:spacing w:after="0"/>
              <w:rPr>
                <w:sz w:val="22"/>
                <w:szCs w:val="22"/>
                <w:color w:val="auto"/>
              </w:rPr>
            </w:pP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221,666</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Marketable securities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44,848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34,697</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receivable, net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109,071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121,489</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Inventory</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283,198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270,882</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Prepaids and other current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41,497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34,092</w:t>
            </w:r>
          </w:p>
        </w:tc>
        <w:tc>
          <w:tcPr>
            <w:tcW w:w="0" w:type="dxa"/>
            <w:vAlign w:val="bottom"/>
          </w:tcPr>
          <w:p>
            <w:pPr>
              <w:spacing w:after="0"/>
              <w:rPr>
                <w:sz w:val="1"/>
                <w:szCs w:val="1"/>
                <w:color w:val="auto"/>
              </w:rPr>
            </w:pPr>
          </w:p>
        </w:tc>
      </w:tr>
      <w:tr>
        <w:trPr>
          <w:trHeight w:val="276"/>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Assets held for sale</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4,000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5,800</w:t>
            </w:r>
          </w:p>
        </w:tc>
        <w:tc>
          <w:tcPr>
            <w:tcW w:w="0" w:type="dxa"/>
            <w:vAlign w:val="bottom"/>
          </w:tcPr>
          <w:p>
            <w:pPr>
              <w:spacing w:after="0"/>
              <w:rPr>
                <w:sz w:val="1"/>
                <w:szCs w:val="1"/>
                <w:color w:val="auto"/>
              </w:rPr>
            </w:pPr>
          </w:p>
        </w:tc>
      </w:tr>
      <w:tr>
        <w:trPr>
          <w:trHeight w:val="245"/>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current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729,317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688,626</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Capital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550,101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568,433</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Operating lease, right-of-use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19,802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22,279</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Digital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Intangible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21,735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21,423</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Goodwill</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752,350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752,350</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Long-term investments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13,393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10,132</w:t>
            </w:r>
          </w:p>
        </w:tc>
        <w:tc>
          <w:tcPr>
            <w:tcW w:w="0" w:type="dxa"/>
            <w:vAlign w:val="bottom"/>
          </w:tcPr>
          <w:p>
            <w:pPr>
              <w:spacing w:after="0"/>
              <w:rPr>
                <w:sz w:val="1"/>
                <w:szCs w:val="1"/>
                <w:color w:val="auto"/>
              </w:rPr>
            </w:pPr>
          </w:p>
        </w:tc>
      </w:tr>
      <w:tr>
        <w:trPr>
          <w:trHeight w:val="277"/>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assets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11,073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11,084</w:t>
            </w:r>
          </w:p>
        </w:tc>
        <w:tc>
          <w:tcPr>
            <w:tcW w:w="0" w:type="dxa"/>
            <w:vAlign w:val="bottom"/>
          </w:tcPr>
          <w:p>
            <w:pPr>
              <w:spacing w:after="0"/>
              <w:rPr>
                <w:sz w:val="1"/>
                <w:szCs w:val="1"/>
                <w:color w:val="auto"/>
              </w:rPr>
            </w:pPr>
          </w:p>
        </w:tc>
      </w:tr>
      <w:tr>
        <w:trPr>
          <w:trHeight w:val="258"/>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assets</w:t>
            </w:r>
          </w:p>
        </w:tc>
        <w:tc>
          <w:tcPr>
            <w:tcW w:w="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2,098,599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2,074,327</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Liabilities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8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Current liabilities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Bank indebtedness</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8,567</w:t>
            </w:r>
          </w:p>
        </w:tc>
        <w:tc>
          <w:tcPr>
            <w:tcW w:w="100" w:type="dxa"/>
            <w:vAlign w:val="bottom"/>
          </w:tcPr>
          <w:p>
            <w:pPr>
              <w:spacing w:after="0"/>
              <w:rPr>
                <w:sz w:val="22"/>
                <w:szCs w:val="22"/>
                <w:color w:val="auto"/>
              </w:rPr>
            </w:pP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7,181</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226,422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235,322</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Contingent consideration</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Warrant liability</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1,092</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Current portion of lease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6,941</w:t>
            </w:r>
          </w:p>
        </w:tc>
        <w:tc>
          <w:tcPr>
            <w:tcW w:w="0" w:type="dxa"/>
            <w:vAlign w:val="bottom"/>
          </w:tcPr>
          <w:p>
            <w:pPr>
              <w:spacing w:after="0"/>
              <w:rPr>
                <w:sz w:val="1"/>
                <w:szCs w:val="1"/>
                <w:color w:val="auto"/>
              </w:rPr>
            </w:pPr>
          </w:p>
        </w:tc>
      </w:tr>
      <w:tr>
        <w:trPr>
          <w:trHeight w:val="276"/>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Current portion of long-term debt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16,889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14,767</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current liabilities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259,315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280,303</w:t>
            </w:r>
          </w:p>
        </w:tc>
        <w:tc>
          <w:tcPr>
            <w:tcW w:w="0" w:type="dxa"/>
            <w:vAlign w:val="bottom"/>
          </w:tcPr>
          <w:p>
            <w:pPr>
              <w:spacing w:after="0"/>
              <w:rPr>
                <w:sz w:val="1"/>
                <w:szCs w:val="1"/>
                <w:color w:val="auto"/>
              </w:rPr>
            </w:pPr>
          </w:p>
        </w:tc>
      </w:tr>
      <w:tr>
        <w:trPr>
          <w:trHeight w:val="268"/>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Long - term liabilities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Lease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64,925</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Long-term debt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138,739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148,493</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Convertible debentures payable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86,255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86,428</w:t>
            </w:r>
          </w:p>
        </w:tc>
        <w:tc>
          <w:tcPr>
            <w:tcW w:w="0" w:type="dxa"/>
            <w:vAlign w:val="bottom"/>
          </w:tcPr>
          <w:p>
            <w:pPr>
              <w:spacing w:after="0"/>
              <w:rPr>
                <w:sz w:val="1"/>
                <w:szCs w:val="1"/>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Deferred tax liabilities, net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3,748</w:t>
            </w:r>
          </w:p>
        </w:tc>
        <w:tc>
          <w:tcPr>
            <w:tcW w:w="0" w:type="dxa"/>
            <w:vAlign w:val="bottom"/>
          </w:tcPr>
          <w:p>
            <w:pPr>
              <w:spacing w:after="0"/>
              <w:rPr>
                <w:sz w:val="1"/>
                <w:szCs w:val="1"/>
                <w:color w:val="auto"/>
              </w:rPr>
            </w:pPr>
          </w:p>
        </w:tc>
      </w:tr>
      <w:tr>
        <w:trPr>
          <w:trHeight w:val="276"/>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liabilities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855</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liabilities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552,090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584,752</w:t>
            </w:r>
          </w:p>
        </w:tc>
        <w:tc>
          <w:tcPr>
            <w:tcW w:w="0" w:type="dxa"/>
            <w:vAlign w:val="bottom"/>
          </w:tcPr>
          <w:p>
            <w:pPr>
              <w:spacing w:after="0"/>
              <w:rPr>
                <w:sz w:val="1"/>
                <w:szCs w:val="1"/>
                <w:color w:val="auto"/>
              </w:rPr>
            </w:pPr>
          </w:p>
        </w:tc>
      </w:tr>
      <w:tr>
        <w:trPr>
          <w:trHeight w:val="268"/>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Stockholders' equity</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Common stock ($0.0001 par value; 1,416,000,000 common shares authorized;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8100" w:type="dxa"/>
            <w:vAlign w:val="bottom"/>
          </w:tcPr>
          <w:p>
            <w:pPr>
              <w:ind w:left="240"/>
              <w:spacing w:after="0" w:line="307" w:lineRule="exact"/>
              <w:rPr>
                <w:sz w:val="20"/>
                <w:szCs w:val="20"/>
                <w:color w:val="auto"/>
              </w:rPr>
            </w:pPr>
            <w:r>
              <w:rPr>
                <w:rFonts w:ascii="Times New Roman" w:cs="Times New Roman" w:eastAsia="Times New Roman" w:hAnsi="Times New Roman"/>
                <w:sz w:val="21"/>
                <w:szCs w:val="21"/>
                <w:color w:val="auto"/>
              </w:rPr>
              <w:t>116,522,600 and 106,067,875 common shares issued and outstanding, respectively)</w:t>
            </w:r>
            <w:r>
              <w:rPr>
                <w:rFonts w:ascii="Times New Roman" w:cs="Times New Roman" w:eastAsia="Times New Roman" w:hAnsi="Times New Roman"/>
                <w:sz w:val="35"/>
                <w:szCs w:val="35"/>
                <w:color w:val="auto"/>
                <w:vertAlign w:val="superscript"/>
              </w:rPr>
              <w:t>1</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w:t>
            </w:r>
          </w:p>
        </w:tc>
        <w:tc>
          <w:tcPr>
            <w:tcW w:w="0" w:type="dxa"/>
            <w:vAlign w:val="bottom"/>
          </w:tcPr>
          <w:p>
            <w:pPr>
              <w:spacing w:after="0"/>
              <w:rPr>
                <w:sz w:val="1"/>
                <w:szCs w:val="1"/>
                <w:color w:val="auto"/>
              </w:rPr>
            </w:pPr>
          </w:p>
        </w:tc>
      </w:tr>
      <w:tr>
        <w:trPr>
          <w:trHeight w:val="276"/>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Treasury Stock (321,391 and 200,422 treasury shares issued and outstanding,</w:t>
            </w:r>
          </w:p>
        </w:tc>
        <w:tc>
          <w:tcPr>
            <w:tcW w:w="32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4" w:right="359" w:bottom="0" w:gutter="0" w:footer="0" w:header="0"/>
        </w:sectPr>
      </w:pPr>
    </w:p>
    <w:bookmarkStart w:id="7" w:name="page8"/>
    <w:bookmarkEnd w:id="7"/>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respectively)</w:t>
            </w:r>
            <w:r>
              <w:rPr>
                <w:rFonts w:ascii="Times New Roman" w:cs="Times New Roman" w:eastAsia="Times New Roman" w:hAnsi="Times New Roman"/>
                <w:sz w:val="35"/>
                <w:szCs w:val="35"/>
                <w:color w:val="auto"/>
                <w:vertAlign w:val="superscript"/>
              </w:rPr>
              <w:t>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8"/>
        </w:trPr>
        <w:tc>
          <w:tcPr>
            <w:tcW w:w="810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Preferred shares ($0.0001 par value; 10,000,000 preferred shares authorized; nil and nil</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preferred shares issued and outstanding, respectively)</w:t>
            </w:r>
          </w:p>
        </w:tc>
        <w:tc>
          <w:tcPr>
            <w:tcW w:w="2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Additional paid-in capital</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6,511,483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6,401,657</w:t>
            </w:r>
          </w:p>
        </w:tc>
      </w:tr>
      <w:tr>
        <w:trPr>
          <w:trHeight w:val="264"/>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Accumulated other comprehensive loss</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(39,293)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(43,063)</w:t>
            </w:r>
          </w:p>
        </w:tc>
      </w:tr>
      <w:tr>
        <w:trPr>
          <w:trHeight w:val="276"/>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Accumulated deficit</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(4,892,479)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(4,847,226)</w:t>
            </w:r>
          </w:p>
        </w:tc>
      </w:tr>
      <w:tr>
        <w:trPr>
          <w:trHeight w:val="245"/>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Tilray Brands, Inc. stockholders' equity</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1,579,827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1,511,474</w:t>
            </w:r>
          </w:p>
        </w:tc>
      </w:tr>
      <w:tr>
        <w:trPr>
          <w:trHeight w:val="276"/>
        </w:trPr>
        <w:tc>
          <w:tcPr>
            <w:tcW w:w="810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Non-controlling interests</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(33,318)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(21,899)</w:t>
            </w:r>
          </w:p>
        </w:tc>
      </w:tr>
      <w:tr>
        <w:trPr>
          <w:trHeight w:val="259"/>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stockholders' equity</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1,546,509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1,489,575</w:t>
            </w:r>
          </w:p>
        </w:tc>
      </w:tr>
      <w:tr>
        <w:trPr>
          <w:trHeight w:val="257"/>
        </w:trPr>
        <w:tc>
          <w:tcPr>
            <w:tcW w:w="81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Total liabilities and stockholders' equity</w:t>
            </w:r>
          </w:p>
        </w:tc>
        <w:tc>
          <w:tcPr>
            <w:tcW w:w="2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2,098,599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w w:val="9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2,074,327</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right="680"/>
        <w:spacing w:after="0" w:line="207"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1"/>
          <w:szCs w:val="21"/>
          <w:color w:val="auto"/>
        </w:rPr>
        <w:t>Current and prior year share amounts have been retrospectively adjusted to reflect the Reverse Stock Split (as defined in the November 30, 2025, Form 10-Q), which became effective on December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780" w:type="dxa"/>
            <w:vAlign w:val="bottom"/>
            <w:gridSpan w:val="14"/>
          </w:tcPr>
          <w:p>
            <w:pP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Net Loss and Comprehensive Loss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gridSpan w:val="5"/>
          </w:tcPr>
          <w:p>
            <w:pPr>
              <w:ind w:left="120"/>
              <w:spacing w:after="0"/>
              <w:rPr>
                <w:sz w:val="20"/>
                <w:szCs w:val="20"/>
                <w:color w:val="auto"/>
              </w:rPr>
            </w:pPr>
            <w:r>
              <w:rPr>
                <w:rFonts w:ascii="Times New Roman" w:cs="Times New Roman" w:eastAsia="Times New Roman" w:hAnsi="Times New Roman"/>
                <w:sz w:val="21"/>
                <w:szCs w:val="21"/>
                <w:b w:val="1"/>
                <w:bCs w:val="1"/>
                <w:color w:val="auto"/>
              </w:rPr>
              <w:t>For the six months ended</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240" w:type="dxa"/>
            <w:vAlign w:val="bottom"/>
            <w:gridSpan w:val="2"/>
          </w:tcPr>
          <w:p>
            <w:pPr>
              <w:jc w:val="center"/>
              <w:ind w:right="6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260" w:type="dxa"/>
            <w:vAlign w:val="bottom"/>
            <w:gridSpan w:val="2"/>
          </w:tcPr>
          <w:p>
            <w:pPr>
              <w:jc w:val="center"/>
              <w:ind w:right="8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56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(in thousands of</w:t>
            </w:r>
          </w:p>
        </w:tc>
        <w:tc>
          <w:tcPr>
            <w:tcW w:w="140" w:type="dxa"/>
            <w:vAlign w:val="bottom"/>
          </w:tcPr>
          <w:p>
            <w:pPr>
              <w:spacing w:after="0"/>
              <w:rPr>
                <w:sz w:val="24"/>
                <w:szCs w:val="24"/>
                <w:color w:val="auto"/>
              </w:rPr>
            </w:pPr>
          </w:p>
        </w:tc>
        <w:tc>
          <w:tcPr>
            <w:tcW w:w="1120" w:type="dxa"/>
            <w:vAlign w:val="bottom"/>
          </w:tcPr>
          <w:p>
            <w:pPr>
              <w:jc w:val="center"/>
              <w:ind w:right="3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140" w:type="dxa"/>
            <w:vAlign w:val="bottom"/>
          </w:tcPr>
          <w:p>
            <w:pPr>
              <w:spacing w:after="0"/>
              <w:rPr>
                <w:sz w:val="24"/>
                <w:szCs w:val="24"/>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w w:val="98"/>
              </w:rPr>
              <w:t>% Change</w:t>
            </w:r>
          </w:p>
        </w:tc>
        <w:tc>
          <w:tcPr>
            <w:tcW w:w="0" w:type="dxa"/>
            <w:vAlign w:val="bottom"/>
          </w:tcPr>
          <w:p>
            <w:pPr>
              <w:spacing w:after="0"/>
              <w:rPr>
                <w:sz w:val="1"/>
                <w:szCs w:val="1"/>
                <w:color w:val="auto"/>
              </w:rPr>
            </w:pPr>
          </w:p>
        </w:tc>
      </w:tr>
      <w:tr>
        <w:trPr>
          <w:trHeight w:val="222"/>
        </w:trPr>
        <w:tc>
          <w:tcPr>
            <w:tcW w:w="1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b w:val="1"/>
                <w:bCs w:val="1"/>
                <w:color w:val="auto"/>
              </w:rPr>
              <w:t>U.S. dollars,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b w:val="1"/>
                <w:bCs w:val="1"/>
                <w:color w:val="auto"/>
              </w:rPr>
              <w:t>except for per</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5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share data)</w:t>
            </w:r>
          </w:p>
        </w:tc>
        <w:tc>
          <w:tcPr>
            <w:tcW w:w="1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140" w:type="dxa"/>
            <w:vAlign w:val="bottom"/>
          </w:tcPr>
          <w:p>
            <w:pPr>
              <w:spacing w:after="0"/>
              <w:rPr>
                <w:sz w:val="24"/>
                <w:szCs w:val="24"/>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3"/>
          </w:tcPr>
          <w:p>
            <w:pPr>
              <w:jc w:val="right"/>
              <w:ind w:right="394"/>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217,507</w:t>
            </w:r>
          </w:p>
        </w:tc>
        <w:tc>
          <w:tcPr>
            <w:tcW w:w="80" w:type="dxa"/>
            <w:vAlign w:val="bottom"/>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210,950</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6,557</w:t>
            </w:r>
          </w:p>
        </w:tc>
        <w:tc>
          <w:tcPr>
            <w:tcW w:w="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427,008</w:t>
            </w:r>
          </w:p>
        </w:tc>
        <w:tc>
          <w:tcPr>
            <w:tcW w:w="60" w:type="dxa"/>
            <w:vAlign w:val="bottom"/>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410,994</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16,014</w:t>
            </w:r>
          </w:p>
        </w:tc>
        <w:tc>
          <w:tcPr>
            <w:tcW w:w="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Cost of goods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sold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160,010</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149,730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10,280</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312,042</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290,068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21,974</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57,497</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61,220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(3,723)</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114,966</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120,926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(5,960)</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Operating</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expenses: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General and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administrative</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51,175</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45,997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5,178</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92,228</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90,110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2,118</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Selling</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11,781</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16,162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(4,381)</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24,704</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27,852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(3,148)</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Amortization</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4,358</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22,927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(18,569)</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8,287</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44,731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(36,444)</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Marketing</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and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promotion</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9,981</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261</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20,136</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21,286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(1,150)</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Research and</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development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Change in fair</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value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contingent</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consideration</w:t>
            </w:r>
          </w:p>
        </w:tc>
        <w:tc>
          <w:tcPr>
            <w:tcW w:w="14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NM</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6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Litigation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costs, net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recoveries</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869</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1,876</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(620)</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Restructuring</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costs</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965</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(5,904)</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1,834</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(9,282)</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Transaction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costs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(income), net</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569</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802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(233)</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969</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1,958</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(989)</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06"/>
        </w:trPr>
        <w:tc>
          <w:tcPr>
            <w:tcW w:w="156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rPr>
              <w:t>Total operating</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expenses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79,776</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103,438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(23,662)</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135,153</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199,714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(64,561)</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Operating loss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(22,279)</w:t>
            </w: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(42,218)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19,939</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(20,187)</w:t>
            </w:r>
          </w:p>
        </w:tc>
        <w:tc>
          <w:tcPr>
            <w:tcW w:w="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(78,788)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58,601</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Interest</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expense, net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(5,374)</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(7,766)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2,392</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(12,070)</w:t>
            </w:r>
          </w:p>
        </w:tc>
        <w:tc>
          <w:tcPr>
            <w:tcW w:w="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(17,608)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5,538</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Non-</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operating</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income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(expense), net</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(12,310)</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(33,255)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20,945</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(8,478)</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(20,609)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12,131</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0" w:type="dxa"/>
            <w:vAlign w:val="bottom"/>
          </w:tcPr>
          <w:p>
            <w:pPr>
              <w:spacing w:after="0"/>
              <w:rPr>
                <w:sz w:val="1"/>
                <w:szCs w:val="1"/>
                <w:color w:val="auto"/>
              </w:rPr>
            </w:pPr>
          </w:p>
        </w:tc>
      </w:tr>
      <w:tr>
        <w:trPr>
          <w:trHeight w:val="271"/>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Loss before</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(39,963)</w:t>
            </w: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(83,239)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43,276</w:t>
            </w:r>
          </w:p>
        </w:tc>
        <w:tc>
          <w:tcPr>
            <w:tcW w:w="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(40,735)</w:t>
            </w:r>
          </w:p>
        </w:tc>
        <w:tc>
          <w:tcPr>
            <w:tcW w:w="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(117,005)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76,270</w:t>
            </w:r>
          </w:p>
        </w:tc>
        <w:tc>
          <w:tcPr>
            <w:tcW w:w="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0" w:type="dxa"/>
            <w:vAlign w:val="bottom"/>
          </w:tcPr>
          <w:p>
            <w:pPr>
              <w:spacing w:after="0"/>
              <w:rPr>
                <w:sz w:val="1"/>
                <w:szCs w:val="1"/>
                <w:color w:val="auto"/>
              </w:rPr>
            </w:pPr>
          </w:p>
        </w:tc>
      </w:tr>
    </w:tbl>
    <w:p>
      <w:pPr>
        <w:sectPr>
          <w:pgSz w:w="11900" w:h="16910" w:orient="portrait"/>
          <w:cols w:equalWidth="0" w:num="1">
            <w:col w:w="11240"/>
          </w:cols>
          <w:pgMar w:left="340" w:top="27" w:right="319" w:bottom="0" w:gutter="0" w:footer="0" w:header="0"/>
        </w:sectPr>
      </w:pPr>
    </w:p>
    <w:bookmarkStart w:id="8" w:name="page9"/>
    <w:bookmarkEnd w:id="8"/>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income taxes</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Income tax</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expense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(recovery),</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net</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3,546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2,036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1,510</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1,261</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2,922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(1,661)</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(57)%</w:t>
            </w: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(43,509)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(85,275)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41,766</w:t>
            </w:r>
          </w:p>
        </w:tc>
        <w:tc>
          <w:tcPr>
            <w:tcW w:w="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(41,996)</w:t>
            </w: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(119,927)</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77,931</w:t>
            </w:r>
          </w:p>
        </w:tc>
        <w:tc>
          <w:tcPr>
            <w:tcW w:w="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line="230" w:lineRule="exact"/>
              <w:rPr>
                <w:sz w:val="20"/>
                <w:szCs w:val="20"/>
                <w:color w:val="auto"/>
              </w:rPr>
            </w:pPr>
            <w:r>
              <w:rPr>
                <w:rFonts w:ascii="Times New Roman" w:cs="Times New Roman" w:eastAsia="Times New Roman" w:hAnsi="Times New Roman"/>
                <w:sz w:val="21"/>
                <w:szCs w:val="21"/>
                <w:color w:val="auto"/>
              </w:rPr>
              <w:t>Total net income</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(loss)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attributable to:</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Stockholders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of Tilray</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Brands, Inc.</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(44,931)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(85,342)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40,411</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(45,253)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(124,507)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79,254</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Non-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controlling</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interests</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1,355</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3,257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4,580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(1,323)</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Other</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comprehensive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gain (loss), net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of tax</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Foreign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currency</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ind w:left="240"/>
              <w:spacing w:after="0" w:line="238" w:lineRule="exact"/>
              <w:rPr>
                <w:sz w:val="20"/>
                <w:szCs w:val="20"/>
                <w:color w:val="auto"/>
              </w:rPr>
            </w:pPr>
            <w:r>
              <w:rPr>
                <w:rFonts w:ascii="Times New Roman" w:cs="Times New Roman" w:eastAsia="Times New Roman" w:hAnsi="Times New Roman"/>
                <w:sz w:val="21"/>
                <w:szCs w:val="21"/>
                <w:color w:val="auto"/>
              </w:rPr>
              <w:t>translation</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gain (loss)</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4,464</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(8,966)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13,430</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(150)%</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4,276</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(4,806)</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9,082</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(189)%</w:t>
            </w:r>
          </w:p>
        </w:tc>
        <w:tc>
          <w:tcPr>
            <w:tcW w:w="0" w:type="dxa"/>
            <w:vAlign w:val="bottom"/>
          </w:tcPr>
          <w:p>
            <w:pPr>
              <w:spacing w:after="0"/>
              <w:rPr>
                <w:sz w:val="1"/>
                <w:szCs w:val="1"/>
                <w:color w:val="auto"/>
              </w:rPr>
            </w:pPr>
          </w:p>
        </w:tc>
      </w:tr>
      <w:tr>
        <w:trPr>
          <w:trHeight w:val="206"/>
        </w:trPr>
        <w:tc>
          <w:tcPr>
            <w:tcW w:w="156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rPr>
              <w:t>Comprehensive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(39,045)</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(94,241)</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55,196</w:t>
            </w:r>
          </w:p>
        </w:tc>
        <w:tc>
          <w:tcPr>
            <w:tcW w:w="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(37,720)</w:t>
            </w:r>
          </w:p>
        </w:tc>
        <w:tc>
          <w:tcPr>
            <w:tcW w:w="6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(124,733)</w:t>
            </w:r>
          </w:p>
        </w:tc>
        <w:tc>
          <w:tcPr>
            <w:tcW w:w="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87,013</w:t>
            </w:r>
          </w:p>
        </w:tc>
        <w:tc>
          <w:tcPr>
            <w:tcW w:w="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loss</w:t>
            </w:r>
          </w:p>
        </w:tc>
        <w:tc>
          <w:tcPr>
            <w:tcW w:w="1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line="230" w:lineRule="exact"/>
              <w:rPr>
                <w:sz w:val="20"/>
                <w:szCs w:val="20"/>
                <w:color w:val="auto"/>
              </w:rPr>
            </w:pPr>
            <w:r>
              <w:rPr>
                <w:rFonts w:ascii="Times New Roman" w:cs="Times New Roman" w:eastAsia="Times New Roman" w:hAnsi="Times New Roman"/>
                <w:sz w:val="21"/>
                <w:szCs w:val="21"/>
                <w:color w:val="auto"/>
              </w:rPr>
              <w:t>Total</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comprehensive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income (loss)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attributable to:</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Stockholders of</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Tilray Brands,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Inc.</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(40,994)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(93,422)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52,428</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(41,483)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(128,965)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87,482</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Non-controlling</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interests</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1,949</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(819)</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2,768</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(338)%</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3,763</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4,232</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(469)</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206"/>
        </w:trPr>
        <w:tc>
          <w:tcPr>
            <w:tcW w:w="156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rPr>
              <w:t>Weighted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average number</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of common</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1560" w:type="dxa"/>
            <w:vAlign w:val="bottom"/>
          </w:tcPr>
          <w:p>
            <w:pPr>
              <w:spacing w:after="0" w:line="307" w:lineRule="exact"/>
              <w:rPr>
                <w:sz w:val="20"/>
                <w:szCs w:val="20"/>
                <w:color w:val="auto"/>
              </w:rPr>
            </w:pPr>
            <w:r>
              <w:rPr>
                <w:rFonts w:ascii="Times New Roman" w:cs="Times New Roman" w:eastAsia="Times New Roman" w:hAnsi="Times New Roman"/>
                <w:sz w:val="21"/>
                <w:szCs w:val="21"/>
                <w:color w:val="auto"/>
              </w:rPr>
              <w:t>shares - basic</w:t>
            </w:r>
            <w:r>
              <w:rPr>
                <w:rFonts w:ascii="Times New Roman" w:cs="Times New Roman" w:eastAsia="Times New Roman" w:hAnsi="Times New Roman"/>
                <w:sz w:val="35"/>
                <w:szCs w:val="35"/>
                <w:color w:val="auto"/>
                <w:vertAlign w:val="superscript"/>
              </w:rPr>
              <w:t>1</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110,343,368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86,497,456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23,845,912</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108,173,486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83,740,894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24,432,592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Weighted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average number</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of common</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1560" w:type="dxa"/>
            <w:vAlign w:val="bottom"/>
          </w:tcPr>
          <w:p>
            <w:pPr>
              <w:spacing w:after="0" w:line="322" w:lineRule="exact"/>
              <w:rPr>
                <w:sz w:val="20"/>
                <w:szCs w:val="20"/>
                <w:color w:val="auto"/>
              </w:rPr>
            </w:pPr>
            <w:r>
              <w:rPr>
                <w:rFonts w:ascii="Times New Roman" w:cs="Times New Roman" w:eastAsia="Times New Roman" w:hAnsi="Times New Roman"/>
                <w:sz w:val="21"/>
                <w:szCs w:val="21"/>
                <w:color w:val="auto"/>
              </w:rPr>
              <w:t>shares - diluted</w:t>
            </w:r>
            <w:r>
              <w:rPr>
                <w:rFonts w:ascii="Times New Roman" w:cs="Times New Roman" w:eastAsia="Times New Roman" w:hAnsi="Times New Roman"/>
                <w:sz w:val="35"/>
                <w:szCs w:val="35"/>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9"/>
              </w:rPr>
              <w:t>110,343,368</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9"/>
              </w:rPr>
              <w:t>86,497,456</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9"/>
              </w:rPr>
              <w:t>23,845,912</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9"/>
              </w:rPr>
              <w:t>108,173,486</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9"/>
              </w:rPr>
              <w:t>83,740,894</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9"/>
              </w:rPr>
              <w:t>24,432,592</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0" w:type="dxa"/>
            <w:vAlign w:val="bottom"/>
          </w:tcPr>
          <w:p>
            <w:pPr>
              <w:spacing w:after="0"/>
              <w:rPr>
                <w:sz w:val="1"/>
                <w:szCs w:val="1"/>
                <w:color w:val="auto"/>
              </w:rPr>
            </w:pPr>
          </w:p>
        </w:tc>
      </w:tr>
      <w:tr>
        <w:trPr>
          <w:trHeight w:val="213"/>
        </w:trPr>
        <w:tc>
          <w:tcPr>
            <w:tcW w:w="1560" w:type="dxa"/>
            <w:vAlign w:val="bottom"/>
          </w:tcPr>
          <w:p>
            <w:pPr>
              <w:spacing w:after="0" w:line="213" w:lineRule="exact"/>
              <w:rPr>
                <w:sz w:val="20"/>
                <w:szCs w:val="20"/>
                <w:color w:val="auto"/>
              </w:rPr>
            </w:pPr>
            <w:r>
              <w:rPr>
                <w:rFonts w:ascii="Times New Roman" w:cs="Times New Roman" w:eastAsia="Times New Roman" w:hAnsi="Times New Roman"/>
                <w:sz w:val="21"/>
                <w:szCs w:val="21"/>
                <w:color w:val="auto"/>
              </w:rPr>
              <w:t>Net loss per</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1560" w:type="dxa"/>
            <w:vAlign w:val="bottom"/>
          </w:tcPr>
          <w:p>
            <w:pPr>
              <w:spacing w:after="0" w:line="307" w:lineRule="exact"/>
              <w:rPr>
                <w:sz w:val="20"/>
                <w:szCs w:val="20"/>
                <w:color w:val="auto"/>
              </w:rPr>
            </w:pPr>
            <w:r>
              <w:rPr>
                <w:rFonts w:ascii="Times New Roman" w:cs="Times New Roman" w:eastAsia="Times New Roman" w:hAnsi="Times New Roman"/>
                <w:sz w:val="21"/>
                <w:szCs w:val="21"/>
                <w:color w:val="auto"/>
              </w:rPr>
              <w:t>share - basic</w:t>
            </w:r>
            <w:r>
              <w:rPr>
                <w:rFonts w:ascii="Times New Roman" w:cs="Times New Roman" w:eastAsia="Times New Roman" w:hAnsi="Times New Roman"/>
                <w:sz w:val="35"/>
                <w:szCs w:val="3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(0.41)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(0.99)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0.58</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(0.42)</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0" w:type="dxa"/>
            <w:vAlign w:val="bottom"/>
          </w:tcPr>
          <w:p>
            <w:pPr>
              <w:spacing w:after="0"/>
              <w:rPr>
                <w:sz w:val="1"/>
                <w:szCs w:val="1"/>
                <w:color w:val="auto"/>
              </w:rPr>
            </w:pPr>
          </w:p>
        </w:tc>
      </w:tr>
      <w:tr>
        <w:trPr>
          <w:trHeight w:val="247"/>
        </w:trPr>
        <w:tc>
          <w:tcPr>
            <w:tcW w:w="1560" w:type="dxa"/>
            <w:vAlign w:val="bottom"/>
          </w:tcPr>
          <w:p>
            <w:pPr>
              <w:spacing w:after="0"/>
              <w:rPr>
                <w:sz w:val="20"/>
                <w:szCs w:val="20"/>
                <w:color w:val="auto"/>
              </w:rPr>
            </w:pPr>
            <w:r>
              <w:rPr>
                <w:rFonts w:ascii="Times New Roman" w:cs="Times New Roman" w:eastAsia="Times New Roman" w:hAnsi="Times New Roman"/>
                <w:sz w:val="21"/>
                <w:szCs w:val="21"/>
                <w:color w:val="auto"/>
              </w:rPr>
              <w:t>Net loss per</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560" w:type="dxa"/>
            <w:vAlign w:val="bottom"/>
          </w:tcPr>
          <w:p>
            <w:pPr>
              <w:spacing w:after="0" w:line="295" w:lineRule="exact"/>
              <w:rPr>
                <w:sz w:val="20"/>
                <w:szCs w:val="20"/>
                <w:color w:val="auto"/>
              </w:rPr>
            </w:pPr>
            <w:r>
              <w:rPr>
                <w:rFonts w:ascii="Times New Roman" w:cs="Times New Roman" w:eastAsia="Times New Roman" w:hAnsi="Times New Roman"/>
                <w:sz w:val="21"/>
                <w:szCs w:val="21"/>
                <w:color w:val="auto"/>
              </w:rPr>
              <w:t>share - diluted</w:t>
            </w:r>
            <w:r>
              <w:rPr>
                <w:rFonts w:ascii="Times New Roman" w:cs="Times New Roman" w:eastAsia="Times New Roman" w:hAnsi="Times New Roman"/>
                <w:sz w:val="34"/>
                <w:szCs w:val="34"/>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(0.41)</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(0.99)</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0.58</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(0.42)</w:t>
            </w:r>
          </w:p>
        </w:tc>
        <w:tc>
          <w:tcPr>
            <w:tcW w:w="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(1.49)</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1.07</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right="680"/>
        <w:spacing w:after="0" w:line="207"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1"/>
          <w:szCs w:val="21"/>
          <w:color w:val="auto"/>
        </w:rPr>
        <w:t>Current and prior year share amounts have been retrospectively adjusted to reflect the Reverse Stock Split (as defined in the November 30, 2025, Form 10-Q), which became effective on December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tc>
        <w:tc>
          <w:tcPr>
            <w:tcW w:w="240" w:type="dxa"/>
            <w:vAlign w:val="bottom"/>
          </w:tcPr>
          <w:p>
            <w:pPr>
              <w:spacing w:after="0"/>
              <w:rPr>
                <w:sz w:val="24"/>
                <w:szCs w:val="24"/>
                <w:color w:val="auto"/>
              </w:rPr>
            </w:pPr>
          </w:p>
        </w:tc>
        <w:tc>
          <w:tcPr>
            <w:tcW w:w="2880" w:type="dxa"/>
            <w:vAlign w:val="bottom"/>
            <w:gridSpan w:val="5"/>
            <w:vMerge w:val="restart"/>
          </w:tcPr>
          <w:p>
            <w:pPr>
              <w:ind w:left="120"/>
              <w:spacing w:after="0"/>
              <w:rPr>
                <w:sz w:val="20"/>
                <w:szCs w:val="20"/>
                <w:color w:val="auto"/>
              </w:rPr>
            </w:pPr>
            <w:r>
              <w:rPr>
                <w:rFonts w:ascii="Times New Roman" w:cs="Times New Roman" w:eastAsia="Times New Roman" w:hAnsi="Times New Roman"/>
                <w:sz w:val="21"/>
                <w:szCs w:val="21"/>
                <w:b w:val="1"/>
                <w:bCs w:val="1"/>
                <w:color w:val="auto"/>
              </w:rPr>
              <w:t>For the six months ended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gridSpan w:val="5"/>
            <w:vMerge w:val="continue"/>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21"/>
                <w:szCs w:val="21"/>
                <w:b w:val="1"/>
                <w:bCs w:val="1"/>
                <w:color w:val="auto"/>
              </w:rPr>
              <w:t>November 30,</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21"/>
                <w:szCs w:val="21"/>
                <w:b w:val="1"/>
                <w:bCs w:val="1"/>
                <w:color w:val="auto"/>
              </w:rPr>
              <w:t>November 30,</w:t>
            </w:r>
          </w:p>
        </w:tc>
        <w:tc>
          <w:tcPr>
            <w:tcW w:w="240" w:type="dxa"/>
            <w:vAlign w:val="bottom"/>
          </w:tcPr>
          <w:p>
            <w:pPr>
              <w:spacing w:after="0"/>
              <w:rPr>
                <w:sz w:val="22"/>
                <w:szCs w:val="22"/>
                <w:color w:val="auto"/>
              </w:rPr>
            </w:pP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0" w:type="dxa"/>
            <w:vAlign w:val="bottom"/>
          </w:tcPr>
          <w:p>
            <w:pPr>
              <w:spacing w:after="0"/>
              <w:rPr>
                <w:sz w:val="1"/>
                <w:szCs w:val="1"/>
                <w:color w:val="auto"/>
              </w:rPr>
            </w:pPr>
          </w:p>
        </w:tc>
      </w:tr>
      <w:tr>
        <w:trPr>
          <w:trHeight w:val="280"/>
        </w:trPr>
        <w:tc>
          <w:tcPr>
            <w:tcW w:w="50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21"/>
                <w:szCs w:val="21"/>
                <w:b w:val="1"/>
                <w:bCs w:val="1"/>
                <w:color w:val="auto"/>
              </w:rPr>
              <w:t>2025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21"/>
                <w:szCs w:val="21"/>
                <w:b w:val="1"/>
                <w:bCs w:val="1"/>
                <w:color w:val="auto"/>
              </w:rPr>
              <w:t>2024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774"/>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Cash provided by (used in) operating activities: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Net loss</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w w:val="9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(41,996)</w:t>
            </w:r>
          </w:p>
        </w:tc>
        <w:tc>
          <w:tcPr>
            <w:tcW w:w="120" w:type="dxa"/>
            <w:vAlign w:val="bottom"/>
          </w:tcPr>
          <w:p>
            <w:pPr>
              <w:spacing w:after="0"/>
              <w:rPr>
                <w:sz w:val="22"/>
                <w:szCs w:val="22"/>
                <w:color w:val="auto"/>
              </w:rPr>
            </w:pP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(119,927)</w:t>
            </w:r>
          </w:p>
        </w:tc>
        <w:tc>
          <w:tcPr>
            <w:tcW w:w="120" w:type="dxa"/>
            <w:vAlign w:val="bottom"/>
          </w:tcPr>
          <w:p>
            <w:pPr>
              <w:spacing w:after="0"/>
              <w:rPr>
                <w:sz w:val="22"/>
                <w:szCs w:val="22"/>
                <w:color w:val="auto"/>
              </w:rPr>
            </w:pP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w w:val="94"/>
              </w:rPr>
              <w:t>$</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77,931</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Adjustments for:</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Deferred income tax (recovery) expense, net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(268)</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c>
          <w:tcPr>
            <w:tcW w:w="0" w:type="dxa"/>
            <w:vAlign w:val="bottom"/>
          </w:tcPr>
          <w:p>
            <w:pPr>
              <w:spacing w:after="0"/>
              <w:rPr>
                <w:sz w:val="1"/>
                <w:szCs w:val="1"/>
                <w:color w:val="auto"/>
              </w:rPr>
            </w:pP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Unrealized foreign exchange gain</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(4,728)</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0" w:type="dxa"/>
            <w:vAlign w:val="bottom"/>
          </w:tcPr>
          <w:p>
            <w:pPr>
              <w:spacing w:after="0"/>
              <w:rPr>
                <w:sz w:val="1"/>
                <w:szCs w:val="1"/>
                <w:color w:val="auto"/>
              </w:rPr>
            </w:pP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Amortization</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31,519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65,864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(34,345)</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76"/>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Accretion of convertible debt discount</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3,964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5,985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(2,021)</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0" w:type="dxa"/>
            <w:vAlign w:val="bottom"/>
          </w:tcPr>
          <w:p>
            <w:pPr>
              <w:spacing w:after="0"/>
              <w:rPr>
                <w:sz w:val="1"/>
                <w:szCs w:val="1"/>
                <w:color w:val="auto"/>
              </w:rPr>
            </w:pPr>
          </w:p>
        </w:tc>
      </w:tr>
    </w:tbl>
    <w:p>
      <w:pPr>
        <w:sectPr>
          <w:pgSz w:w="11900" w:h="16856" w:orient="portrait"/>
          <w:cols w:equalWidth="0" w:num="1">
            <w:col w:w="11240"/>
          </w:cols>
          <w:pgMar w:left="340" w:top="114" w:right="31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Unrealized loss on digital assets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172</w:t>
            </w:r>
          </w:p>
        </w:tc>
        <w:tc>
          <w:tcPr>
            <w:tcW w:w="1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non-cash items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(1,514)</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Stock-based compensation</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17,335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14,154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3,181</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Gain on long-term investments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240</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364%</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Loss (gain) on derivative instruments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(1,558)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5,053</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(324)%</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Change in fair value of contingent consideration</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r>
      <w:tr>
        <w:trPr>
          <w:trHeight w:val="264"/>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Change in non-cash working capital:</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receivable</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(9,051)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21,469</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(237)%</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Prepaids and other current assets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(13,046)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5,652</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Inventory</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(8,127)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(4,189)</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76"/>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Accounts payable and accrued liabilities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(10,308)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(24,828)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14,520</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59"/>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Net cash used in operating activities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(9,878)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(76,031)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66,153</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(87)%</w:t>
            </w: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Cash provided by (used in) investing activities: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Investment in capital and intangible assets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(19,219)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(12,172)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(7,047)</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Proceeds from disposal of capital and intangible assets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(204)</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Investment in digital assets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(1,000)</w:t>
            </w:r>
          </w:p>
        </w:tc>
        <w:tc>
          <w:tcPr>
            <w:tcW w:w="1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Purchase of marketable securities, net</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(30,369)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20,218</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Investment in long-term investments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(3,595)</w:t>
            </w:r>
          </w:p>
        </w:tc>
        <w:tc>
          <w:tcPr>
            <w:tcW w:w="1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r>
      <w:tr>
        <w:trPr>
          <w:trHeight w:val="276"/>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Business acquisitions, net of cash acquired</w:t>
            </w:r>
          </w:p>
        </w:tc>
        <w:tc>
          <w:tcPr>
            <w:tcW w:w="3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18,210</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59"/>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Net cash used in investing activities</w:t>
            </w: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(33,538)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(60,120)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26,582</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Cash provided by (used in) financing activities:</w:t>
            </w: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Share capital issued, net of cash issuance costs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73,058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111,517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(38,459)</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Proceeds from warrants exercised</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2,367</w:t>
            </w:r>
          </w:p>
        </w:tc>
        <w:tc>
          <w:tcPr>
            <w:tcW w:w="120" w:type="dxa"/>
            <w:vAlign w:val="bottom"/>
          </w:tcPr>
          <w:p>
            <w:pPr>
              <w:spacing w:after="0"/>
              <w:rPr>
                <w:sz w:val="22"/>
                <w:szCs w:val="22"/>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Repayment of long-term debt</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(10,388)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3,516</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Repayment of convertible debt</w:t>
            </w:r>
          </w:p>
        </w:tc>
        <w:tc>
          <w:tcPr>
            <w:tcW w:w="3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330</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64"/>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Repayment of lease liabilities</w:t>
            </w: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(267)</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76"/>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Net decrease in bank indebtedness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1,386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1,668</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(591)%</w:t>
            </w:r>
          </w:p>
        </w:tc>
      </w:tr>
      <w:tr>
        <w:trPr>
          <w:trHeight w:val="259"/>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Net cash provided by financing activities</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67,948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98,793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(30,845)</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03"/>
        </w:trPr>
        <w:tc>
          <w:tcPr>
            <w:tcW w:w="5060" w:type="dxa"/>
            <w:vAlign w:val="bottom"/>
          </w:tcPr>
          <w:p>
            <w:pPr>
              <w:ind w:left="240"/>
              <w:spacing w:after="0" w:line="204" w:lineRule="exact"/>
              <w:rPr>
                <w:sz w:val="20"/>
                <w:szCs w:val="20"/>
                <w:color w:val="auto"/>
              </w:rPr>
            </w:pPr>
            <w:r>
              <w:rPr>
                <w:rFonts w:ascii="Times New Roman" w:cs="Times New Roman" w:eastAsia="Times New Roman" w:hAnsi="Times New Roman"/>
                <w:sz w:val="21"/>
                <w:szCs w:val="21"/>
                <w:color w:val="auto"/>
              </w:rPr>
              <w:t>Effect of foreign exchange on cash and cash</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6"/>
        </w:trPr>
        <w:tc>
          <w:tcPr>
            <w:tcW w:w="506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equivalents</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505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(1,284)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1,789</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(139)%</w:t>
            </w:r>
          </w:p>
        </w:tc>
      </w:tr>
      <w:tr>
        <w:trPr>
          <w:trHeight w:val="245"/>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Net increase (decrease) in cash and cash equivalents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25,037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(38,642)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63,679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(165)%</w:t>
            </w:r>
          </w:p>
        </w:tc>
      </w:tr>
      <w:tr>
        <w:trPr>
          <w:trHeight w:val="277"/>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Cash and cash equivalents, beginning of period</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221,666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228,340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(6,674)</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w:t>
            </w:r>
          </w:p>
        </w:tc>
      </w:tr>
      <w:tr>
        <w:trPr>
          <w:trHeight w:val="258"/>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Cash and cash equivalents, end of period</w:t>
            </w: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246,703</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21"/>
                <w:szCs w:val="21"/>
                <w:color w:val="auto"/>
                <w:w w:val="9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189,698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57,005</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0"/>
        </w:trPr>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8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Net Revenue by Operating Segment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2720" w:type="dxa"/>
            <w:vAlign w:val="bottom"/>
          </w:tcPr>
          <w:p>
            <w:pPr>
              <w:spacing w:after="0"/>
              <w:rPr>
                <w:sz w:val="24"/>
                <w:szCs w:val="24"/>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4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2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For the six months</w:t>
            </w:r>
          </w:p>
        </w:tc>
      </w:tr>
      <w:tr>
        <w:trPr>
          <w:trHeight w:val="264"/>
        </w:trPr>
        <w:tc>
          <w:tcPr>
            <w:tcW w:w="2720" w:type="dxa"/>
            <w:vAlign w:val="bottom"/>
          </w:tcPr>
          <w:p>
            <w:pPr>
              <w:spacing w:after="0"/>
              <w:rPr>
                <w:sz w:val="22"/>
                <w:szCs w:val="22"/>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14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ended</w:t>
            </w:r>
          </w:p>
        </w:tc>
      </w:tr>
      <w:tr>
        <w:trPr>
          <w:trHeight w:val="238"/>
        </w:trPr>
        <w:tc>
          <w:tcPr>
            <w:tcW w:w="2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b w:val="1"/>
                <w:bCs w:val="1"/>
                <w:color w:val="auto"/>
              </w:rPr>
              <w:t>(In thousands of U.S.</w:t>
            </w:r>
          </w:p>
        </w:tc>
        <w:tc>
          <w:tcPr>
            <w:tcW w:w="1060" w:type="dxa"/>
            <w:vAlign w:val="bottom"/>
            <w:gridSpan w:val="2"/>
          </w:tcPr>
          <w:p>
            <w:pPr>
              <w:jc w:val="center"/>
              <w:ind w:right="8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60" w:type="dxa"/>
            <w:vAlign w:val="bottom"/>
            <w:gridSpan w:val="2"/>
          </w:tcPr>
          <w:p>
            <w:pPr>
              <w:jc w:val="center"/>
              <w:ind w:right="8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r>
      <w:tr>
        <w:trPr>
          <w:trHeight w:val="280"/>
        </w:trPr>
        <w:tc>
          <w:tcPr>
            <w:tcW w:w="27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dollars)</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4"/>
                <w:szCs w:val="24"/>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Revenue</w:t>
            </w:r>
          </w:p>
        </w:tc>
      </w:tr>
      <w:tr>
        <w:trPr>
          <w:trHeight w:val="245"/>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Beverage business</w:t>
            </w: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  50,083</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  63,081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120" w:type="dxa"/>
            <w:vAlign w:val="bottom"/>
          </w:tcPr>
          <w:p>
            <w:pPr>
              <w:spacing w:after="0"/>
              <w:rPr>
                <w:sz w:val="21"/>
                <w:szCs w:val="21"/>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$ 105,822</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$ 119,053</w:t>
            </w:r>
          </w:p>
        </w:tc>
        <w:tc>
          <w:tcPr>
            <w:tcW w:w="10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Cannabis business</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67,532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65,652</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132,043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126,901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business</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85,316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67,611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159,323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135,682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Wellness business</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14,576</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14,606</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29,820</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29,358</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58"/>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Total net revenue</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$ 217,507</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$ 210,950</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$ 427,008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$ 410,994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0"/>
        </w:trPr>
        <w:tc>
          <w:tcPr>
            <w:tcW w:w="2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19"/>
        </w:trPr>
        <w:tc>
          <w:tcPr>
            <w:tcW w:w="5920" w:type="dxa"/>
            <w:vAlign w:val="bottom"/>
            <w:gridSpan w:val="7"/>
          </w:tcPr>
          <w:p>
            <w:pPr>
              <w:spacing w:after="0"/>
              <w:rPr>
                <w:sz w:val="20"/>
                <w:szCs w:val="20"/>
                <w:color w:val="auto"/>
              </w:rPr>
            </w:pPr>
            <w:r>
              <w:rPr>
                <w:rFonts w:ascii="Times New Roman" w:cs="Times New Roman" w:eastAsia="Times New Roman" w:hAnsi="Times New Roman"/>
                <w:sz w:val="21"/>
                <w:szCs w:val="21"/>
                <w:b w:val="1"/>
                <w:bCs w:val="1"/>
                <w:color w:val="auto"/>
              </w:rPr>
              <w:t>Net Revenue by Operating Segment in Constant Currency</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2720" w:type="dxa"/>
            <w:vAlign w:val="bottom"/>
          </w:tcPr>
          <w:p>
            <w:pPr>
              <w:spacing w:after="0"/>
              <w:rPr>
                <w:sz w:val="24"/>
                <w:szCs w:val="24"/>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4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2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For the six months</w:t>
            </w:r>
          </w:p>
        </w:tc>
      </w:tr>
      <w:tr>
        <w:trPr>
          <w:trHeight w:val="264"/>
        </w:trPr>
        <w:tc>
          <w:tcPr>
            <w:tcW w:w="2720" w:type="dxa"/>
            <w:vAlign w:val="bottom"/>
          </w:tcPr>
          <w:p>
            <w:pPr>
              <w:spacing w:after="0"/>
              <w:rPr>
                <w:sz w:val="22"/>
                <w:szCs w:val="22"/>
                <w:color w:val="auto"/>
              </w:rPr>
            </w:pP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14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ended</w:t>
            </w:r>
          </w:p>
        </w:tc>
      </w:tr>
      <w:tr>
        <w:trPr>
          <w:trHeight w:val="238"/>
        </w:trPr>
        <w:tc>
          <w:tcPr>
            <w:tcW w:w="2720" w:type="dxa"/>
            <w:vAlign w:val="bottom"/>
          </w:tcPr>
          <w:p>
            <w:pPr>
              <w:spacing w:after="0"/>
              <w:rPr>
                <w:sz w:val="20"/>
                <w:szCs w:val="20"/>
                <w:color w:val="auto"/>
              </w:rPr>
            </w:pPr>
          </w:p>
        </w:tc>
        <w:tc>
          <w:tcPr>
            <w:tcW w:w="1060" w:type="dxa"/>
            <w:vAlign w:val="bottom"/>
            <w:gridSpan w:val="2"/>
          </w:tcPr>
          <w:p>
            <w:pPr>
              <w:jc w:val="center"/>
              <w:ind w:right="8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8"/>
        </w:trPr>
        <w:tc>
          <w:tcPr>
            <w:tcW w:w="272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as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as</w:t>
            </w:r>
          </w:p>
        </w:tc>
        <w:tc>
          <w:tcPr>
            <w:tcW w:w="960" w:type="dxa"/>
            <w:vAlign w:val="bottom"/>
          </w:tcPr>
          <w:p>
            <w:pPr>
              <w:spacing w:after="0"/>
              <w:rPr>
                <w:sz w:val="20"/>
                <w:szCs w:val="20"/>
                <w:color w:val="auto"/>
              </w:rPr>
            </w:pPr>
          </w:p>
        </w:tc>
      </w:tr>
      <w:tr>
        <w:trPr>
          <w:trHeight w:val="238"/>
        </w:trPr>
        <w:tc>
          <w:tcPr>
            <w:tcW w:w="272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reported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960" w:type="dxa"/>
            <w:vAlign w:val="bottom"/>
          </w:tcPr>
          <w:p>
            <w:pPr>
              <w:spacing w:after="0"/>
              <w:rPr>
                <w:sz w:val="20"/>
                <w:szCs w:val="20"/>
                <w:color w:val="auto"/>
              </w:rPr>
            </w:pPr>
          </w:p>
        </w:tc>
      </w:tr>
      <w:tr>
        <w:trPr>
          <w:trHeight w:val="238"/>
        </w:trPr>
        <w:tc>
          <w:tcPr>
            <w:tcW w:w="272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w w:val="91"/>
              </w:rPr>
              <w:t>in</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in</w:t>
            </w:r>
          </w:p>
        </w:tc>
        <w:tc>
          <w:tcPr>
            <w:tcW w:w="1060" w:type="dxa"/>
            <w:vAlign w:val="bottom"/>
            <w:gridSpan w:val="2"/>
          </w:tcPr>
          <w:p>
            <w:pPr>
              <w:jc w:val="center"/>
              <w:ind w:right="14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in</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w w:val="91"/>
              </w:rPr>
              <w:t>in</w:t>
            </w: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b w:val="1"/>
                <w:bCs w:val="1"/>
                <w:color w:val="auto"/>
              </w:rPr>
              <w:t>(In thousands of U.S.</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1060" w:type="dxa"/>
            <w:vAlign w:val="bottom"/>
            <w:gridSpan w:val="2"/>
          </w:tcPr>
          <w:p>
            <w:pPr>
              <w:jc w:val="center"/>
              <w:ind w:right="8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8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r>
      <w:tr>
        <w:trPr>
          <w:trHeight w:val="280"/>
        </w:trPr>
        <w:tc>
          <w:tcPr>
            <w:tcW w:w="27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dollars)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currency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9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Revenue</w:t>
            </w:r>
          </w:p>
        </w:tc>
      </w:tr>
      <w:tr>
        <w:trPr>
          <w:trHeight w:val="271"/>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Beverage business</w:t>
            </w: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  50,083</w:t>
            </w:r>
          </w:p>
        </w:tc>
        <w:tc>
          <w:tcPr>
            <w:tcW w:w="100" w:type="dxa"/>
            <w:vAlign w:val="bottom"/>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100" w:type="dxa"/>
            <w:vAlign w:val="bottom"/>
          </w:tcPr>
          <w:p>
            <w:pPr>
              <w:spacing w:after="0"/>
              <w:rPr>
                <w:sz w:val="23"/>
                <w:szCs w:val="23"/>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  63,081</w:t>
            </w:r>
          </w:p>
        </w:tc>
        <w:tc>
          <w:tcPr>
            <w:tcW w:w="120" w:type="dxa"/>
            <w:vAlign w:val="bottom"/>
          </w:tcPr>
          <w:p>
            <w:pPr>
              <w:spacing w:after="0"/>
              <w:rPr>
                <w:sz w:val="23"/>
                <w:szCs w:val="2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120" w:type="dxa"/>
            <w:vAlign w:val="bottom"/>
          </w:tcPr>
          <w:p>
            <w:pPr>
              <w:spacing w:after="0"/>
              <w:rPr>
                <w:sz w:val="23"/>
                <w:szCs w:val="23"/>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$ 105,822</w:t>
            </w:r>
          </w:p>
        </w:tc>
        <w:tc>
          <w:tcPr>
            <w:tcW w:w="100" w:type="dxa"/>
            <w:vAlign w:val="bottom"/>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100" w:type="dxa"/>
            <w:vAlign w:val="bottom"/>
          </w:tcPr>
          <w:p>
            <w:pPr>
              <w:spacing w:after="0"/>
              <w:rPr>
                <w:sz w:val="23"/>
                <w:szCs w:val="23"/>
                <w:color w:val="auto"/>
              </w:rPr>
            </w:pPr>
          </w:p>
        </w:tc>
        <w:tc>
          <w:tcPr>
            <w:tcW w:w="9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$ 119,053</w:t>
            </w:r>
          </w:p>
        </w:tc>
        <w:tc>
          <w:tcPr>
            <w:tcW w:w="100" w:type="dxa"/>
            <w:vAlign w:val="bottom"/>
          </w:tcPr>
          <w:p>
            <w:pPr>
              <w:spacing w:after="0"/>
              <w:rPr>
                <w:sz w:val="23"/>
                <w:szCs w:val="2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r>
    </w:tbl>
    <w:p>
      <w:pPr>
        <w:sectPr>
          <w:pgSz w:w="11900" w:h="16838" w:orient="portrait"/>
          <w:cols w:equalWidth="0" w:num="1">
            <w:col w:w="11120"/>
          </w:cols>
          <w:pgMar w:left="340" w:top="114" w:right="4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Cannabis business</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67,486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65,652</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131,535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126,901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business</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79,961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67,611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149,667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135,682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Wellness business</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14,734</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14,606</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30,015</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29,358</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58"/>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Total net revenue</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$ 212,264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$ 210,950</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$ 417,039</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$ 410,994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0"/>
        </w:trPr>
        <w:tc>
          <w:tcPr>
            <w:tcW w:w="2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Net Cannabis Revenue by Market Channel</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2720" w:type="dxa"/>
            <w:vAlign w:val="bottom"/>
          </w:tcPr>
          <w:p>
            <w:pPr>
              <w:spacing w:after="0"/>
              <w:rPr>
                <w:sz w:val="24"/>
                <w:szCs w:val="24"/>
                <w:color w:val="auto"/>
              </w:rPr>
            </w:pPr>
          </w:p>
        </w:tc>
        <w:tc>
          <w:tcPr>
            <w:tcW w:w="2120" w:type="dxa"/>
            <w:vAlign w:val="bottom"/>
            <w:gridSpan w:val="6"/>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40" w:type="dxa"/>
            <w:vAlign w:val="bottom"/>
            <w:gridSpan w:val="5"/>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2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For the six months</w:t>
            </w:r>
          </w:p>
        </w:tc>
      </w:tr>
      <w:tr>
        <w:trPr>
          <w:trHeight w:val="264"/>
        </w:trPr>
        <w:tc>
          <w:tcPr>
            <w:tcW w:w="2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gridSpan w:val="5"/>
          </w:tcPr>
          <w:p>
            <w:pPr>
              <w:jc w:val="center"/>
              <w:ind w:right="26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160" w:type="dxa"/>
            <w:vAlign w:val="bottom"/>
          </w:tcPr>
          <w:p>
            <w:pPr>
              <w:spacing w:after="0"/>
              <w:rPr>
                <w:sz w:val="22"/>
                <w:szCs w:val="22"/>
                <w:color w:val="auto"/>
              </w:rPr>
            </w:pPr>
          </w:p>
        </w:tc>
        <w:tc>
          <w:tcPr>
            <w:tcW w:w="1980" w:type="dxa"/>
            <w:vAlign w:val="bottom"/>
            <w:gridSpan w:val="4"/>
          </w:tcPr>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ended</w:t>
            </w:r>
          </w:p>
        </w:tc>
      </w:tr>
      <w:tr>
        <w:trPr>
          <w:trHeight w:val="238"/>
        </w:trPr>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4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b w:val="1"/>
                <w:bCs w:val="1"/>
                <w:color w:val="auto"/>
              </w:rPr>
              <w:t>(In thousands of U.S.</w:t>
            </w:r>
          </w:p>
        </w:tc>
        <w:tc>
          <w:tcPr>
            <w:tcW w:w="1160" w:type="dxa"/>
            <w:vAlign w:val="bottom"/>
            <w:gridSpan w:val="4"/>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gridSpan w:val="2"/>
          </w:tcPr>
          <w:p>
            <w:pPr>
              <w:jc w:val="center"/>
              <w:ind w:right="18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8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r>
      <w:tr>
        <w:trPr>
          <w:trHeight w:val="280"/>
        </w:trPr>
        <w:tc>
          <w:tcPr>
            <w:tcW w:w="27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dollars)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0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Revenue</w:t>
            </w:r>
          </w:p>
        </w:tc>
      </w:tr>
      <w:tr>
        <w:trPr>
          <w:trHeight w:val="206"/>
        </w:trPr>
        <w:tc>
          <w:tcPr>
            <w:tcW w:w="272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rPr>
              <w:t>Revenue from Canadian</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medical cannabis</w:t>
            </w:r>
          </w:p>
        </w:tc>
        <w:tc>
          <w:tcPr>
            <w:tcW w:w="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6,234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6,673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  12,380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  12,934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Revenue from Canadian adult-</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use cannabis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62,448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59,077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126,515</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116,312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Revenue from wholesale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1,346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6,593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5,501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12,100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Revenue from international</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20,180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14,865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33,547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27,056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Less excise taxes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(22,676)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(21,556)</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(45,900)</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(41,501)</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58"/>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67,532</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65,652</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$ 132,043</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$ 126,901</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0"/>
        </w:trPr>
        <w:tc>
          <w:tcPr>
            <w:tcW w:w="27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19"/>
        </w:trPr>
        <w:tc>
          <w:tcPr>
            <w:tcW w:w="5920" w:type="dxa"/>
            <w:vAlign w:val="bottom"/>
            <w:gridSpan w:val="10"/>
          </w:tcPr>
          <w:p>
            <w:pPr>
              <w:spacing w:after="0"/>
              <w:rPr>
                <w:sz w:val="20"/>
                <w:szCs w:val="20"/>
                <w:color w:val="auto"/>
              </w:rPr>
            </w:pPr>
            <w:r>
              <w:rPr>
                <w:rFonts w:ascii="Times New Roman" w:cs="Times New Roman" w:eastAsia="Times New Roman" w:hAnsi="Times New Roman"/>
                <w:sz w:val="21"/>
                <w:szCs w:val="21"/>
                <w:b w:val="1"/>
                <w:bCs w:val="1"/>
                <w:color w:val="auto"/>
              </w:rPr>
              <w:t>Net Cannabis Revenue by Market Channel in Constant Currency</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6"/>
        </w:trPr>
        <w:tc>
          <w:tcPr>
            <w:tcW w:w="2720" w:type="dxa"/>
            <w:vAlign w:val="bottom"/>
          </w:tcPr>
          <w:p>
            <w:pPr>
              <w:spacing w:after="0"/>
              <w:rPr>
                <w:sz w:val="24"/>
                <w:szCs w:val="24"/>
                <w:color w:val="auto"/>
              </w:rPr>
            </w:pPr>
          </w:p>
        </w:tc>
        <w:tc>
          <w:tcPr>
            <w:tcW w:w="2120" w:type="dxa"/>
            <w:vAlign w:val="bottom"/>
            <w:gridSpan w:val="6"/>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40" w:type="dxa"/>
            <w:vAlign w:val="bottom"/>
            <w:gridSpan w:val="5"/>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212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For the six months</w:t>
            </w:r>
          </w:p>
        </w:tc>
      </w:tr>
      <w:tr>
        <w:trPr>
          <w:trHeight w:val="264"/>
        </w:trPr>
        <w:tc>
          <w:tcPr>
            <w:tcW w:w="2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gridSpan w:val="5"/>
          </w:tcPr>
          <w:p>
            <w:pPr>
              <w:jc w:val="center"/>
              <w:ind w:right="26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160" w:type="dxa"/>
            <w:vAlign w:val="bottom"/>
          </w:tcPr>
          <w:p>
            <w:pPr>
              <w:spacing w:after="0"/>
              <w:rPr>
                <w:sz w:val="22"/>
                <w:szCs w:val="22"/>
                <w:color w:val="auto"/>
              </w:rPr>
            </w:pPr>
          </w:p>
        </w:tc>
        <w:tc>
          <w:tcPr>
            <w:tcW w:w="1980" w:type="dxa"/>
            <w:vAlign w:val="bottom"/>
            <w:gridSpan w:val="4"/>
          </w:tcPr>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12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21"/>
                <w:szCs w:val="21"/>
                <w:b w:val="1"/>
                <w:bCs w:val="1"/>
                <w:color w:val="auto"/>
              </w:rPr>
              <w:t>ended</w:t>
            </w:r>
          </w:p>
        </w:tc>
      </w:tr>
      <w:tr>
        <w:trPr>
          <w:trHeight w:val="238"/>
        </w:trPr>
        <w:tc>
          <w:tcPr>
            <w:tcW w:w="2720" w:type="dxa"/>
            <w:vAlign w:val="bottom"/>
          </w:tcPr>
          <w:p>
            <w:pPr>
              <w:spacing w:after="0"/>
              <w:rPr>
                <w:sz w:val="20"/>
                <w:szCs w:val="20"/>
                <w:color w:val="auto"/>
              </w:rPr>
            </w:pPr>
          </w:p>
        </w:tc>
        <w:tc>
          <w:tcPr>
            <w:tcW w:w="1160" w:type="dxa"/>
            <w:vAlign w:val="bottom"/>
            <w:gridSpan w:val="4"/>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30, 2024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8"/>
        </w:trPr>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60"/>
              <w:spacing w:after="0" w:line="238" w:lineRule="exact"/>
              <w:rPr>
                <w:sz w:val="20"/>
                <w:szCs w:val="20"/>
                <w:color w:val="auto"/>
              </w:rPr>
            </w:pPr>
            <w:r>
              <w:rPr>
                <w:rFonts w:ascii="Times New Roman" w:cs="Times New Roman" w:eastAsia="Times New Roman" w:hAnsi="Times New Roman"/>
                <w:sz w:val="21"/>
                <w:szCs w:val="21"/>
                <w:b w:val="1"/>
                <w:bCs w:val="1"/>
                <w:color w:val="auto"/>
              </w:rPr>
              <w:t>as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260"/>
              <w:spacing w:after="0" w:line="238"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as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as</w:t>
            </w:r>
          </w:p>
        </w:tc>
        <w:tc>
          <w:tcPr>
            <w:tcW w:w="960" w:type="dxa"/>
            <w:vAlign w:val="bottom"/>
          </w:tcPr>
          <w:p>
            <w:pPr>
              <w:spacing w:after="0"/>
              <w:rPr>
                <w:sz w:val="20"/>
                <w:szCs w:val="20"/>
                <w:color w:val="auto"/>
              </w:rPr>
            </w:pPr>
          </w:p>
        </w:tc>
      </w:tr>
      <w:tr>
        <w:trPr>
          <w:trHeight w:val="238"/>
        </w:trPr>
        <w:tc>
          <w:tcPr>
            <w:tcW w:w="2720" w:type="dxa"/>
            <w:vAlign w:val="bottom"/>
          </w:tcPr>
          <w:p>
            <w:pPr>
              <w:spacing w:after="0"/>
              <w:rPr>
                <w:sz w:val="20"/>
                <w:szCs w:val="20"/>
                <w:color w:val="auto"/>
              </w:rPr>
            </w:pPr>
          </w:p>
        </w:tc>
        <w:tc>
          <w:tcPr>
            <w:tcW w:w="1160" w:type="dxa"/>
            <w:vAlign w:val="bottom"/>
            <w:gridSpan w:val="4"/>
          </w:tcPr>
          <w:p>
            <w:pPr>
              <w:jc w:val="center"/>
              <w:ind w:right="200"/>
              <w:spacing w:after="0" w:line="238" w:lineRule="exact"/>
              <w:rPr>
                <w:sz w:val="20"/>
                <w:szCs w:val="20"/>
                <w:color w:val="auto"/>
              </w:rPr>
            </w:pPr>
            <w:r>
              <w:rPr>
                <w:rFonts w:ascii="Times New Roman" w:cs="Times New Roman" w:eastAsia="Times New Roman" w:hAnsi="Times New Roman"/>
                <w:sz w:val="21"/>
                <w:szCs w:val="21"/>
                <w:b w:val="1"/>
                <w:bCs w:val="1"/>
                <w:color w:val="auto"/>
              </w:rPr>
              <w:t>reported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9"/>
              </w:rPr>
              <w:t>reported</w:t>
            </w:r>
          </w:p>
        </w:tc>
        <w:tc>
          <w:tcPr>
            <w:tcW w:w="960" w:type="dxa"/>
            <w:vAlign w:val="bottom"/>
          </w:tcPr>
          <w:p>
            <w:pPr>
              <w:spacing w:after="0"/>
              <w:rPr>
                <w:sz w:val="20"/>
                <w:szCs w:val="20"/>
                <w:color w:val="auto"/>
              </w:rPr>
            </w:pPr>
          </w:p>
        </w:tc>
      </w:tr>
      <w:tr>
        <w:trPr>
          <w:trHeight w:val="238"/>
        </w:trPr>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360"/>
              <w:spacing w:after="0" w:line="238" w:lineRule="exact"/>
              <w:rPr>
                <w:sz w:val="20"/>
                <w:szCs w:val="20"/>
                <w:color w:val="auto"/>
              </w:rPr>
            </w:pPr>
            <w:r>
              <w:rPr>
                <w:rFonts w:ascii="Times New Roman" w:cs="Times New Roman" w:eastAsia="Times New Roman" w:hAnsi="Times New Roman"/>
                <w:sz w:val="21"/>
                <w:szCs w:val="21"/>
                <w:b w:val="1"/>
                <w:bCs w:val="1"/>
                <w:color w:val="auto"/>
                <w:w w:val="91"/>
              </w:rPr>
              <w:t>in</w:t>
            </w:r>
          </w:p>
        </w:tc>
        <w:tc>
          <w:tcPr>
            <w:tcW w:w="960" w:type="dxa"/>
            <w:vAlign w:val="bottom"/>
            <w:gridSpan w:val="2"/>
          </w:tcPr>
          <w:p>
            <w:pPr>
              <w:jc w:val="center"/>
              <w:ind w:right="2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160" w:type="dxa"/>
            <w:vAlign w:val="bottom"/>
          </w:tcPr>
          <w:p>
            <w:pPr>
              <w:spacing w:after="0"/>
              <w:rPr>
                <w:sz w:val="20"/>
                <w:szCs w:val="20"/>
                <w:color w:val="auto"/>
              </w:rPr>
            </w:pPr>
          </w:p>
        </w:tc>
        <w:tc>
          <w:tcPr>
            <w:tcW w:w="920" w:type="dxa"/>
            <w:vAlign w:val="bottom"/>
            <w:gridSpan w:val="2"/>
          </w:tcPr>
          <w:p>
            <w:pPr>
              <w:jc w:val="center"/>
              <w:ind w:right="260"/>
              <w:spacing w:after="0" w:line="238" w:lineRule="exact"/>
              <w:rPr>
                <w:sz w:val="20"/>
                <w:szCs w:val="20"/>
                <w:color w:val="auto"/>
              </w:rPr>
            </w:pPr>
            <w:r>
              <w:rPr>
                <w:rFonts w:ascii="Times New Roman" w:cs="Times New Roman" w:eastAsia="Times New Roman" w:hAnsi="Times New Roman"/>
                <w:sz w:val="21"/>
                <w:szCs w:val="21"/>
                <w:b w:val="1"/>
                <w:bCs w:val="1"/>
                <w:color w:val="auto"/>
              </w:rPr>
              <w:t>in</w:t>
            </w:r>
          </w:p>
        </w:tc>
        <w:tc>
          <w:tcPr>
            <w:tcW w:w="1060" w:type="dxa"/>
            <w:vAlign w:val="bottom"/>
            <w:gridSpan w:val="2"/>
          </w:tcPr>
          <w:p>
            <w:pPr>
              <w:jc w:val="center"/>
              <w:ind w:right="14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in</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w w:val="91"/>
              </w:rPr>
              <w:t>in</w:t>
            </w: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rPr>
              <w:t>% of</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b w:val="1"/>
                <w:bCs w:val="1"/>
                <w:color w:val="auto"/>
              </w:rPr>
              <w:t>(In thousands of U.S.</w:t>
            </w:r>
          </w:p>
        </w:tc>
        <w:tc>
          <w:tcPr>
            <w:tcW w:w="1160" w:type="dxa"/>
            <w:vAlign w:val="bottom"/>
            <w:gridSpan w:val="4"/>
          </w:tcPr>
          <w:p>
            <w:pPr>
              <w:jc w:val="center"/>
              <w:ind w:right="20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960" w:type="dxa"/>
            <w:vAlign w:val="bottom"/>
            <w:gridSpan w:val="2"/>
          </w:tcPr>
          <w:p>
            <w:pPr>
              <w:jc w:val="center"/>
              <w:ind w:right="18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80" w:type="dxa"/>
            <w:vAlign w:val="bottom"/>
            <w:gridSpan w:val="3"/>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106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constant</w:t>
            </w:r>
          </w:p>
        </w:tc>
        <w:tc>
          <w:tcPr>
            <w:tcW w:w="960" w:type="dxa"/>
            <w:vAlign w:val="bottom"/>
          </w:tcPr>
          <w:p>
            <w:pPr>
              <w:jc w:val="center"/>
              <w:spacing w:after="0" w:line="238" w:lineRule="exact"/>
              <w:rPr>
                <w:sz w:val="20"/>
                <w:szCs w:val="20"/>
                <w:color w:val="auto"/>
              </w:rPr>
            </w:pPr>
            <w:r>
              <w:rPr>
                <w:rFonts w:ascii="Times New Roman" w:cs="Times New Roman" w:eastAsia="Times New Roman" w:hAnsi="Times New Roman"/>
                <w:sz w:val="21"/>
                <w:szCs w:val="21"/>
                <w:b w:val="1"/>
                <w:bCs w:val="1"/>
                <w:color w:val="auto"/>
                <w:w w:val="96"/>
              </w:rPr>
              <w:t>Total</w:t>
            </w:r>
          </w:p>
        </w:tc>
      </w:tr>
      <w:tr>
        <w:trPr>
          <w:trHeight w:val="280"/>
        </w:trPr>
        <w:tc>
          <w:tcPr>
            <w:tcW w:w="272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dollars)</w:t>
            </w: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currency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Revenue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w w:val="99"/>
              </w:rPr>
              <w:t>currency</w:t>
            </w:r>
          </w:p>
        </w:tc>
        <w:tc>
          <w:tcPr>
            <w:tcW w:w="9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Revenue</w:t>
            </w:r>
          </w:p>
        </w:tc>
      </w:tr>
      <w:tr>
        <w:trPr>
          <w:trHeight w:val="206"/>
        </w:trPr>
        <w:tc>
          <w:tcPr>
            <w:tcW w:w="272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rPr>
              <w:t>Revenue from Canadian</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medical cannabis</w:t>
            </w:r>
          </w:p>
        </w:tc>
        <w:tc>
          <w:tcPr>
            <w:tcW w:w="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6,380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6,673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  12,554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  12,934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Revenue from Canadian adult-</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use cannabis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63,877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59,077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128,236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116,312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Revenue from wholesale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1,373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6,593</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5,546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12,100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38"/>
        </w:trPr>
        <w:tc>
          <w:tcPr>
            <w:tcW w:w="27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Revenue from international</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4"/>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cannabis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19,053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14,865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c>
          <w:tcPr>
            <w:tcW w:w="12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31,727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1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27,056</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77"/>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Less excise taxes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(23,197)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(21,556)</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(46,528)</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(41,501)</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58"/>
        </w:trPr>
        <w:tc>
          <w:tcPr>
            <w:tcW w:w="2720" w:type="dxa"/>
            <w:vAlign w:val="bottom"/>
          </w:tcPr>
          <w:p>
            <w:pPr>
              <w:spacing w:after="0"/>
              <w:rPr>
                <w:sz w:val="20"/>
                <w:szCs w:val="20"/>
                <w:color w:val="auto"/>
              </w:rPr>
            </w:pPr>
            <w:r>
              <w:rPr>
                <w:rFonts w:ascii="Times New Roman" w:cs="Times New Roman" w:eastAsia="Times New Roman" w:hAnsi="Times New Roman"/>
                <w:sz w:val="21"/>
                <w:szCs w:val="21"/>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67,486</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65,652</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$ 131,535</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w w:val="97"/>
              </w:rPr>
              <w:t>$ 126,901</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0"/>
        </w:trPr>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8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Key Operating Metrics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12"/>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21"/>
                <w:szCs w:val="21"/>
                <w:b w:val="1"/>
                <w:bCs w:val="1"/>
                <w:color w:val="auto"/>
              </w:rPr>
              <w:t>For the three months ended</w:t>
            </w:r>
          </w:p>
        </w:tc>
        <w:tc>
          <w:tcPr>
            <w:tcW w:w="120" w:type="dxa"/>
            <w:vAlign w:val="bottom"/>
          </w:tcPr>
          <w:p>
            <w:pPr>
              <w:spacing w:after="0"/>
              <w:rPr>
                <w:sz w:val="24"/>
                <w:szCs w:val="24"/>
                <w:color w:val="auto"/>
              </w:rPr>
            </w:pPr>
          </w:p>
        </w:tc>
        <w:tc>
          <w:tcPr>
            <w:tcW w:w="3020" w:type="dxa"/>
            <w:vAlign w:val="bottom"/>
            <w:gridSpan w:val="4"/>
          </w:tcPr>
          <w:p>
            <w:pPr>
              <w:jc w:val="right"/>
              <w:ind w:right="334"/>
              <w:spacing w:after="0"/>
              <w:rPr>
                <w:sz w:val="20"/>
                <w:szCs w:val="20"/>
                <w:color w:val="auto"/>
              </w:rPr>
            </w:pPr>
            <w:r>
              <w:rPr>
                <w:rFonts w:ascii="Times New Roman" w:cs="Times New Roman" w:eastAsia="Times New Roman" w:hAnsi="Times New Roman"/>
                <w:sz w:val="21"/>
                <w:szCs w:val="21"/>
                <w:b w:val="1"/>
                <w:bCs w:val="1"/>
                <w:color w:val="auto"/>
              </w:rPr>
              <w:t>For the six months ended</w:t>
            </w:r>
          </w:p>
        </w:tc>
      </w:tr>
      <w:tr>
        <w:trPr>
          <w:trHeight w:val="264"/>
        </w:trPr>
        <w:tc>
          <w:tcPr>
            <w:tcW w:w="4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November 30,</w:t>
            </w:r>
          </w:p>
        </w:tc>
        <w:tc>
          <w:tcPr>
            <w:tcW w:w="120" w:type="dxa"/>
            <w:vAlign w:val="bottom"/>
          </w:tcPr>
          <w:p>
            <w:pPr>
              <w:spacing w:after="0"/>
              <w:rPr>
                <w:sz w:val="22"/>
                <w:szCs w:val="22"/>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November 30,</w:t>
            </w: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November 30,</w:t>
            </w:r>
          </w:p>
        </w:tc>
        <w:tc>
          <w:tcPr>
            <w:tcW w:w="120" w:type="dxa"/>
            <w:vAlign w:val="bottom"/>
          </w:tcPr>
          <w:p>
            <w:pPr>
              <w:spacing w:after="0"/>
              <w:rPr>
                <w:sz w:val="22"/>
                <w:szCs w:val="22"/>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21"/>
                <w:szCs w:val="21"/>
                <w:b w:val="1"/>
                <w:bCs w:val="1"/>
                <w:color w:val="auto"/>
              </w:rPr>
              <w:t>November 30,</w:t>
            </w:r>
          </w:p>
        </w:tc>
      </w:tr>
      <w:tr>
        <w:trPr>
          <w:trHeight w:val="280"/>
        </w:trPr>
        <w:tc>
          <w:tcPr>
            <w:tcW w:w="48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21"/>
                <w:szCs w:val="21"/>
                <w:b w:val="1"/>
                <w:bCs w:val="1"/>
                <w:color w:val="auto"/>
              </w:rPr>
              <w:t>2025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21"/>
                <w:szCs w:val="21"/>
                <w:b w:val="1"/>
                <w:bCs w:val="1"/>
                <w:color w:val="auto"/>
              </w:rPr>
              <w:t>2024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21"/>
                <w:szCs w:val="21"/>
                <w:b w:val="1"/>
                <w:bCs w:val="1"/>
                <w:color w:val="auto"/>
              </w:rPr>
              <w:t>2025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21"/>
                <w:szCs w:val="21"/>
                <w:b w:val="1"/>
                <w:bCs w:val="1"/>
                <w:color w:val="auto"/>
              </w:rPr>
              <w:t>2024</w:t>
            </w:r>
          </w:p>
        </w:tc>
      </w:tr>
      <w:tr>
        <w:trPr>
          <w:trHeight w:val="245"/>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Net beverage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50,083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63,081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105,822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119,053</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Net cannabis revenue</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67,532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65,652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132,043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126,901</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revenue</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85,316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67,611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159,323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135,682</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Wellness revenue</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14,576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14,606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29,820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29,358</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Beverage costs</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34,351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37,925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68,764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70,975</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Cannabis costs</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41,398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42,475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82,639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79,529</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costs</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74,334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59,207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140,342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119,345</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Wellness costs</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9,927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10,123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20,297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20,219</w:t>
            </w:r>
          </w:p>
        </w:tc>
      </w:tr>
      <w:tr>
        <w:trPr>
          <w:trHeight w:val="264"/>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profit (excluding PPA step-up)</w:t>
            </w: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57,497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62,596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114,966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122,477</w:t>
            </w:r>
          </w:p>
        </w:tc>
      </w:tr>
      <w:tr>
        <w:trPr>
          <w:trHeight w:val="276"/>
        </w:trPr>
        <w:tc>
          <w:tcPr>
            <w:tcW w:w="4840" w:type="dxa"/>
            <w:vAlign w:val="bottom"/>
          </w:tcPr>
          <w:p>
            <w:pPr>
              <w:spacing w:after="0"/>
              <w:rPr>
                <w:sz w:val="20"/>
                <w:szCs w:val="20"/>
                <w:color w:val="auto"/>
              </w:rPr>
            </w:pPr>
            <w:r>
              <w:rPr>
                <w:rFonts w:ascii="Times New Roman" w:cs="Times New Roman" w:eastAsia="Times New Roman" w:hAnsi="Times New Roman"/>
                <w:sz w:val="21"/>
                <w:szCs w:val="21"/>
                <w:color w:val="auto"/>
              </w:rPr>
              <w:t>Beverage adjusted gross margin (excluding PPA step-</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bl>
    <w:p>
      <w:pPr>
        <w:sectPr>
          <w:pgSz w:w="11900" w:h="16838" w:orient="portrait"/>
          <w:cols w:equalWidth="0" w:num="1">
            <w:col w:w="11220"/>
          </w:cols>
          <w:pgMar w:left="340" w:top="114" w:right="339" w:bottom="0" w:gutter="0" w:footer="0" w:header="0"/>
        </w:sectPr>
      </w:pPr>
    </w:p>
    <w:bookmarkStart w:id="11" w:name="page12"/>
    <w:bookmarkEnd w:id="11"/>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720" w:type="dxa"/>
            <w:vAlign w:val="bottom"/>
          </w:tcPr>
          <w:p>
            <w:pPr>
              <w:spacing w:after="0"/>
              <w:rPr>
                <w:sz w:val="20"/>
                <w:szCs w:val="20"/>
                <w:color w:val="auto"/>
              </w:rPr>
            </w:pPr>
            <w:r>
              <w:rPr>
                <w:rFonts w:ascii="Times New Roman" w:cs="Times New Roman" w:eastAsia="Times New Roman" w:hAnsi="Times New Roman"/>
                <w:sz w:val="21"/>
                <w:szCs w:val="21"/>
                <w:color w:val="auto"/>
              </w:rPr>
              <w:t>up)</w:t>
            </w: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Cannabis adjusted gross margin (excluding PPA step-</w:t>
            </w:r>
          </w:p>
        </w:tc>
        <w:tc>
          <w:tcPr>
            <w:tcW w:w="4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44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44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44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0" w:type="dxa"/>
            <w:vAlign w:val="bottom"/>
          </w:tcPr>
          <w:p>
            <w:pPr>
              <w:spacing w:after="0"/>
              <w:rPr>
                <w:sz w:val="1"/>
                <w:szCs w:val="1"/>
                <w:color w:val="auto"/>
              </w:rPr>
            </w:pPr>
          </w:p>
        </w:tc>
      </w:tr>
      <w:tr>
        <w:trPr>
          <w:trHeight w:val="157"/>
        </w:trPr>
        <w:tc>
          <w:tcPr>
            <w:tcW w:w="472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up)</w:t>
            </w:r>
          </w:p>
        </w:tc>
        <w:tc>
          <w:tcPr>
            <w:tcW w:w="4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0"/>
                <w:szCs w:val="20"/>
                <w:color w:val="auto"/>
              </w:rPr>
            </w:pPr>
            <w:r>
              <w:rPr>
                <w:rFonts w:ascii="Times New Roman" w:cs="Times New Roman" w:eastAsia="Times New Roman" w:hAnsi="Times New Roman"/>
                <w:sz w:val="21"/>
                <w:szCs w:val="21"/>
                <w:color w:val="auto"/>
              </w:rPr>
              <w:t>Distribution gross margin</w:t>
            </w:r>
          </w:p>
        </w:tc>
        <w:tc>
          <w:tcPr>
            <w:tcW w:w="4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0"/>
                <w:szCs w:val="20"/>
                <w:color w:val="auto"/>
              </w:rPr>
            </w:pPr>
            <w:r>
              <w:rPr>
                <w:rFonts w:ascii="Times New Roman" w:cs="Times New Roman" w:eastAsia="Times New Roman" w:hAnsi="Times New Roman"/>
                <w:sz w:val="21"/>
                <w:szCs w:val="21"/>
                <w:color w:val="auto"/>
              </w:rPr>
              <w:t>Wellness gross margin</w:t>
            </w:r>
          </w:p>
        </w:tc>
        <w:tc>
          <w:tcPr>
            <w:tcW w:w="4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4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0"/>
                <w:szCs w:val="20"/>
                <w:color w:val="auto"/>
              </w:rPr>
            </w:pPr>
            <w:r>
              <w:rPr>
                <w:rFonts w:ascii="Times New Roman" w:cs="Times New Roman" w:eastAsia="Times New Roman" w:hAnsi="Times New Roman"/>
                <w:sz w:val="21"/>
                <w:szCs w:val="21"/>
                <w:color w:val="auto"/>
              </w:rPr>
              <w:t>Adjusted EBITDA</w:t>
            </w: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8,365</w:t>
            </w:r>
          </w:p>
        </w:tc>
        <w:tc>
          <w:tcPr>
            <w:tcW w:w="440" w:type="dxa"/>
            <w:vAlign w:val="bottom"/>
          </w:tcPr>
          <w:p>
            <w:pPr>
              <w:jc w:val="right"/>
              <w:ind w:right="154"/>
              <w:spacing w:after="0"/>
              <w:rPr>
                <w:sz w:val="20"/>
                <w:szCs w:val="20"/>
                <w:color w:val="auto"/>
              </w:rPr>
            </w:pPr>
            <w:r>
              <w:rPr>
                <w:rFonts w:ascii="Times New Roman" w:cs="Times New Roman" w:eastAsia="Times New Roman" w:hAnsi="Times New Roman"/>
                <w:sz w:val="21"/>
                <w:szCs w:val="21"/>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9,017</w:t>
            </w:r>
          </w:p>
        </w:tc>
        <w:tc>
          <w:tcPr>
            <w:tcW w:w="440" w:type="dxa"/>
            <w:vAlign w:val="bottom"/>
          </w:tcPr>
          <w:p>
            <w:pPr>
              <w:jc w:val="right"/>
              <w:ind w:right="154"/>
              <w:spacing w:after="0"/>
              <w:rPr>
                <w:sz w:val="20"/>
                <w:szCs w:val="20"/>
                <w:color w:val="auto"/>
              </w:rPr>
            </w:pPr>
            <w:r>
              <w:rPr>
                <w:rFonts w:ascii="Times New Roman" w:cs="Times New Roman" w:eastAsia="Times New Roman" w:hAnsi="Times New Roman"/>
                <w:sz w:val="21"/>
                <w:szCs w:val="21"/>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18,546</w:t>
            </w:r>
          </w:p>
        </w:tc>
        <w:tc>
          <w:tcPr>
            <w:tcW w:w="440" w:type="dxa"/>
            <w:vAlign w:val="bottom"/>
          </w:tcPr>
          <w:p>
            <w:pPr>
              <w:jc w:val="right"/>
              <w:ind w:right="154"/>
              <w:spacing w:after="0"/>
              <w:rPr>
                <w:sz w:val="20"/>
                <w:szCs w:val="20"/>
                <w:color w:val="auto"/>
              </w:rPr>
            </w:pPr>
            <w:r>
              <w:rPr>
                <w:rFonts w:ascii="Times New Roman" w:cs="Times New Roman" w:eastAsia="Times New Roman" w:hAnsi="Times New Roman"/>
                <w:sz w:val="21"/>
                <w:szCs w:val="21"/>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18,351</w:t>
            </w:r>
          </w:p>
        </w:tc>
        <w:tc>
          <w:tcPr>
            <w:tcW w:w="0" w:type="dxa"/>
            <w:vAlign w:val="bottom"/>
          </w:tcPr>
          <w:p>
            <w:pPr>
              <w:spacing w:after="0"/>
              <w:rPr>
                <w:sz w:val="1"/>
                <w:szCs w:val="1"/>
                <w:color w:val="auto"/>
              </w:rPr>
            </w:pPr>
          </w:p>
        </w:tc>
      </w:tr>
      <w:tr>
        <w:trPr>
          <w:trHeight w:val="264"/>
        </w:trPr>
        <w:tc>
          <w:tcPr>
            <w:tcW w:w="4720" w:type="dxa"/>
            <w:vAlign w:val="bottom"/>
          </w:tcPr>
          <w:p>
            <w:pPr>
              <w:spacing w:after="0"/>
              <w:rPr>
                <w:sz w:val="20"/>
                <w:szCs w:val="20"/>
                <w:color w:val="auto"/>
              </w:rPr>
            </w:pPr>
            <w:r>
              <w:rPr>
                <w:rFonts w:ascii="Times New Roman" w:cs="Times New Roman" w:eastAsia="Times New Roman" w:hAnsi="Times New Roman"/>
                <w:sz w:val="21"/>
                <w:szCs w:val="21"/>
                <w:color w:val="auto"/>
              </w:rPr>
              <w:t>Cash and marketable securities as at the period ended:</w:t>
            </w:r>
          </w:p>
        </w:tc>
        <w:tc>
          <w:tcPr>
            <w:tcW w:w="480" w:type="dxa"/>
            <w:vAlign w:val="bottom"/>
          </w:tcPr>
          <w:p>
            <w:pPr>
              <w:spacing w:after="0"/>
              <w:rPr>
                <w:sz w:val="22"/>
                <w:szCs w:val="22"/>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291,551</w:t>
            </w:r>
          </w:p>
        </w:tc>
        <w:tc>
          <w:tcPr>
            <w:tcW w:w="440" w:type="dxa"/>
            <w:vAlign w:val="bottom"/>
          </w:tcPr>
          <w:p>
            <w:pPr>
              <w:spacing w:after="0"/>
              <w:rPr>
                <w:sz w:val="22"/>
                <w:szCs w:val="22"/>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252,249</w:t>
            </w:r>
          </w:p>
        </w:tc>
        <w:tc>
          <w:tcPr>
            <w:tcW w:w="440" w:type="dxa"/>
            <w:vAlign w:val="bottom"/>
          </w:tcPr>
          <w:p>
            <w:pPr>
              <w:spacing w:after="0"/>
              <w:rPr>
                <w:sz w:val="22"/>
                <w:szCs w:val="22"/>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291,551</w:t>
            </w:r>
          </w:p>
        </w:tc>
        <w:tc>
          <w:tcPr>
            <w:tcW w:w="440" w:type="dxa"/>
            <w:vAlign w:val="bottom"/>
          </w:tcPr>
          <w:p>
            <w:pPr>
              <w:spacing w:after="0"/>
              <w:rPr>
                <w:sz w:val="22"/>
                <w:szCs w:val="22"/>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252,249</w:t>
            </w:r>
          </w:p>
        </w:tc>
        <w:tc>
          <w:tcPr>
            <w:tcW w:w="0" w:type="dxa"/>
            <w:vAlign w:val="bottom"/>
          </w:tcPr>
          <w:p>
            <w:pPr>
              <w:spacing w:after="0"/>
              <w:rPr>
                <w:sz w:val="1"/>
                <w:szCs w:val="1"/>
                <w:color w:val="auto"/>
              </w:rPr>
            </w:pPr>
          </w:p>
        </w:tc>
      </w:tr>
      <w:tr>
        <w:trPr>
          <w:trHeight w:val="276"/>
        </w:trPr>
        <w:tc>
          <w:tcPr>
            <w:tcW w:w="4720" w:type="dxa"/>
            <w:vAlign w:val="bottom"/>
          </w:tcPr>
          <w:p>
            <w:pPr>
              <w:spacing w:after="0"/>
              <w:rPr>
                <w:sz w:val="20"/>
                <w:szCs w:val="20"/>
                <w:color w:val="auto"/>
              </w:rPr>
            </w:pPr>
            <w:r>
              <w:rPr>
                <w:rFonts w:ascii="Times New Roman" w:cs="Times New Roman" w:eastAsia="Times New Roman" w:hAnsi="Times New Roman"/>
                <w:sz w:val="21"/>
                <w:szCs w:val="21"/>
                <w:color w:val="auto"/>
              </w:rPr>
              <w:t>Working capital as at the period ended:</w:t>
            </w:r>
          </w:p>
        </w:tc>
        <w:tc>
          <w:tcPr>
            <w:tcW w:w="4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470,002</w:t>
            </w:r>
          </w:p>
        </w:tc>
        <w:tc>
          <w:tcPr>
            <w:tcW w:w="440" w:type="dxa"/>
            <w:vAlign w:val="bottom"/>
          </w:tcPr>
          <w:p>
            <w:pPr>
              <w:jc w:val="right"/>
              <w:ind w:right="154"/>
              <w:spacing w:after="0"/>
              <w:rPr>
                <w:sz w:val="20"/>
                <w:szCs w:val="20"/>
                <w:color w:val="auto"/>
              </w:rPr>
            </w:pPr>
            <w:r>
              <w:rPr>
                <w:rFonts w:ascii="Times New Roman" w:cs="Times New Roman" w:eastAsia="Times New Roman" w:hAnsi="Times New Roman"/>
                <w:sz w:val="21"/>
                <w:szCs w:val="21"/>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428,815</w:t>
            </w:r>
          </w:p>
        </w:tc>
        <w:tc>
          <w:tcPr>
            <w:tcW w:w="440" w:type="dxa"/>
            <w:vAlign w:val="bottom"/>
          </w:tcPr>
          <w:p>
            <w:pPr>
              <w:jc w:val="right"/>
              <w:ind w:right="154"/>
              <w:spacing w:after="0"/>
              <w:rPr>
                <w:sz w:val="20"/>
                <w:szCs w:val="20"/>
                <w:color w:val="auto"/>
              </w:rPr>
            </w:pPr>
            <w:r>
              <w:rPr>
                <w:rFonts w:ascii="Times New Roman" w:cs="Times New Roman" w:eastAsia="Times New Roman" w:hAnsi="Times New Roman"/>
                <w:sz w:val="21"/>
                <w:szCs w:val="21"/>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470,002</w:t>
            </w:r>
          </w:p>
        </w:tc>
        <w:tc>
          <w:tcPr>
            <w:tcW w:w="440" w:type="dxa"/>
            <w:vAlign w:val="bottom"/>
          </w:tcPr>
          <w:p>
            <w:pPr>
              <w:jc w:val="right"/>
              <w:ind w:right="154"/>
              <w:spacing w:after="0"/>
              <w:rPr>
                <w:sz w:val="20"/>
                <w:szCs w:val="20"/>
                <w:color w:val="auto"/>
              </w:rPr>
            </w:pPr>
            <w:r>
              <w:rPr>
                <w:rFonts w:ascii="Times New Roman" w:cs="Times New Roman" w:eastAsia="Times New Roman" w:hAnsi="Times New Roman"/>
                <w:sz w:val="21"/>
                <w:szCs w:val="21"/>
                <w:color w:val="auto"/>
              </w:rPr>
              <w:t>$</w:t>
            </w: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428,815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60" w:type="dxa"/>
            <w:vAlign w:val="bottom"/>
            <w:gridSpan w:val="8"/>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Gross Margin and Adjusted Gross Margin</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2"/>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00" w:type="dxa"/>
            <w:vAlign w:val="bottom"/>
            <w:gridSpan w:val="11"/>
          </w:tcPr>
          <w:p>
            <w:pPr>
              <w:jc w:val="center"/>
              <w:spacing w:after="0"/>
              <w:rPr>
                <w:sz w:val="20"/>
                <w:szCs w:val="20"/>
                <w:color w:val="auto"/>
              </w:rPr>
            </w:pPr>
            <w:r>
              <w:rPr>
                <w:rFonts w:ascii="Times New Roman" w:cs="Times New Roman" w:eastAsia="Times New Roman" w:hAnsi="Times New Roman"/>
                <w:sz w:val="21"/>
                <w:szCs w:val="21"/>
                <w:b w:val="1"/>
                <w:bCs w:val="1"/>
                <w:color w:val="auto"/>
              </w:rPr>
              <w:t>For the three months ended November 30, 2025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0"/>
        </w:trPr>
        <w:tc>
          <w:tcPr>
            <w:tcW w:w="4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8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8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28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21"/>
                <w:szCs w:val="21"/>
                <w:b w:val="1"/>
                <w:bCs w:val="1"/>
                <w:color w:val="auto"/>
              </w:rPr>
              <w:t>Total</w:t>
            </w:r>
          </w:p>
        </w:tc>
      </w:tr>
      <w:tr>
        <w:trPr>
          <w:trHeight w:val="245"/>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50,083</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67,532</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85,316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14,576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217,507</w:t>
            </w:r>
          </w:p>
        </w:tc>
      </w:tr>
      <w:tr>
        <w:trPr>
          <w:trHeight w:val="276"/>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34,351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41,398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74,334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9,927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160,010</w:t>
            </w: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15,732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26,134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10,982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4,649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57,497</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300" w:type="dxa"/>
            <w:vAlign w:val="bottom"/>
            <w:gridSpan w:val="11"/>
          </w:tcPr>
          <w:p>
            <w:pPr>
              <w:jc w:val="center"/>
              <w:spacing w:after="0"/>
              <w:rPr>
                <w:sz w:val="20"/>
                <w:szCs w:val="20"/>
                <w:color w:val="auto"/>
              </w:rPr>
            </w:pPr>
            <w:r>
              <w:rPr>
                <w:rFonts w:ascii="Times New Roman" w:cs="Times New Roman" w:eastAsia="Times New Roman" w:hAnsi="Times New Roman"/>
                <w:sz w:val="21"/>
                <w:szCs w:val="21"/>
                <w:b w:val="1"/>
                <w:bCs w:val="1"/>
                <w:color w:val="auto"/>
              </w:rPr>
              <w:t>For the three months ended November 30, 2024</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8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8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28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21"/>
                <w:szCs w:val="21"/>
                <w:b w:val="1"/>
                <w:bCs w:val="1"/>
                <w:color w:val="auto"/>
              </w:rPr>
              <w:t>Total</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63,081</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65,652</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w w:val="94"/>
              </w:rPr>
              <w:t>$</w:t>
            </w:r>
          </w:p>
        </w:tc>
        <w:tc>
          <w:tcPr>
            <w:tcW w:w="9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67,611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14,606</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210,950</w:t>
            </w:r>
          </w:p>
        </w:tc>
        <w:tc>
          <w:tcPr>
            <w:tcW w:w="0" w:type="dxa"/>
            <w:vAlign w:val="bottom"/>
          </w:tcPr>
          <w:p>
            <w:pPr>
              <w:spacing w:after="0"/>
              <w:rPr>
                <w:sz w:val="1"/>
                <w:szCs w:val="1"/>
                <w:color w:val="auto"/>
              </w:rPr>
            </w:pPr>
          </w:p>
        </w:tc>
      </w:tr>
      <w:tr>
        <w:trPr>
          <w:trHeight w:val="276"/>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37,925</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42,475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59,207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10,123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149,730</w:t>
            </w:r>
          </w:p>
        </w:tc>
        <w:tc>
          <w:tcPr>
            <w:tcW w:w="0" w:type="dxa"/>
            <w:vAlign w:val="bottom"/>
          </w:tcPr>
          <w:p>
            <w:pPr>
              <w:spacing w:after="0"/>
              <w:rPr>
                <w:sz w:val="1"/>
                <w:szCs w:val="1"/>
                <w:color w:val="auto"/>
              </w:rPr>
            </w:pP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25,156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23,177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8,404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4,483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61,220</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Adjustments: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Purchase price accounting step-up</w:t>
            </w:r>
          </w:p>
        </w:tc>
        <w:tc>
          <w:tcPr>
            <w:tcW w:w="180" w:type="dxa"/>
            <w:vAlign w:val="bottom"/>
          </w:tcPr>
          <w:p>
            <w:pPr>
              <w:spacing w:after="0"/>
              <w:rPr>
                <w:sz w:val="24"/>
                <w:szCs w:val="24"/>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1,376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280" w:type="dxa"/>
            <w:vAlign w:val="bottom"/>
          </w:tcPr>
          <w:p>
            <w:pPr>
              <w:spacing w:after="0"/>
              <w:rPr>
                <w:sz w:val="24"/>
                <w:szCs w:val="2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1,376</w:t>
            </w:r>
          </w:p>
        </w:tc>
        <w:tc>
          <w:tcPr>
            <w:tcW w:w="0" w:type="dxa"/>
            <w:vAlign w:val="bottom"/>
          </w:tcPr>
          <w:p>
            <w:pPr>
              <w:spacing w:after="0"/>
              <w:rPr>
                <w:sz w:val="1"/>
                <w:szCs w:val="1"/>
                <w:color w:val="auto"/>
              </w:rPr>
            </w:pP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profit</w:t>
            </w: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26,532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23,177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8,404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4,483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62,596</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margin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80" w:type="dxa"/>
            <w:vAlign w:val="bottom"/>
            <w:gridSpan w:val="8"/>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 the six months ended November 30, 2025</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4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10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8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28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21"/>
                <w:szCs w:val="21"/>
                <w:b w:val="1"/>
                <w:bCs w:val="1"/>
                <w:color w:val="auto"/>
              </w:rPr>
              <w:t>Total</w:t>
            </w:r>
          </w:p>
        </w:tc>
      </w:tr>
      <w:tr>
        <w:trPr>
          <w:trHeight w:val="245"/>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3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   105,822</w:t>
            </w:r>
          </w:p>
        </w:tc>
        <w:tc>
          <w:tcPr>
            <w:tcW w:w="100" w:type="dxa"/>
            <w:vAlign w:val="bottom"/>
          </w:tcPr>
          <w:p>
            <w:pPr>
              <w:spacing w:after="0"/>
              <w:rPr>
                <w:sz w:val="21"/>
                <w:szCs w:val="21"/>
                <w:color w:val="auto"/>
              </w:rPr>
            </w:pPr>
          </w:p>
        </w:tc>
        <w:tc>
          <w:tcPr>
            <w:tcW w:w="1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   132,043</w:t>
            </w:r>
          </w:p>
        </w:tc>
        <w:tc>
          <w:tcPr>
            <w:tcW w:w="100" w:type="dxa"/>
            <w:vAlign w:val="bottom"/>
          </w:tcPr>
          <w:p>
            <w:pPr>
              <w:spacing w:after="0"/>
              <w:rPr>
                <w:sz w:val="21"/>
                <w:szCs w:val="21"/>
                <w:color w:val="auto"/>
              </w:rPr>
            </w:pPr>
          </w:p>
        </w:tc>
        <w:tc>
          <w:tcPr>
            <w:tcW w:w="1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   159,323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29,820</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427,008</w:t>
            </w:r>
          </w:p>
        </w:tc>
      </w:tr>
      <w:tr>
        <w:trPr>
          <w:trHeight w:val="276"/>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68,764</w:t>
            </w:r>
          </w:p>
        </w:tc>
        <w:tc>
          <w:tcPr>
            <w:tcW w:w="1400" w:type="dxa"/>
            <w:vAlign w:val="bottom"/>
            <w:gridSpan w:val="2"/>
          </w:tcPr>
          <w:p>
            <w:pPr>
              <w:jc w:val="right"/>
              <w:ind w:right="94"/>
              <w:spacing w:after="0"/>
              <w:rPr>
                <w:sz w:val="20"/>
                <w:szCs w:val="20"/>
                <w:color w:val="auto"/>
              </w:rPr>
            </w:pPr>
            <w:r>
              <w:rPr>
                <w:rFonts w:ascii="Times New Roman" w:cs="Times New Roman" w:eastAsia="Times New Roman" w:hAnsi="Times New Roman"/>
                <w:sz w:val="21"/>
                <w:szCs w:val="21"/>
                <w:color w:val="auto"/>
              </w:rPr>
              <w:t>82,639</w:t>
            </w:r>
          </w:p>
        </w:tc>
        <w:tc>
          <w:tcPr>
            <w:tcW w:w="100" w:type="dxa"/>
            <w:vAlign w:val="bottom"/>
          </w:tcPr>
          <w:p>
            <w:pPr>
              <w:spacing w:after="0"/>
              <w:rPr>
                <w:sz w:val="24"/>
                <w:szCs w:val="24"/>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140,342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20,297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312,042</w:t>
            </w: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3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37,058</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49,404</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18,981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9,523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114,966</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280" w:type="dxa"/>
            <w:vAlign w:val="bottom"/>
            <w:gridSpan w:val="8"/>
          </w:tcPr>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 the six months ended November 30, 2024</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21"/>
                <w:szCs w:val="21"/>
                <w:b w:val="1"/>
                <w:bCs w:val="1"/>
                <w:color w:val="auto"/>
              </w:rPr>
              <w:t>Beverage</w:t>
            </w:r>
          </w:p>
        </w:tc>
        <w:tc>
          <w:tcPr>
            <w:tcW w:w="10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21"/>
                <w:szCs w:val="21"/>
                <w:b w:val="1"/>
                <w:bCs w:val="1"/>
                <w:color w:val="auto"/>
              </w:rPr>
              <w:t>Cannabis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Distribution</w:t>
            </w:r>
          </w:p>
        </w:tc>
        <w:tc>
          <w:tcPr>
            <w:tcW w:w="18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21"/>
                <w:szCs w:val="21"/>
                <w:b w:val="1"/>
                <w:bCs w:val="1"/>
                <w:color w:val="auto"/>
              </w:rPr>
              <w:t>Wellness</w:t>
            </w:r>
          </w:p>
        </w:tc>
        <w:tc>
          <w:tcPr>
            <w:tcW w:w="28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21"/>
                <w:szCs w:val="21"/>
                <w:b w:val="1"/>
                <w:bCs w:val="1"/>
                <w:color w:val="auto"/>
              </w:rPr>
              <w:t>Total</w:t>
            </w:r>
          </w:p>
        </w:tc>
        <w:tc>
          <w:tcPr>
            <w:tcW w:w="0" w:type="dxa"/>
            <w:vAlign w:val="bottom"/>
          </w:tcPr>
          <w:p>
            <w:pPr>
              <w:spacing w:after="0"/>
              <w:rPr>
                <w:sz w:val="1"/>
                <w:szCs w:val="1"/>
                <w:color w:val="auto"/>
              </w:rPr>
            </w:pPr>
          </w:p>
        </w:tc>
      </w:tr>
      <w:tr>
        <w:trPr>
          <w:trHeight w:val="245"/>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Net revenue</w:t>
            </w:r>
          </w:p>
        </w:tc>
        <w:tc>
          <w:tcPr>
            <w:tcW w:w="13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   119,053</w:t>
            </w:r>
          </w:p>
        </w:tc>
        <w:tc>
          <w:tcPr>
            <w:tcW w:w="100" w:type="dxa"/>
            <w:vAlign w:val="bottom"/>
          </w:tcPr>
          <w:p>
            <w:pPr>
              <w:spacing w:after="0"/>
              <w:rPr>
                <w:sz w:val="21"/>
                <w:szCs w:val="21"/>
                <w:color w:val="auto"/>
              </w:rPr>
            </w:pPr>
          </w:p>
        </w:tc>
        <w:tc>
          <w:tcPr>
            <w:tcW w:w="1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   126,901</w:t>
            </w:r>
          </w:p>
        </w:tc>
        <w:tc>
          <w:tcPr>
            <w:tcW w:w="100" w:type="dxa"/>
            <w:vAlign w:val="bottom"/>
          </w:tcPr>
          <w:p>
            <w:pPr>
              <w:spacing w:after="0"/>
              <w:rPr>
                <w:sz w:val="21"/>
                <w:szCs w:val="21"/>
                <w:color w:val="auto"/>
              </w:rPr>
            </w:pPr>
          </w:p>
        </w:tc>
        <w:tc>
          <w:tcPr>
            <w:tcW w:w="13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   135,682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1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29,358</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410,994</w:t>
            </w:r>
          </w:p>
        </w:tc>
        <w:tc>
          <w:tcPr>
            <w:tcW w:w="0" w:type="dxa"/>
            <w:vAlign w:val="bottom"/>
          </w:tcPr>
          <w:p>
            <w:pPr>
              <w:spacing w:after="0"/>
              <w:rPr>
                <w:sz w:val="1"/>
                <w:szCs w:val="1"/>
                <w:color w:val="auto"/>
              </w:rPr>
            </w:pPr>
          </w:p>
        </w:tc>
      </w:tr>
      <w:tr>
        <w:trPr>
          <w:trHeight w:val="276"/>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Cost of goods sold</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70,975</w:t>
            </w:r>
          </w:p>
        </w:tc>
        <w:tc>
          <w:tcPr>
            <w:tcW w:w="1400" w:type="dxa"/>
            <w:vAlign w:val="bottom"/>
            <w:gridSpan w:val="2"/>
          </w:tcPr>
          <w:p>
            <w:pPr>
              <w:jc w:val="right"/>
              <w:ind w:right="94"/>
              <w:spacing w:after="0"/>
              <w:rPr>
                <w:sz w:val="20"/>
                <w:szCs w:val="20"/>
                <w:color w:val="auto"/>
              </w:rPr>
            </w:pPr>
            <w:r>
              <w:rPr>
                <w:rFonts w:ascii="Times New Roman" w:cs="Times New Roman" w:eastAsia="Times New Roman" w:hAnsi="Times New Roman"/>
                <w:sz w:val="21"/>
                <w:szCs w:val="21"/>
                <w:color w:val="auto"/>
              </w:rPr>
              <w:t>79,529</w:t>
            </w:r>
          </w:p>
        </w:tc>
        <w:tc>
          <w:tcPr>
            <w:tcW w:w="100" w:type="dxa"/>
            <w:vAlign w:val="bottom"/>
          </w:tcPr>
          <w:p>
            <w:pPr>
              <w:spacing w:after="0"/>
              <w:rPr>
                <w:sz w:val="24"/>
                <w:szCs w:val="24"/>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119,345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20,219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290,068</w:t>
            </w:r>
          </w:p>
        </w:tc>
        <w:tc>
          <w:tcPr>
            <w:tcW w:w="0" w:type="dxa"/>
            <w:vAlign w:val="bottom"/>
          </w:tcPr>
          <w:p>
            <w:pPr>
              <w:spacing w:after="0"/>
              <w:rPr>
                <w:sz w:val="1"/>
                <w:szCs w:val="1"/>
                <w:color w:val="auto"/>
              </w:rPr>
            </w:pP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13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48,078</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47,372</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16,337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9,139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120,926</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Adjustments:</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vMerge w:val="continue"/>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Purchase price accounting step-up</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1,551</w:t>
            </w:r>
          </w:p>
        </w:tc>
        <w:tc>
          <w:tcPr>
            <w:tcW w:w="10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280" w:type="dxa"/>
            <w:vAlign w:val="bottom"/>
          </w:tcPr>
          <w:p>
            <w:pPr>
              <w:spacing w:after="0"/>
              <w:rPr>
                <w:sz w:val="24"/>
                <w:szCs w:val="2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21"/>
                <w:szCs w:val="21"/>
                <w:color w:val="auto"/>
              </w:rPr>
              <w:t>1,551</w:t>
            </w:r>
          </w:p>
        </w:tc>
        <w:tc>
          <w:tcPr>
            <w:tcW w:w="0" w:type="dxa"/>
            <w:vAlign w:val="bottom"/>
          </w:tcPr>
          <w:p>
            <w:pPr>
              <w:spacing w:after="0"/>
              <w:rPr>
                <w:sz w:val="1"/>
                <w:szCs w:val="1"/>
                <w:color w:val="auto"/>
              </w:rPr>
            </w:pPr>
          </w:p>
        </w:tc>
      </w:tr>
      <w:tr>
        <w:trPr>
          <w:trHeight w:val="259"/>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profit</w:t>
            </w:r>
          </w:p>
        </w:tc>
        <w:tc>
          <w:tcPr>
            <w:tcW w:w="13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49,629</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47,372</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16,337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9,139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21"/>
                <w:szCs w:val="21"/>
                <w:color w:val="auto"/>
              </w:rPr>
              <w:t>122,477</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21"/>
                <w:szCs w:val="21"/>
                <w:color w:val="auto"/>
              </w:rPr>
              <w:t>Adjusted gross margin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42%</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37%</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160" w:type="dxa"/>
            <w:vAlign w:val="bottom"/>
            <w:gridSpan w:val="9"/>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Adjusted Earnings Before Interest, Taxes and Amortization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86"/>
        </w:trPr>
        <w:tc>
          <w:tcPr>
            <w:tcW w:w="2880" w:type="dxa"/>
            <w:vAlign w:val="bottom"/>
          </w:tcPr>
          <w:p>
            <w:pPr>
              <w:spacing w:after="0"/>
              <w:rPr>
                <w:sz w:val="24"/>
                <w:szCs w:val="24"/>
                <w:color w:val="auto"/>
              </w:rPr>
            </w:pPr>
          </w:p>
        </w:tc>
        <w:tc>
          <w:tcPr>
            <w:tcW w:w="214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1960" w:type="dxa"/>
            <w:vAlign w:val="bottom"/>
          </w:tcPr>
          <w:p>
            <w:pPr>
              <w:spacing w:after="0"/>
              <w:rPr>
                <w:sz w:val="24"/>
                <w:szCs w:val="24"/>
                <w:color w:val="auto"/>
              </w:rPr>
            </w:pPr>
          </w:p>
        </w:tc>
      </w:tr>
      <w:tr>
        <w:trPr>
          <w:trHeight w:val="264"/>
        </w:trPr>
        <w:tc>
          <w:tcPr>
            <w:tcW w:w="2880" w:type="dxa"/>
            <w:vAlign w:val="bottom"/>
          </w:tcPr>
          <w:p>
            <w:pPr>
              <w:spacing w:after="0"/>
              <w:rPr>
                <w:sz w:val="22"/>
                <w:szCs w:val="22"/>
                <w:color w:val="auto"/>
              </w:rPr>
            </w:pPr>
          </w:p>
        </w:tc>
        <w:tc>
          <w:tcPr>
            <w:tcW w:w="214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gridSpan w:val="4"/>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1960" w:type="dxa"/>
            <w:vAlign w:val="bottom"/>
          </w:tcPr>
          <w:p>
            <w:pPr>
              <w:spacing w:after="0"/>
              <w:rPr>
                <w:sz w:val="22"/>
                <w:szCs w:val="22"/>
                <w:color w:val="auto"/>
              </w:rPr>
            </w:pPr>
          </w:p>
        </w:tc>
      </w:tr>
      <w:tr>
        <w:trPr>
          <w:trHeight w:val="238"/>
        </w:trPr>
        <w:tc>
          <w:tcPr>
            <w:tcW w:w="2880" w:type="dxa"/>
            <w:vAlign w:val="bottom"/>
          </w:tcPr>
          <w:p>
            <w:pPr>
              <w:spacing w:after="0"/>
              <w:rPr>
                <w:sz w:val="20"/>
                <w:szCs w:val="20"/>
                <w:color w:val="auto"/>
              </w:rPr>
            </w:pPr>
          </w:p>
        </w:tc>
        <w:tc>
          <w:tcPr>
            <w:tcW w:w="106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w w:val="98"/>
              </w:rPr>
              <w:t>November</w:t>
            </w: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100" w:type="dxa"/>
            <w:vAlign w:val="bottom"/>
            <w:gridSpan w:val="2"/>
          </w:tcPr>
          <w:p>
            <w:pPr>
              <w:jc w:val="center"/>
              <w:ind w:right="1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960" w:type="dxa"/>
            <w:vAlign w:val="bottom"/>
          </w:tcPr>
          <w:p>
            <w:pPr>
              <w:spacing w:after="0"/>
              <w:rPr>
                <w:sz w:val="20"/>
                <w:szCs w:val="20"/>
                <w:color w:val="auto"/>
              </w:rPr>
            </w:pPr>
          </w:p>
        </w:tc>
      </w:tr>
      <w:tr>
        <w:trPr>
          <w:trHeight w:val="264"/>
        </w:trPr>
        <w:tc>
          <w:tcPr>
            <w:tcW w:w="288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30,</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00" w:type="dxa"/>
            <w:vAlign w:val="bottom"/>
          </w:tcPr>
          <w:p>
            <w:pPr>
              <w:spacing w:after="0"/>
              <w:rPr>
                <w:sz w:val="22"/>
                <w:szCs w:val="22"/>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21"/>
                <w:szCs w:val="21"/>
                <w:b w:val="1"/>
                <w:bCs w:val="1"/>
                <w:color w:val="auto"/>
              </w:rPr>
              <w:t>Change  % Change</w:t>
            </w:r>
          </w:p>
        </w:tc>
        <w:tc>
          <w:tcPr>
            <w:tcW w:w="9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20" w:type="dxa"/>
            <w:vAlign w:val="bottom"/>
          </w:tcPr>
          <w:p>
            <w:pPr>
              <w:spacing w:after="0"/>
              <w:rPr>
                <w:sz w:val="22"/>
                <w:szCs w:val="22"/>
                <w:color w:val="auto"/>
              </w:rPr>
            </w:pPr>
          </w:p>
        </w:tc>
        <w:tc>
          <w:tcPr>
            <w:tcW w:w="1960" w:type="dxa"/>
            <w:vAlign w:val="bottom"/>
          </w:tcPr>
          <w:p>
            <w:pPr>
              <w:ind w:left="100"/>
              <w:spacing w:after="0"/>
              <w:rPr>
                <w:sz w:val="20"/>
                <w:szCs w:val="20"/>
                <w:color w:val="auto"/>
              </w:rPr>
            </w:pPr>
            <w:r>
              <w:rPr>
                <w:rFonts w:ascii="Times New Roman" w:cs="Times New Roman" w:eastAsia="Times New Roman" w:hAnsi="Times New Roman"/>
                <w:sz w:val="21"/>
                <w:szCs w:val="21"/>
                <w:b w:val="1"/>
                <w:bCs w:val="1"/>
                <w:color w:val="auto"/>
              </w:rPr>
              <w:t>Change  % Change</w:t>
            </w:r>
          </w:p>
        </w:tc>
      </w:tr>
      <w:tr>
        <w:trPr>
          <w:trHeight w:val="281"/>
        </w:trPr>
        <w:tc>
          <w:tcPr>
            <w:tcW w:w="28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2024</w:t>
            </w:r>
          </w:p>
        </w:tc>
        <w:tc>
          <w:tcPr>
            <w:tcW w:w="100" w:type="dxa"/>
            <w:vAlign w:val="bottom"/>
          </w:tcPr>
          <w:p>
            <w:pPr>
              <w:spacing w:after="0"/>
              <w:rPr>
                <w:sz w:val="24"/>
                <w:szCs w:val="24"/>
                <w:color w:val="auto"/>
              </w:rPr>
            </w:pPr>
          </w:p>
        </w:tc>
        <w:tc>
          <w:tcPr>
            <w:tcW w:w="1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2024</w:t>
            </w:r>
          </w:p>
        </w:tc>
        <w:tc>
          <w:tcPr>
            <w:tcW w:w="120" w:type="dxa"/>
            <w:vAlign w:val="bottom"/>
          </w:tcPr>
          <w:p>
            <w:pPr>
              <w:spacing w:after="0"/>
              <w:rPr>
                <w:sz w:val="24"/>
                <w:szCs w:val="24"/>
                <w:color w:val="auto"/>
              </w:rPr>
            </w:pPr>
          </w:p>
        </w:tc>
        <w:tc>
          <w:tcPr>
            <w:tcW w:w="1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21"/>
                <w:szCs w:val="21"/>
                <w:b w:val="1"/>
                <w:bCs w:val="1"/>
                <w:color w:val="auto"/>
              </w:rPr>
              <w:t>2025 vs. 2024</w:t>
            </w:r>
          </w:p>
        </w:tc>
      </w:tr>
    </w:tbl>
    <w:p>
      <w:pPr>
        <w:sectPr>
          <w:pgSz w:w="11900" w:h="16845" w:orient="portrait"/>
          <w:cols w:equalWidth="0" w:num="1">
            <w:col w:w="11220"/>
          </w:cols>
          <w:pgMar w:left="340" w:top="114"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(43,509)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(85,275)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41,766</w:t>
            </w: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(41,996)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(119,927)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77,931</w:t>
            </w: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(65)%</w:t>
            </w: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Income tax expense (recovery),</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net</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3,546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2,036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1,510</w:t>
            </w:r>
          </w:p>
        </w:tc>
        <w:tc>
          <w:tcPr>
            <w:tcW w:w="100" w:type="dxa"/>
            <w:vAlign w:val="bottom"/>
          </w:tcPr>
          <w:p>
            <w:pPr>
              <w:spacing w:after="0"/>
              <w:rPr>
                <w:sz w:val="22"/>
                <w:szCs w:val="22"/>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(1,661)</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Interest expense, net</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5,374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7,766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(2,392)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12,070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17,608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(5,538)</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Non-operating income</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(expense), net</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12,310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33,255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(20,945)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8,478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(12,131)</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Amortization</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15,958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34,050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(18,092)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31,519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65,864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(34,345)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Stock-based compensation</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12,283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7,237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5,046</w:t>
            </w:r>
          </w:p>
        </w:tc>
        <w:tc>
          <w:tcPr>
            <w:tcW w:w="100" w:type="dxa"/>
            <w:vAlign w:val="bottom"/>
          </w:tcPr>
          <w:p>
            <w:pPr>
              <w:spacing w:after="0"/>
              <w:rPr>
                <w:sz w:val="22"/>
                <w:szCs w:val="22"/>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17,335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14,154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3,181</w:t>
            </w:r>
          </w:p>
        </w:tc>
        <w:tc>
          <w:tcPr>
            <w:tcW w:w="100" w:type="dxa"/>
            <w:vAlign w:val="bottom"/>
          </w:tcPr>
          <w:p>
            <w:pPr>
              <w:spacing w:after="0"/>
              <w:rPr>
                <w:sz w:val="22"/>
                <w:szCs w:val="2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21"/>
                <w:szCs w:val="21"/>
                <w:color w:val="auto"/>
              </w:rPr>
              <w:t>22%</w:t>
            </w: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Change in fair value of</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contingent consideration</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NM</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(15,000)</w:t>
            </w:r>
          </w:p>
        </w:tc>
        <w:tc>
          <w:tcPr>
            <w:tcW w:w="1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Project 420 business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optimization</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NM</w:t>
            </w: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w:t>
            </w:r>
          </w:p>
        </w:tc>
        <w:tc>
          <w:tcPr>
            <w:tcW w:w="1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Purchase price accounting step-</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up</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1,376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(1,376)</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(1,551)</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Litigation costs, net of</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recoveries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869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901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1,876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(620)</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Restructuring costs</w:t>
            </w:r>
          </w:p>
        </w:tc>
        <w:tc>
          <w:tcPr>
            <w:tcW w:w="1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965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6,869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(5,904)</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1,834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(9,282)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77"/>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Transaction costs (income), net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569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802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(233)</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969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1,958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(989)</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58"/>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8,365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9,017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(652)</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18,546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18,351</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195</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rPr>
              <w:t>1%</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80" w:type="dxa"/>
            <w:vAlign w:val="bottom"/>
            <w:gridSpan w:val="12"/>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Adjusted Cash Operating Income (Loss)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880" w:type="dxa"/>
            <w:vAlign w:val="bottom"/>
          </w:tcPr>
          <w:p>
            <w:pPr>
              <w:spacing w:after="0"/>
              <w:rPr>
                <w:sz w:val="24"/>
                <w:szCs w:val="24"/>
                <w:color w:val="auto"/>
              </w:rPr>
            </w:pPr>
          </w:p>
        </w:tc>
        <w:tc>
          <w:tcPr>
            <w:tcW w:w="2140" w:type="dxa"/>
            <w:vAlign w:val="bottom"/>
            <w:gridSpan w:val="6"/>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center"/>
              <w:ind w:left="414"/>
              <w:spacing w:after="0"/>
              <w:rPr>
                <w:sz w:val="20"/>
                <w:szCs w:val="20"/>
                <w:color w:val="auto"/>
              </w:rPr>
            </w:pPr>
            <w:r>
              <w:rPr>
                <w:rFonts w:ascii="Times New Roman" w:cs="Times New Roman" w:eastAsia="Times New Roman" w:hAnsi="Times New Roman"/>
                <w:sz w:val="21"/>
                <w:szCs w:val="21"/>
                <w:b w:val="1"/>
                <w:bCs w:val="1"/>
                <w:color w:val="auto"/>
              </w:rPr>
              <w:t>ended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3"/>
          </w:tcPr>
          <w:p>
            <w:pPr>
              <w:jc w:val="center"/>
              <w:ind w:left="474"/>
              <w:spacing w:after="0"/>
              <w:rPr>
                <w:sz w:val="20"/>
                <w:szCs w:val="20"/>
                <w:color w:val="auto"/>
              </w:rPr>
            </w:pPr>
            <w:r>
              <w:rPr>
                <w:rFonts w:ascii="Times New Roman" w:cs="Times New Roman" w:eastAsia="Times New Roman" w:hAnsi="Times New Roman"/>
                <w:sz w:val="21"/>
                <w:szCs w:val="21"/>
                <w:b w:val="1"/>
                <w:bCs w:val="1"/>
                <w:color w:val="auto"/>
              </w:rPr>
              <w:t>ended</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06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8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10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21"/>
                <w:szCs w:val="21"/>
                <w:b w:val="1"/>
                <w:bCs w:val="1"/>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13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00" w:type="dxa"/>
            <w:vAlign w:val="bottom"/>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160" w:type="dxa"/>
            <w:vAlign w:val="bottom"/>
          </w:tcPr>
          <w:p>
            <w:pPr>
              <w:spacing w:after="0"/>
              <w:rPr>
                <w:sz w:val="22"/>
                <w:szCs w:val="22"/>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13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2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0" w:type="dxa"/>
            <w:vAlign w:val="bottom"/>
          </w:tcPr>
          <w:p>
            <w:pPr>
              <w:spacing w:after="0"/>
              <w:rPr>
                <w:sz w:val="1"/>
                <w:szCs w:val="1"/>
                <w:color w:val="auto"/>
              </w:rPr>
            </w:pPr>
          </w:p>
        </w:tc>
      </w:tr>
      <w:tr>
        <w:trPr>
          <w:trHeight w:val="280"/>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center"/>
              <w:ind w:right="74"/>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34"/>
              <w:spacing w:after="0"/>
              <w:rPr>
                <w:sz w:val="20"/>
                <w:szCs w:val="20"/>
                <w:color w:val="auto"/>
              </w:rPr>
            </w:pPr>
            <w:r>
              <w:rPr>
                <w:rFonts w:ascii="Times New Roman" w:cs="Times New Roman" w:eastAsia="Times New Roman" w:hAnsi="Times New Roman"/>
                <w:sz w:val="21"/>
                <w:szCs w:val="21"/>
                <w:b w:val="1"/>
                <w:bCs w:val="1"/>
                <w:color w:val="auto"/>
                <w:w w:val="99"/>
              </w:rPr>
              <w:t>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160" w:type="dxa"/>
            <w:vAlign w:val="bottom"/>
          </w:tcPr>
          <w:p>
            <w:pPr>
              <w:spacing w:after="0"/>
              <w:rPr>
                <w:sz w:val="24"/>
                <w:szCs w:val="24"/>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rPr>
              <w:t>2024</w:t>
            </w:r>
          </w:p>
        </w:tc>
        <w:tc>
          <w:tcPr>
            <w:tcW w:w="120" w:type="dxa"/>
            <w:vAlign w:val="bottom"/>
          </w:tcPr>
          <w:p>
            <w:pPr>
              <w:spacing w:after="0"/>
              <w:rPr>
                <w:sz w:val="24"/>
                <w:szCs w:val="24"/>
                <w:color w:val="auto"/>
              </w:rPr>
            </w:pPr>
          </w:p>
        </w:tc>
        <w:tc>
          <w:tcPr>
            <w:tcW w:w="1960" w:type="dxa"/>
            <w:vAlign w:val="bottom"/>
            <w:gridSpan w:val="3"/>
          </w:tcPr>
          <w:p>
            <w:pPr>
              <w:jc w:val="right"/>
              <w:ind w:right="274"/>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Operating loss</w:t>
            </w:r>
          </w:p>
        </w:tc>
        <w:tc>
          <w:tcPr>
            <w:tcW w:w="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(22,279)</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(42,218)</w:t>
            </w: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$ 19,939</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w:t>
            </w:r>
          </w:p>
        </w:tc>
        <w:tc>
          <w:tcPr>
            <w:tcW w:w="100" w:type="dxa"/>
            <w:vAlign w:val="bottom"/>
          </w:tcPr>
          <w:p>
            <w:pPr>
              <w:spacing w:after="0"/>
              <w:rPr>
                <w:sz w:val="21"/>
                <w:szCs w:val="21"/>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 (20,187)</w:t>
            </w:r>
          </w:p>
        </w:tc>
        <w:tc>
          <w:tcPr>
            <w:tcW w:w="10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(78,788)</w:t>
            </w:r>
          </w:p>
        </w:tc>
        <w:tc>
          <w:tcPr>
            <w:tcW w:w="12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$ 58,601</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Change in fair value of</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contingent consideration</w:t>
            </w:r>
          </w:p>
        </w:tc>
        <w:tc>
          <w:tcPr>
            <w:tcW w:w="2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NM</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Amortization</w:t>
            </w:r>
          </w:p>
        </w:tc>
        <w:tc>
          <w:tcPr>
            <w:tcW w:w="20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15,958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34,050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(18,092)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31,519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65,864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(34,345)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Stock-based compensation</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12,283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7,237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5,046</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70%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17,335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14,154</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3,181</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206"/>
        </w:trPr>
        <w:tc>
          <w:tcPr>
            <w:tcW w:w="288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rPr>
              <w:t>Adjusted cash operating income</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60" w:type="dxa"/>
            <w:vAlign w:val="bottom"/>
            <w:vMerge w:val="restart"/>
          </w:tcPr>
          <w:p>
            <w:pPr>
              <w:jc w:val="right"/>
              <w:ind w:right="14"/>
              <w:spacing w:after="0"/>
              <w:rPr>
                <w:sz w:val="20"/>
                <w:szCs w:val="20"/>
                <w:color w:val="auto"/>
              </w:rPr>
            </w:pPr>
            <w:r>
              <w:rPr>
                <w:rFonts w:ascii="Times New Roman" w:cs="Times New Roman" w:eastAsia="Times New Roman" w:hAnsi="Times New Roman"/>
                <w:sz w:val="21"/>
                <w:szCs w:val="21"/>
                <w:color w:val="auto"/>
              </w:rPr>
              <w:t>5,962</w:t>
            </w:r>
          </w:p>
        </w:tc>
        <w:tc>
          <w:tcPr>
            <w:tcW w:w="10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(931)</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6,893</w:t>
            </w:r>
          </w:p>
        </w:tc>
        <w:tc>
          <w:tcPr>
            <w:tcW w:w="1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(740)%</w:t>
            </w:r>
          </w:p>
        </w:tc>
        <w:tc>
          <w:tcPr>
            <w:tcW w:w="100" w:type="dxa"/>
            <w:vAlign w:val="bottom"/>
          </w:tcPr>
          <w:p>
            <w:pPr>
              <w:spacing w:after="0"/>
              <w:rPr>
                <w:sz w:val="17"/>
                <w:szCs w:val="17"/>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vMerge w:val="restart"/>
          </w:tcPr>
          <w:p>
            <w:pPr>
              <w:jc w:val="right"/>
              <w:ind w:right="14"/>
              <w:spacing w:after="0"/>
              <w:rPr>
                <w:sz w:val="20"/>
                <w:szCs w:val="20"/>
                <w:color w:val="auto"/>
              </w:rPr>
            </w:pPr>
            <w:r>
              <w:rPr>
                <w:rFonts w:ascii="Times New Roman" w:cs="Times New Roman" w:eastAsia="Times New Roman" w:hAnsi="Times New Roman"/>
                <w:sz w:val="21"/>
                <w:szCs w:val="21"/>
                <w:color w:val="auto"/>
              </w:rPr>
              <w:t>13,667</w:t>
            </w:r>
          </w:p>
        </w:tc>
        <w:tc>
          <w:tcPr>
            <w:tcW w:w="1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1,230</w:t>
            </w:r>
          </w:p>
        </w:tc>
        <w:tc>
          <w:tcPr>
            <w:tcW w:w="1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$ 12,437</w:t>
            </w:r>
          </w:p>
        </w:tc>
        <w:tc>
          <w:tcPr>
            <w:tcW w:w="100" w:type="dxa"/>
            <w:vAlign w:val="bottom"/>
          </w:tcPr>
          <w:p>
            <w:pPr>
              <w:spacing w:after="0"/>
              <w:rPr>
                <w:sz w:val="17"/>
                <w:szCs w:val="17"/>
                <w:color w:val="auto"/>
              </w:rPr>
            </w:pPr>
          </w:p>
        </w:tc>
        <w:tc>
          <w:tcPr>
            <w:tcW w:w="980" w:type="dxa"/>
            <w:vAlign w:val="bottom"/>
            <w:vMerge w:val="restart"/>
          </w:tcPr>
          <w:p>
            <w:pPr>
              <w:jc w:val="right"/>
              <w:ind w:right="54"/>
              <w:spacing w:after="0"/>
              <w:rPr>
                <w:sz w:val="20"/>
                <w:szCs w:val="20"/>
                <w:color w:val="auto"/>
              </w:rPr>
            </w:pPr>
            <w:r>
              <w:rPr>
                <w:rFonts w:ascii="Times New Roman" w:cs="Times New Roman" w:eastAsia="Times New Roman" w:hAnsi="Times New Roman"/>
                <w:sz w:val="21"/>
                <w:szCs w:val="21"/>
                <w:color w:val="auto"/>
              </w:rPr>
              <w:t>1,011%</w:t>
            </w: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(loss)</w:t>
            </w:r>
          </w:p>
        </w:tc>
        <w:tc>
          <w:tcPr>
            <w:tcW w:w="20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9260" w:type="dxa"/>
            <w:vAlign w:val="bottom"/>
            <w:gridSpan w:val="18"/>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Adjusted Net Income (Loss) and Adjusted Net Income (Loss) Per Share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880" w:type="dxa"/>
            <w:vAlign w:val="bottom"/>
          </w:tcPr>
          <w:p>
            <w:pPr>
              <w:spacing w:after="0"/>
              <w:rPr>
                <w:sz w:val="24"/>
                <w:szCs w:val="24"/>
                <w:color w:val="auto"/>
              </w:rPr>
            </w:pPr>
          </w:p>
        </w:tc>
        <w:tc>
          <w:tcPr>
            <w:tcW w:w="2140" w:type="dxa"/>
            <w:vAlign w:val="bottom"/>
            <w:gridSpan w:val="6"/>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jc w:val="center"/>
              <w:ind w:left="414"/>
              <w:spacing w:after="0"/>
              <w:rPr>
                <w:sz w:val="20"/>
                <w:szCs w:val="20"/>
                <w:color w:val="auto"/>
              </w:rPr>
            </w:pPr>
            <w:r>
              <w:rPr>
                <w:rFonts w:ascii="Times New Roman" w:cs="Times New Roman" w:eastAsia="Times New Roman" w:hAnsi="Times New Roman"/>
                <w:sz w:val="21"/>
                <w:szCs w:val="21"/>
                <w:b w:val="1"/>
                <w:bCs w:val="1"/>
                <w:color w:val="auto"/>
              </w:rPr>
              <w:t>ended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3"/>
          </w:tcPr>
          <w:p>
            <w:pPr>
              <w:jc w:val="center"/>
              <w:ind w:left="474"/>
              <w:spacing w:after="0"/>
              <w:rPr>
                <w:sz w:val="20"/>
                <w:szCs w:val="20"/>
                <w:color w:val="auto"/>
              </w:rPr>
            </w:pPr>
            <w:r>
              <w:rPr>
                <w:rFonts w:ascii="Times New Roman" w:cs="Times New Roman" w:eastAsia="Times New Roman" w:hAnsi="Times New Roman"/>
                <w:sz w:val="21"/>
                <w:szCs w:val="21"/>
                <w:b w:val="1"/>
                <w:bCs w:val="1"/>
                <w:color w:val="auto"/>
              </w:rPr>
              <w:t>ended</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06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8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10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center"/>
              <w:ind w:right="94"/>
              <w:spacing w:after="0"/>
              <w:rPr>
                <w:sz w:val="20"/>
                <w:szCs w:val="20"/>
                <w:color w:val="auto"/>
              </w:rPr>
            </w:pPr>
            <w:r>
              <w:rPr>
                <w:rFonts w:ascii="Times New Roman" w:cs="Times New Roman" w:eastAsia="Times New Roman" w:hAnsi="Times New Roman"/>
                <w:sz w:val="21"/>
                <w:szCs w:val="21"/>
                <w:b w:val="1"/>
                <w:bCs w:val="1"/>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13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00" w:type="dxa"/>
            <w:vAlign w:val="bottom"/>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160" w:type="dxa"/>
            <w:vAlign w:val="bottom"/>
          </w:tcPr>
          <w:p>
            <w:pPr>
              <w:spacing w:after="0"/>
              <w:rPr>
                <w:sz w:val="22"/>
                <w:szCs w:val="22"/>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center"/>
              <w:ind w:right="134"/>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2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0" w:type="dxa"/>
            <w:vAlign w:val="bottom"/>
          </w:tcPr>
          <w:p>
            <w:pPr>
              <w:spacing w:after="0"/>
              <w:rPr>
                <w:sz w:val="1"/>
                <w:szCs w:val="1"/>
                <w:color w:val="auto"/>
              </w:rPr>
            </w:pPr>
          </w:p>
        </w:tc>
      </w:tr>
      <w:tr>
        <w:trPr>
          <w:trHeight w:val="281"/>
        </w:trPr>
        <w:tc>
          <w:tcPr>
            <w:tcW w:w="28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Net loss attributable to</w:t>
            </w:r>
          </w:p>
        </w:tc>
        <w:tc>
          <w:tcPr>
            <w:tcW w:w="200" w:type="dxa"/>
            <w:vAlign w:val="bottom"/>
          </w:tcPr>
          <w:p>
            <w:pPr>
              <w:spacing w:after="0"/>
              <w:rPr>
                <w:sz w:val="24"/>
                <w:szCs w:val="24"/>
                <w:color w:val="auto"/>
              </w:rPr>
            </w:pPr>
          </w:p>
        </w:tc>
        <w:tc>
          <w:tcPr>
            <w:tcW w:w="760" w:type="dxa"/>
            <w:vAlign w:val="bottom"/>
          </w:tcPr>
          <w:p>
            <w:pPr>
              <w:jc w:val="center"/>
              <w:ind w:right="74"/>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34"/>
              <w:spacing w:after="0"/>
              <w:rPr>
                <w:sz w:val="20"/>
                <w:szCs w:val="20"/>
                <w:color w:val="auto"/>
              </w:rPr>
            </w:pPr>
            <w:r>
              <w:rPr>
                <w:rFonts w:ascii="Times New Roman" w:cs="Times New Roman" w:eastAsia="Times New Roman" w:hAnsi="Times New Roman"/>
                <w:sz w:val="21"/>
                <w:szCs w:val="21"/>
                <w:b w:val="1"/>
                <w:bCs w:val="1"/>
                <w:color w:val="auto"/>
                <w:w w:val="99"/>
              </w:rPr>
              <w:t>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4"/>
          </w:tcPr>
          <w:p>
            <w:pPr>
              <w:jc w:val="center"/>
              <w:ind w:right="220"/>
              <w:spacing w:after="0"/>
              <w:rPr>
                <w:sz w:val="20"/>
                <w:szCs w:val="20"/>
                <w:color w:val="auto"/>
              </w:rPr>
            </w:pPr>
            <w:r>
              <w:rPr>
                <w:rFonts w:ascii="Times New Roman" w:cs="Times New Roman" w:eastAsia="Times New Roman" w:hAnsi="Times New Roman"/>
                <w:sz w:val="21"/>
                <w:szCs w:val="21"/>
                <w:b w:val="1"/>
                <w:bCs w:val="1"/>
                <w:color w:val="auto"/>
                <w:w w:val="98"/>
              </w:rPr>
              <w:t>Change</w:t>
            </w:r>
          </w:p>
        </w:tc>
        <w:tc>
          <w:tcPr>
            <w:tcW w:w="160" w:type="dxa"/>
            <w:vAlign w:val="bottom"/>
          </w:tcPr>
          <w:p>
            <w:pPr>
              <w:spacing w:after="0"/>
              <w:rPr>
                <w:sz w:val="24"/>
                <w:szCs w:val="24"/>
                <w:color w:val="auto"/>
              </w:rPr>
            </w:pPr>
          </w:p>
        </w:tc>
        <w:tc>
          <w:tcPr>
            <w:tcW w:w="820" w:type="dxa"/>
            <w:vAlign w:val="bottom"/>
          </w:tcPr>
          <w:p>
            <w:pPr>
              <w:jc w:val="center"/>
              <w:ind w:right="54"/>
              <w:spacing w:after="0"/>
              <w:rPr>
                <w:sz w:val="20"/>
                <w:szCs w:val="20"/>
                <w:color w:val="auto"/>
              </w:rPr>
            </w:pPr>
            <w:r>
              <w:rPr>
                <w:rFonts w:ascii="Times New Roman" w:cs="Times New Roman" w:eastAsia="Times New Roman" w:hAnsi="Times New Roman"/>
                <w:sz w:val="21"/>
                <w:szCs w:val="21"/>
                <w:b w:val="1"/>
                <w:bCs w:val="1"/>
                <w:color w:val="auto"/>
                <w:w w:val="99"/>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center"/>
              <w:ind w:right="114"/>
              <w:spacing w:after="0"/>
              <w:rPr>
                <w:sz w:val="20"/>
                <w:szCs w:val="20"/>
                <w:color w:val="auto"/>
              </w:rPr>
            </w:pPr>
            <w:r>
              <w:rPr>
                <w:rFonts w:ascii="Times New Roman" w:cs="Times New Roman" w:eastAsia="Times New Roman" w:hAnsi="Times New Roman"/>
                <w:sz w:val="21"/>
                <w:szCs w:val="21"/>
                <w:b w:val="1"/>
                <w:bCs w:val="1"/>
                <w:color w:val="auto"/>
              </w:rPr>
              <w:t>2024</w:t>
            </w:r>
          </w:p>
        </w:tc>
        <w:tc>
          <w:tcPr>
            <w:tcW w:w="120" w:type="dxa"/>
            <w:vAlign w:val="bottom"/>
          </w:tcPr>
          <w:p>
            <w:pPr>
              <w:spacing w:after="0"/>
              <w:rPr>
                <w:sz w:val="24"/>
                <w:szCs w:val="24"/>
                <w:color w:val="auto"/>
              </w:rPr>
            </w:pPr>
          </w:p>
        </w:tc>
        <w:tc>
          <w:tcPr>
            <w:tcW w:w="1960" w:type="dxa"/>
            <w:vAlign w:val="bottom"/>
            <w:gridSpan w:val="3"/>
          </w:tcPr>
          <w:p>
            <w:pPr>
              <w:jc w:val="right"/>
              <w:ind w:right="534"/>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0" w:type="dxa"/>
            <w:vAlign w:val="bottom"/>
          </w:tcPr>
          <w:p>
            <w:pPr>
              <w:spacing w:after="0"/>
              <w:rPr>
                <w:sz w:val="1"/>
                <w:szCs w:val="1"/>
                <w:color w:val="auto"/>
              </w:rPr>
            </w:pPr>
          </w:p>
        </w:tc>
      </w:tr>
      <w:tr>
        <w:trPr>
          <w:trHeight w:val="205"/>
        </w:trPr>
        <w:tc>
          <w:tcPr>
            <w:tcW w:w="288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stockholders of Tilray Brands,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Inc.</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(44,931)</w:t>
            </w: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(85,342)</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$ 40,411</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(45,253)</w:t>
            </w:r>
          </w:p>
        </w:tc>
        <w:tc>
          <w:tcPr>
            <w:tcW w:w="1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$(124,507)</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$ 79,254</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Non-operating income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(expense), net</w:t>
            </w:r>
          </w:p>
        </w:tc>
        <w:tc>
          <w:tcPr>
            <w:tcW w:w="20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12,310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33,255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(20,945)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8,478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20,609</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(12,131)</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Amortization</w:t>
            </w:r>
          </w:p>
        </w:tc>
        <w:tc>
          <w:tcPr>
            <w:tcW w:w="20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15,958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34,050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(18,092)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31,519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65,864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(34,345)</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Stock-based compensation</w:t>
            </w:r>
          </w:p>
        </w:tc>
        <w:tc>
          <w:tcPr>
            <w:tcW w:w="20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12,283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7,237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5,046</w:t>
            </w:r>
          </w:p>
        </w:tc>
        <w:tc>
          <w:tcPr>
            <w:tcW w:w="100" w:type="dxa"/>
            <w:vAlign w:val="bottom"/>
          </w:tcPr>
          <w:p>
            <w:pPr>
              <w:spacing w:after="0"/>
              <w:rPr>
                <w:sz w:val="22"/>
                <w:szCs w:val="22"/>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17,335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14,154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3,181</w:t>
            </w:r>
          </w:p>
        </w:tc>
        <w:tc>
          <w:tcPr>
            <w:tcW w:w="100" w:type="dxa"/>
            <w:vAlign w:val="bottom"/>
          </w:tcPr>
          <w:p>
            <w:pPr>
              <w:spacing w:after="0"/>
              <w:rPr>
                <w:sz w:val="22"/>
                <w:szCs w:val="2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Change in fair value of</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contingent consideration</w:t>
            </w:r>
          </w:p>
        </w:tc>
        <w:tc>
          <w:tcPr>
            <w:tcW w:w="2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NM</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c>
          <w:tcPr>
            <w:tcW w:w="1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Project 420 business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optimization</w:t>
            </w:r>
          </w:p>
        </w:tc>
        <w:tc>
          <w:tcPr>
            <w:tcW w:w="2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NM</w:t>
            </w: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w:t>
            </w:r>
          </w:p>
        </w:tc>
        <w:tc>
          <w:tcPr>
            <w:tcW w:w="100" w:type="dxa"/>
            <w:vAlign w:val="bottom"/>
          </w:tcPr>
          <w:p>
            <w:pPr>
              <w:spacing w:after="0"/>
              <w:rPr>
                <w:sz w:val="22"/>
                <w:szCs w:val="22"/>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Litigation costs, net of</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recoveries</w:t>
            </w:r>
          </w:p>
        </w:tc>
        <w:tc>
          <w:tcPr>
            <w:tcW w:w="20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869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901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1,876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2,496</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(620)</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Restructuring costs</w:t>
            </w:r>
          </w:p>
        </w:tc>
        <w:tc>
          <w:tcPr>
            <w:tcW w:w="20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965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6,869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(5,904)</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1,834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11,116</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(9,282)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Transaction costs (income)</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569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802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(233)</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969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1,958</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(989)</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73"/>
        </w:trPr>
        <w:tc>
          <w:tcPr>
            <w:tcW w:w="2880" w:type="dxa"/>
            <w:vAlign w:val="bottom"/>
          </w:tcPr>
          <w:p>
            <w:pPr>
              <w:spacing w:after="0" w:line="272" w:lineRule="exact"/>
              <w:rPr>
                <w:sz w:val="20"/>
                <w:szCs w:val="20"/>
                <w:color w:val="auto"/>
              </w:rPr>
            </w:pPr>
            <w:r>
              <w:rPr>
                <w:rFonts w:ascii="Times New Roman" w:cs="Times New Roman" w:eastAsia="Times New Roman" w:hAnsi="Times New Roman"/>
                <w:sz w:val="19"/>
                <w:szCs w:val="19"/>
                <w:color w:val="auto"/>
              </w:rPr>
              <w:t>Adjusted net income (loss)</w:t>
            </w:r>
            <w:r>
              <w:rPr>
                <w:rFonts w:ascii="Times New Roman" w:cs="Times New Roman" w:eastAsia="Times New Roman" w:hAnsi="Times New Roman"/>
                <w:sz w:val="31"/>
                <w:szCs w:val="31"/>
                <w:color w:val="auto"/>
                <w:vertAlign w:val="superscript"/>
              </w:rPr>
              <w:t>1</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(1,977)</w:t>
            </w:r>
          </w:p>
        </w:tc>
        <w:tc>
          <w:tcPr>
            <w:tcW w:w="100" w:type="dxa"/>
            <w:vAlign w:val="bottom"/>
          </w:tcPr>
          <w:p>
            <w:pPr>
              <w:spacing w:after="0"/>
              <w:rPr>
                <w:sz w:val="23"/>
                <w:szCs w:val="23"/>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(2,228)</w:t>
            </w: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251</w:t>
            </w: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w:t>
            </w:r>
          </w:p>
        </w:tc>
        <w:tc>
          <w:tcPr>
            <w:tcW w:w="100" w:type="dxa"/>
            <w:vAlign w:val="bottom"/>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1,958</w:t>
            </w:r>
          </w:p>
        </w:tc>
        <w:tc>
          <w:tcPr>
            <w:tcW w:w="100" w:type="dxa"/>
            <w:vAlign w:val="bottom"/>
          </w:tcPr>
          <w:p>
            <w:pPr>
              <w:spacing w:after="0"/>
              <w:rPr>
                <w:sz w:val="23"/>
                <w:szCs w:val="23"/>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(8,310)</w:t>
            </w:r>
          </w:p>
        </w:tc>
        <w:tc>
          <w:tcPr>
            <w:tcW w:w="12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$ 10,268</w:t>
            </w:r>
          </w:p>
        </w:tc>
        <w:tc>
          <w:tcPr>
            <w:tcW w:w="100" w:type="dxa"/>
            <w:vAlign w:val="bottom"/>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(124)%</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239" w:lineRule="exact"/>
              <w:rPr>
                <w:sz w:val="20"/>
                <w:szCs w:val="20"/>
                <w:color w:val="auto"/>
              </w:rPr>
            </w:pPr>
            <w:r>
              <w:rPr>
                <w:rFonts w:ascii="Times New Roman" w:cs="Times New Roman" w:eastAsia="Times New Roman" w:hAnsi="Times New Roman"/>
                <w:sz w:val="21"/>
                <w:szCs w:val="21"/>
                <w:color w:val="auto"/>
              </w:rPr>
              <w:t>Adjusted net income (loss) per</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80" w:type="dxa"/>
            <w:vAlign w:val="bottom"/>
          </w:tcPr>
          <w:p>
            <w:pPr>
              <w:spacing w:after="0" w:line="295" w:lineRule="exact"/>
              <w:rPr>
                <w:sz w:val="20"/>
                <w:szCs w:val="20"/>
                <w:color w:val="auto"/>
              </w:rPr>
            </w:pPr>
            <w:r>
              <w:rPr>
                <w:rFonts w:ascii="Times New Roman" w:cs="Times New Roman" w:eastAsia="Times New Roman" w:hAnsi="Times New Roman"/>
                <w:sz w:val="21"/>
                <w:szCs w:val="21"/>
                <w:color w:val="auto"/>
              </w:rPr>
              <w:t>share - basic and diluted</w:t>
            </w:r>
            <w:r>
              <w:rPr>
                <w:rFonts w:ascii="Times New Roman" w:cs="Times New Roman" w:eastAsia="Times New Roman" w:hAnsi="Times New Roman"/>
                <w:sz w:val="34"/>
                <w:szCs w:val="34"/>
                <w:color w:val="auto"/>
                <w:vertAlign w:val="superscript"/>
              </w:rPr>
              <w:t>1</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(0.02)</w:t>
            </w:r>
          </w:p>
        </w:tc>
        <w:tc>
          <w:tcPr>
            <w:tcW w:w="100" w:type="dxa"/>
            <w:vAlign w:val="bottom"/>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(0.03)</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w:t>
            </w:r>
            <w:r>
              <w:rPr>
                <w:rFonts w:ascii="Times New Roman" w:cs="Times New Roman" w:eastAsia="Times New Roman" w:hAnsi="Times New Roman"/>
                <w:sz w:val="21"/>
                <w:szCs w:val="21"/>
                <w:u w:val="single" w:color="auto"/>
                <w:color w:val="auto"/>
              </w:rPr>
              <w:t>01</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21"/>
                <w:szCs w:val="21"/>
                <w:color w:val="auto"/>
              </w:rPr>
              <w:t>0.02</w:t>
            </w:r>
          </w:p>
        </w:tc>
        <w:tc>
          <w:tcPr>
            <w:tcW w:w="10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(0.</w:t>
            </w:r>
            <w:r>
              <w:rPr>
                <w:rFonts w:ascii="Times New Roman" w:cs="Times New Roman" w:eastAsia="Times New Roman" w:hAnsi="Times New Roman"/>
                <w:sz w:val="21"/>
                <w:szCs w:val="21"/>
                <w:u w:val="single" w:color="auto"/>
                <w:color w:val="auto"/>
              </w:rPr>
              <w:t>10)</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0.</w:t>
            </w:r>
            <w:r>
              <w:rPr>
                <w:rFonts w:ascii="Times New Roman" w:cs="Times New Roman" w:eastAsia="Times New Roman" w:hAnsi="Times New Roman"/>
                <w:sz w:val="21"/>
                <w:szCs w:val="21"/>
                <w:u w:val="single" w:color="auto"/>
                <w:color w:val="auto"/>
              </w:rPr>
              <w:t>12</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660"/>
        <w:spacing w:after="0" w:line="207" w:lineRule="auto"/>
        <w:rPr>
          <w:sz w:val="20"/>
          <w:szCs w:val="20"/>
          <w:color w:val="auto"/>
        </w:rPr>
      </w:pP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1"/>
          <w:szCs w:val="21"/>
          <w:color w:val="auto"/>
        </w:rPr>
        <w:t>Current and prior year share amounts have been retrospectively adjusted to reflect the Reverse Stock Split (as defined in the November 30, 2025, Form 10-Q), which became effective on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1826895</wp:posOffset>
            </wp:positionH>
            <wp:positionV relativeFrom="paragraph">
              <wp:posOffset>-340360</wp:posOffset>
            </wp:positionV>
            <wp:extent cx="5299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99075" cy="8255"/>
                    </a:xfrm>
                    <a:prstGeom prst="rect">
                      <a:avLst/>
                    </a:prstGeom>
                    <a:noFill/>
                  </pic:spPr>
                </pic:pic>
              </a:graphicData>
            </a:graphic>
          </wp:anchor>
        </w:drawing>
      </w:r>
    </w:p>
    <w:p>
      <w:pPr>
        <w:sectPr>
          <w:pgSz w:w="11900" w:h="16838" w:orient="portrait"/>
          <w:cols w:equalWidth="0" w:num="1">
            <w:col w:w="11220"/>
          </w:cols>
          <w:pgMar w:left="340" w:top="133" w:right="339" w:bottom="3"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79"/>
        </w:trPr>
        <w:tc>
          <w:tcPr>
            <w:tcW w:w="502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auto"/>
              </w:rPr>
              <w:t>Other Financial Information: Adjusted Free Cash Flow</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880" w:type="dxa"/>
            <w:vAlign w:val="bottom"/>
          </w:tcPr>
          <w:p>
            <w:pPr>
              <w:spacing w:after="0"/>
              <w:rPr>
                <w:sz w:val="24"/>
                <w:szCs w:val="24"/>
                <w:color w:val="auto"/>
              </w:rPr>
            </w:pPr>
          </w:p>
        </w:tc>
        <w:tc>
          <w:tcPr>
            <w:tcW w:w="2140" w:type="dxa"/>
            <w:vAlign w:val="bottom"/>
            <w:gridSpan w:val="5"/>
          </w:tcPr>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 the three months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21"/>
                <w:szCs w:val="21"/>
                <w:b w:val="1"/>
                <w:bCs w:val="1"/>
                <w:color w:val="auto"/>
              </w:rPr>
              <w:t>For the six months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gridSpan w:val="4"/>
          </w:tcPr>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ended</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3"/>
          </w:tcPr>
          <w:p>
            <w:pPr>
              <w:jc w:val="center"/>
              <w:ind w:left="474"/>
              <w:spacing w:after="0"/>
              <w:rPr>
                <w:sz w:val="20"/>
                <w:szCs w:val="20"/>
                <w:color w:val="auto"/>
              </w:rPr>
            </w:pPr>
            <w:r>
              <w:rPr>
                <w:rFonts w:ascii="Times New Roman" w:cs="Times New Roman" w:eastAsia="Times New Roman" w:hAnsi="Times New Roman"/>
                <w:sz w:val="21"/>
                <w:szCs w:val="21"/>
                <w:b w:val="1"/>
                <w:bCs w:val="1"/>
                <w:color w:val="auto"/>
              </w:rPr>
              <w:t>ended</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106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080" w:type="dxa"/>
            <w:vAlign w:val="bottom"/>
            <w:gridSpan w:val="2"/>
          </w:tcPr>
          <w:p>
            <w:pPr>
              <w:jc w:val="center"/>
              <w:ind w:right="10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1100" w:type="dxa"/>
            <w:vAlign w:val="bottom"/>
            <w:gridSpan w:val="3"/>
          </w:tcPr>
          <w:p>
            <w:pPr>
              <w:ind w:left="20"/>
              <w:spacing w:after="0" w:line="238" w:lineRule="exact"/>
              <w:rPr>
                <w:sz w:val="20"/>
                <w:szCs w:val="20"/>
                <w:color w:val="auto"/>
              </w:rPr>
            </w:pPr>
            <w:r>
              <w:rPr>
                <w:rFonts w:ascii="Times New Roman" w:cs="Times New Roman" w:eastAsia="Times New Roman" w:hAnsi="Times New Roman"/>
                <w:sz w:val="21"/>
                <w:szCs w:val="21"/>
                <w:b w:val="1"/>
                <w:bCs w:val="1"/>
                <w:color w:val="auto"/>
              </w:rPr>
              <w:t>November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21"/>
                <w:szCs w:val="21"/>
                <w:b w:val="1"/>
                <w:bCs w:val="1"/>
                <w:color w:val="auto"/>
              </w:rPr>
              <w:t>30,</w:t>
            </w: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30,</w:t>
            </w:r>
          </w:p>
        </w:tc>
        <w:tc>
          <w:tcPr>
            <w:tcW w:w="10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160" w:type="dxa"/>
            <w:vAlign w:val="bottom"/>
          </w:tcPr>
          <w:p>
            <w:pPr>
              <w:spacing w:after="0"/>
              <w:rPr>
                <w:sz w:val="22"/>
                <w:szCs w:val="22"/>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21"/>
                <w:szCs w:val="21"/>
                <w:b w:val="1"/>
                <w:bCs w:val="1"/>
                <w:color w:val="auto"/>
              </w:rPr>
              <w:t>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21"/>
                <w:szCs w:val="21"/>
                <w:b w:val="1"/>
                <w:bCs w:val="1"/>
                <w:color w:val="auto"/>
              </w:rPr>
              <w:t>30,</w:t>
            </w:r>
          </w:p>
        </w:tc>
        <w:tc>
          <w:tcPr>
            <w:tcW w:w="120" w:type="dxa"/>
            <w:vAlign w:val="bottom"/>
          </w:tcPr>
          <w:p>
            <w:pPr>
              <w:spacing w:after="0"/>
              <w:rPr>
                <w:sz w:val="22"/>
                <w:szCs w:val="22"/>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21"/>
                <w:szCs w:val="21"/>
                <w:b w:val="1"/>
                <w:bCs w:val="1"/>
                <w:color w:val="auto"/>
              </w:rPr>
              <w:t>Change</w:t>
            </w: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 Change</w:t>
            </w:r>
          </w:p>
        </w:tc>
        <w:tc>
          <w:tcPr>
            <w:tcW w:w="0" w:type="dxa"/>
            <w:vAlign w:val="bottom"/>
          </w:tcPr>
          <w:p>
            <w:pPr>
              <w:spacing w:after="0"/>
              <w:rPr>
                <w:sz w:val="1"/>
                <w:szCs w:val="1"/>
                <w:color w:val="auto"/>
              </w:rPr>
            </w:pPr>
          </w:p>
        </w:tc>
      </w:tr>
      <w:tr>
        <w:trPr>
          <w:trHeight w:val="280"/>
        </w:trPr>
        <w:tc>
          <w:tcPr>
            <w:tcW w:w="28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(In thousands of U.S. dollars)</w:t>
            </w:r>
          </w:p>
        </w:tc>
        <w:tc>
          <w:tcPr>
            <w:tcW w:w="160" w:type="dxa"/>
            <w:vAlign w:val="bottom"/>
          </w:tcPr>
          <w:p>
            <w:pPr>
              <w:spacing w:after="0"/>
              <w:rPr>
                <w:sz w:val="24"/>
                <w:szCs w:val="24"/>
                <w:color w:val="auto"/>
              </w:rPr>
            </w:pP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21"/>
                <w:szCs w:val="21"/>
                <w:b w:val="1"/>
                <w:bCs w:val="1"/>
                <w:color w:val="auto"/>
              </w:rPr>
              <w:t>2025</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2024</w:t>
            </w:r>
          </w:p>
        </w:tc>
        <w:tc>
          <w:tcPr>
            <w:tcW w:w="100" w:type="dxa"/>
            <w:vAlign w:val="bottom"/>
          </w:tcPr>
          <w:p>
            <w:pPr>
              <w:spacing w:after="0"/>
              <w:rPr>
                <w:sz w:val="24"/>
                <w:szCs w:val="24"/>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160" w:type="dxa"/>
            <w:vAlign w:val="bottom"/>
          </w:tcPr>
          <w:p>
            <w:pPr>
              <w:spacing w:after="0"/>
              <w:rPr>
                <w:sz w:val="24"/>
                <w:szCs w:val="24"/>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21"/>
                <w:szCs w:val="21"/>
                <w:b w:val="1"/>
                <w:bCs w:val="1"/>
                <w:color w:val="auto"/>
              </w:rPr>
              <w:t>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21"/>
                <w:szCs w:val="21"/>
                <w:b w:val="1"/>
                <w:bCs w:val="1"/>
                <w:color w:val="auto"/>
              </w:rPr>
              <w:t>2024</w:t>
            </w:r>
          </w:p>
        </w:tc>
        <w:tc>
          <w:tcPr>
            <w:tcW w:w="120" w:type="dxa"/>
            <w:vAlign w:val="bottom"/>
          </w:tcPr>
          <w:p>
            <w:pPr>
              <w:spacing w:after="0"/>
              <w:rPr>
                <w:sz w:val="24"/>
                <w:szCs w:val="24"/>
                <w:color w:val="auto"/>
              </w:rPr>
            </w:pPr>
          </w:p>
        </w:tc>
        <w:tc>
          <w:tcPr>
            <w:tcW w:w="1960" w:type="dxa"/>
            <w:vAlign w:val="bottom"/>
            <w:gridSpan w:val="3"/>
          </w:tcPr>
          <w:p>
            <w:pPr>
              <w:jc w:val="right"/>
              <w:ind w:right="274"/>
              <w:spacing w:after="0"/>
              <w:rPr>
                <w:sz w:val="20"/>
                <w:szCs w:val="20"/>
                <w:color w:val="auto"/>
              </w:rPr>
            </w:pPr>
            <w:r>
              <w:rPr>
                <w:rFonts w:ascii="Times New Roman" w:cs="Times New Roman" w:eastAsia="Times New Roman" w:hAnsi="Times New Roman"/>
                <w:sz w:val="21"/>
                <w:szCs w:val="21"/>
                <w:b w:val="1"/>
                <w:bCs w:val="1"/>
                <w:color w:val="auto"/>
              </w:rPr>
              <w:t>2025 vs. 2024</w:t>
            </w:r>
          </w:p>
        </w:tc>
        <w:tc>
          <w:tcPr>
            <w:tcW w:w="0" w:type="dxa"/>
            <w:vAlign w:val="bottom"/>
          </w:tcPr>
          <w:p>
            <w:pPr>
              <w:spacing w:after="0"/>
              <w:rPr>
                <w:sz w:val="1"/>
                <w:szCs w:val="1"/>
                <w:color w:val="auto"/>
              </w:rPr>
            </w:pPr>
          </w:p>
        </w:tc>
      </w:tr>
      <w:tr>
        <w:trPr>
          <w:trHeight w:val="206"/>
        </w:trPr>
        <w:tc>
          <w:tcPr>
            <w:tcW w:w="2880" w:type="dxa"/>
            <w:vAlign w:val="bottom"/>
          </w:tcPr>
          <w:p>
            <w:pPr>
              <w:spacing w:after="0" w:line="206" w:lineRule="exact"/>
              <w:rPr>
                <w:sz w:val="20"/>
                <w:szCs w:val="20"/>
                <w:color w:val="auto"/>
              </w:rPr>
            </w:pPr>
            <w:r>
              <w:rPr>
                <w:rFonts w:ascii="Times New Roman" w:cs="Times New Roman" w:eastAsia="Times New Roman" w:hAnsi="Times New Roman"/>
                <w:sz w:val="21"/>
                <w:szCs w:val="21"/>
                <w:color w:val="auto"/>
              </w:rPr>
              <w:t>Net cash used in operating</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activities</w:t>
            </w:r>
          </w:p>
        </w:tc>
        <w:tc>
          <w:tcPr>
            <w:tcW w:w="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(8,537)</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(40,724)</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$ 32,187</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10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(9,878)</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7"/>
              </w:rPr>
              <w:t>(76,031)</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$ 66,153</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Less: investments in capital and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intangible assets, net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(9,562)</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(4,833)</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(4,729)</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21"/>
                <w:szCs w:val="21"/>
                <w:color w:val="auto"/>
              </w:rPr>
              <w:t>98%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(18,792)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(11,541)</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(7,251)</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21"/>
                <w:szCs w:val="21"/>
                <w:color w:val="auto"/>
              </w:rPr>
              <w:t>63%</w:t>
            </w:r>
          </w:p>
        </w:tc>
        <w:tc>
          <w:tcPr>
            <w:tcW w:w="0" w:type="dxa"/>
            <w:vAlign w:val="bottom"/>
          </w:tcPr>
          <w:p>
            <w:pPr>
              <w:spacing w:after="0"/>
              <w:rPr>
                <w:sz w:val="1"/>
                <w:szCs w:val="1"/>
                <w:color w:val="auto"/>
              </w:rPr>
            </w:pPr>
          </w:p>
        </w:tc>
      </w:tr>
      <w:tr>
        <w:trPr>
          <w:trHeight w:val="258"/>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Free cash flow</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(18,099)</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(45,557)</w:t>
            </w:r>
          </w:p>
        </w:tc>
        <w:tc>
          <w:tcPr>
            <w:tcW w:w="1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$ 27,458</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w:t>
            </w: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(28,670)</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(87,572)</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$ 58,902</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Add: growth CAPEX</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2,622</w:t>
            </w:r>
          </w:p>
        </w:tc>
        <w:tc>
          <w:tcPr>
            <w:tcW w:w="1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1,970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652</w:t>
            </w:r>
          </w:p>
        </w:tc>
        <w:tc>
          <w:tcPr>
            <w:tcW w:w="1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5,631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4,510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1,121</w:t>
            </w:r>
          </w:p>
        </w:tc>
        <w:tc>
          <w:tcPr>
            <w:tcW w:w="10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21"/>
                <w:szCs w:val="21"/>
                <w:color w:val="auto"/>
              </w:rPr>
              <w:t>25%</w:t>
            </w:r>
          </w:p>
        </w:tc>
        <w:tc>
          <w:tcPr>
            <w:tcW w:w="0" w:type="dxa"/>
            <w:vAlign w:val="bottom"/>
          </w:tcPr>
          <w:p>
            <w:pPr>
              <w:spacing w:after="0"/>
              <w:rPr>
                <w:sz w:val="1"/>
                <w:szCs w:val="1"/>
                <w:color w:val="auto"/>
              </w:rPr>
            </w:pPr>
          </w:p>
        </w:tc>
      </w:tr>
      <w:tr>
        <w:trPr>
          <w:trHeight w:val="238"/>
        </w:trPr>
        <w:tc>
          <w:tcPr>
            <w:tcW w:w="2880" w:type="dxa"/>
            <w:vAlign w:val="bottom"/>
          </w:tcPr>
          <w:p>
            <w:pPr>
              <w:spacing w:after="0" w:line="238" w:lineRule="exact"/>
              <w:rPr>
                <w:sz w:val="20"/>
                <w:szCs w:val="20"/>
                <w:color w:val="auto"/>
              </w:rPr>
            </w:pPr>
            <w:r>
              <w:rPr>
                <w:rFonts w:ascii="Times New Roman" w:cs="Times New Roman" w:eastAsia="Times New Roman" w:hAnsi="Times New Roman"/>
                <w:sz w:val="21"/>
                <w:szCs w:val="21"/>
                <w:color w:val="auto"/>
              </w:rPr>
              <w:t>Add: cash paid for litigation</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settlements</w:t>
            </w: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1080" w:type="dxa"/>
            <w:vAlign w:val="bottom"/>
            <w:gridSpan w:val="2"/>
          </w:tcPr>
          <w:p>
            <w:pPr>
              <w:ind w:left="520"/>
              <w:spacing w:after="0"/>
              <w:rPr>
                <w:sz w:val="20"/>
                <w:szCs w:val="20"/>
                <w:color w:val="auto"/>
              </w:rPr>
            </w:pPr>
            <w:r>
              <w:rPr>
                <w:rFonts w:ascii="Times New Roman" w:cs="Times New Roman" w:eastAsia="Times New Roman" w:hAnsi="Times New Roman"/>
                <w:sz w:val="21"/>
                <w:szCs w:val="21"/>
                <w:color w:val="auto"/>
              </w:rPr>
              <w:t>NM</w:t>
            </w:r>
          </w:p>
        </w:tc>
        <w:tc>
          <w:tcPr>
            <w:tcW w:w="16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2,804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2,804</w:t>
            </w:r>
          </w:p>
        </w:tc>
        <w:tc>
          <w:tcPr>
            <w:tcW w:w="100" w:type="dxa"/>
            <w:vAlign w:val="bottom"/>
          </w:tcPr>
          <w:p>
            <w:pPr>
              <w:spacing w:after="0"/>
              <w:rPr>
                <w:sz w:val="24"/>
                <w:szCs w:val="24"/>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58"/>
        </w:trPr>
        <w:tc>
          <w:tcPr>
            <w:tcW w:w="2880" w:type="dxa"/>
            <w:vAlign w:val="bottom"/>
          </w:tcPr>
          <w:p>
            <w:pPr>
              <w:spacing w:after="0"/>
              <w:rPr>
                <w:sz w:val="20"/>
                <w:szCs w:val="20"/>
                <w:color w:val="auto"/>
              </w:rPr>
            </w:pPr>
            <w:r>
              <w:rPr>
                <w:rFonts w:ascii="Times New Roman" w:cs="Times New Roman" w:eastAsia="Times New Roman" w:hAnsi="Times New Roman"/>
                <w:sz w:val="21"/>
                <w:szCs w:val="21"/>
                <w:color w:val="auto"/>
              </w:rPr>
              <w:t>Adjusted free cash flow</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(15,477)</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(43,587)</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$ 28,110</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w w:val="9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(20,235)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7"/>
              </w:rPr>
              <w:t>(83,062)</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$ 62,827</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2026-01-08T15:24:58Z</dcterms:created>
  <dcterms:modified xsi:type="dcterms:W3CDTF">2026-01-08T15:24:58Z</dcterms:modified>
</cp:coreProperties>
</file>