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333-267788</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(to Prospectus dated October 7, 2022)</w:t>
      </w:r>
    </w:p>
    <w:p>
      <w:pPr>
        <w:spacing w:after="0" w:line="328" w:lineRule="exact"/>
        <w:rPr>
          <w:sz w:val="24"/>
          <w:szCs w:val="24"/>
          <w:color w:val="auto"/>
        </w:rPr>
      </w:pPr>
    </w:p>
    <w:p>
      <w:pPr>
        <w:ind w:left="3480"/>
        <w:spacing w:after="0"/>
        <w:rPr>
          <w:sz w:val="20"/>
          <w:szCs w:val="20"/>
          <w:color w:val="auto"/>
        </w:rPr>
      </w:pPr>
      <w:r>
        <w:rPr>
          <w:rFonts w:ascii="Arial" w:cs="Arial" w:eastAsia="Arial" w:hAnsi="Arial"/>
          <w:sz w:val="29"/>
          <w:szCs w:val="29"/>
          <w:b w:val="1"/>
          <w:bCs w:val="1"/>
          <w:color w:val="auto"/>
        </w:rPr>
        <w:t>1,708,521 Shares</w:t>
      </w:r>
    </w:p>
    <w:p>
      <w:pPr>
        <w:spacing w:after="0" w:line="36"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 </w:t>
      </w:r>
    </w:p>
    <w:p>
      <w:pPr>
        <w:spacing w:after="0" w:line="4" w:lineRule="exact"/>
        <w:rPr>
          <w:sz w:val="24"/>
          <w:szCs w:val="24"/>
          <w:color w:val="auto"/>
        </w:rPr>
      </w:pPr>
    </w:p>
    <w:p>
      <w:pPr>
        <w:ind w:left="3340"/>
        <w:spacing w:after="0"/>
        <w:rPr>
          <w:sz w:val="20"/>
          <w:szCs w:val="20"/>
          <w:color w:val="auto"/>
        </w:rPr>
      </w:pPr>
      <w:r>
        <w:rPr>
          <w:rFonts w:ascii="Arial" w:cs="Arial" w:eastAsia="Arial" w:hAnsi="Arial"/>
          <w:sz w:val="29"/>
          <w:szCs w:val="29"/>
          <w:b w:val="1"/>
          <w:bCs w:val="1"/>
          <w:color w:val="auto"/>
        </w:rPr>
        <w:t>Tilray Brands, Inc.</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 </w:t>
      </w:r>
    </w:p>
    <w:p>
      <w:pPr>
        <w:spacing w:after="0" w:line="4" w:lineRule="exact"/>
        <w:rPr>
          <w:sz w:val="24"/>
          <w:szCs w:val="24"/>
          <w:color w:val="auto"/>
        </w:rPr>
      </w:pPr>
    </w:p>
    <w:p>
      <w:pPr>
        <w:ind w:left="3080"/>
        <w:spacing w:after="0"/>
        <w:rPr>
          <w:sz w:val="20"/>
          <w:szCs w:val="20"/>
          <w:color w:val="auto"/>
        </w:rPr>
      </w:pPr>
      <w:r>
        <w:rPr>
          <w:rFonts w:ascii="Arial" w:cs="Arial" w:eastAsia="Arial" w:hAnsi="Arial"/>
          <w:sz w:val="29"/>
          <w:szCs w:val="29"/>
          <w:b w:val="1"/>
          <w:bCs w:val="1"/>
          <w:color w:val="auto"/>
        </w:rPr>
        <w:t>Class 2 Common Stock</w:t>
      </w:r>
    </w:p>
    <w:p>
      <w:pPr>
        <w:spacing w:after="0" w:line="314" w:lineRule="exact"/>
        <w:rPr>
          <w:sz w:val="24"/>
          <w:szCs w:val="24"/>
          <w:color w:val="auto"/>
        </w:rPr>
      </w:pPr>
    </w:p>
    <w:p>
      <w:pPr>
        <w:jc w:val="both"/>
        <w:ind w:left="400" w:right="419" w:firstLine="360"/>
        <w:spacing w:after="0" w:line="288" w:lineRule="auto"/>
        <w:rPr>
          <w:sz w:val="20"/>
          <w:szCs w:val="20"/>
          <w:color w:val="auto"/>
        </w:rPr>
      </w:pPr>
      <w:r>
        <w:rPr>
          <w:rFonts w:ascii="Arial" w:cs="Arial" w:eastAsia="Arial" w:hAnsi="Arial"/>
          <w:sz w:val="16"/>
          <w:szCs w:val="16"/>
          <w:color w:val="auto"/>
        </w:rPr>
        <w:t>This prospectus supplement supplements our prospectus dated October 7, 2022, and registers the resale of an aggregate of 1,708,521 shares of our Class 2 common stock, par value $0.0001 per share (“Common Stock”), held by the selling stockholders identified herein. The selling stockholders acquired these shares of Common Stock from us on November 7, 2022 in connection with our acquisition of Montauk Brewing Company, Inc. on November 7, 2022. The selling stockholders (which term as used herein includes their donees and pledgees, transferees or other successors in interest) may sell these shares through public or private transactions at market prices prevailing at the time of sale, at prices related to such market prices, at varying prices determined at the time of sale, at fixed prices or at negotiated prices. The timing and amount of any sale is within the sole discretion of the selling stockholders, subject to certain restrictions. See “Plan of Distribution” on page S-</w:t>
      </w:r>
      <w:r>
        <w:rPr>
          <w:rFonts w:ascii="Arial" w:cs="Arial" w:eastAsia="Arial" w:hAnsi="Arial"/>
          <w:sz w:val="16"/>
          <w:szCs w:val="16"/>
          <w:u w:val="single" w:color="auto"/>
          <w:color w:val="0000EE"/>
        </w:rPr>
        <w:t>9</w:t>
      </w:r>
      <w:r>
        <w:rPr>
          <w:rFonts w:ascii="Arial" w:cs="Arial" w:eastAsia="Arial" w:hAnsi="Arial"/>
          <w:sz w:val="16"/>
          <w:szCs w:val="16"/>
          <w:color w:val="auto"/>
        </w:rPr>
        <w:t xml:space="preserve"> of this prospectus supplement. We will not receive any proceeds from the sale of the shares by the selling stockholders.</w:t>
      </w:r>
    </w:p>
    <w:p>
      <w:pPr>
        <w:spacing w:after="0" w:line="276" w:lineRule="exact"/>
        <w:rPr>
          <w:sz w:val="24"/>
          <w:szCs w:val="24"/>
          <w:color w:val="auto"/>
        </w:rPr>
      </w:pPr>
    </w:p>
    <w:p>
      <w:pPr>
        <w:jc w:val="both"/>
        <w:ind w:left="400" w:right="419" w:firstLine="360"/>
        <w:spacing w:after="0" w:line="286" w:lineRule="auto"/>
        <w:rPr>
          <w:sz w:val="20"/>
          <w:szCs w:val="20"/>
          <w:color w:val="auto"/>
        </w:rPr>
      </w:pPr>
      <w:r>
        <w:rPr>
          <w:rFonts w:ascii="Arial" w:cs="Arial" w:eastAsia="Arial" w:hAnsi="Arial"/>
          <w:sz w:val="17"/>
          <w:szCs w:val="17"/>
          <w:color w:val="auto"/>
        </w:rPr>
        <w:t>Shares of our Common Stock are listed on The Nasdaq Global Select Market (“Nasdaq”) and the Toronto Stock Exchange (the “TSX”) under the trading symbol “TLRY”. On November 4, 2022, the last sale price of shares of our Common Stock was $3.81 per share on Nasdaq and C$5.14 per share on the TSX.</w:t>
      </w:r>
    </w:p>
    <w:p>
      <w:pPr>
        <w:spacing w:after="0" w:line="273" w:lineRule="exact"/>
        <w:rPr>
          <w:sz w:val="24"/>
          <w:szCs w:val="24"/>
          <w:color w:val="auto"/>
        </w:rPr>
      </w:pPr>
    </w:p>
    <w:p>
      <w:pPr>
        <w:jc w:val="both"/>
        <w:ind w:left="400" w:right="419" w:firstLine="360"/>
        <w:spacing w:after="0" w:line="263" w:lineRule="auto"/>
        <w:rPr>
          <w:sz w:val="20"/>
          <w:szCs w:val="20"/>
          <w:color w:val="auto"/>
        </w:rPr>
      </w:pPr>
      <w:r>
        <w:rPr>
          <w:rFonts w:ascii="Arial" w:cs="Arial" w:eastAsia="Arial" w:hAnsi="Arial"/>
          <w:sz w:val="18"/>
          <w:szCs w:val="18"/>
          <w:i w:val="1"/>
          <w:iCs w:val="1"/>
          <w:color w:val="auto"/>
        </w:rPr>
        <w:t>Investing in our Common Stock involves risks. See “Risk Factors” on page S-</w:t>
      </w:r>
      <w:r>
        <w:rPr>
          <w:rFonts w:ascii="Arial" w:cs="Arial" w:eastAsia="Arial" w:hAnsi="Arial"/>
          <w:sz w:val="18"/>
          <w:szCs w:val="18"/>
          <w:i w:val="1"/>
          <w:iCs w:val="1"/>
          <w:u w:val="single" w:color="auto"/>
          <w:color w:val="0000EE"/>
        </w:rPr>
        <w:t>3</w:t>
      </w:r>
      <w:r>
        <w:rPr>
          <w:rFonts w:ascii="Arial" w:cs="Arial" w:eastAsia="Arial" w:hAnsi="Arial"/>
          <w:sz w:val="18"/>
          <w:szCs w:val="18"/>
          <w:i w:val="1"/>
          <w:iCs w:val="1"/>
          <w:color w:val="auto"/>
        </w:rPr>
        <w:t xml:space="preserve"> of this prospectus supplement, and on page </w:t>
      </w:r>
      <w:r>
        <w:rPr>
          <w:rFonts w:ascii="Arial" w:cs="Arial" w:eastAsia="Arial" w:hAnsi="Arial"/>
          <w:sz w:val="18"/>
          <w:szCs w:val="18"/>
          <w:i w:val="1"/>
          <w:iCs w:val="1"/>
          <w:u w:val="single" w:color="auto"/>
          <w:color w:val="0000EE"/>
        </w:rPr>
        <w:t>4</w:t>
      </w:r>
      <w:r>
        <w:rPr>
          <w:rFonts w:ascii="Arial" w:cs="Arial" w:eastAsia="Arial" w:hAnsi="Arial"/>
          <w:sz w:val="18"/>
          <w:szCs w:val="18"/>
          <w:i w:val="1"/>
          <w:iCs w:val="1"/>
          <w:color w:val="auto"/>
        </w:rPr>
        <w:t xml:space="preserve"> of the accompanying prospectus, as well as our other filings that are incorporated by reference into this prospectus supplement and the accompanying prospectus.</w:t>
      </w:r>
    </w:p>
    <w:p>
      <w:pPr>
        <w:spacing w:after="0" w:line="288" w:lineRule="exact"/>
        <w:rPr>
          <w:sz w:val="24"/>
          <w:szCs w:val="24"/>
          <w:color w:val="auto"/>
        </w:rPr>
      </w:pPr>
    </w:p>
    <w:p>
      <w:pPr>
        <w:jc w:val="both"/>
        <w:ind w:left="400" w:right="41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This prospectus supplement is dated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60" w:type="dxa"/>
            <w:vAlign w:val="bottom"/>
            <w:gridSpan w:val="9"/>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ABOUT THIS PROSPECTUS SUPPLEMENT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0000EE"/>
                <w:w w:val="92"/>
              </w:rPr>
              <w:t>S-1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TILRAY BRANDS, INC.</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7"/>
          </w:tcPr>
          <w:p>
            <w:pPr>
              <w:jc w:val="center"/>
              <w:ind w:right="20"/>
              <w:spacing w:after="0"/>
              <w:rPr>
                <w:sz w:val="20"/>
                <w:szCs w:val="20"/>
                <w:color w:val="auto"/>
              </w:rPr>
            </w:pPr>
            <w:r>
              <w:rPr>
                <w:rFonts w:ascii="Arial" w:cs="Arial" w:eastAsia="Arial" w:hAnsi="Arial"/>
                <w:sz w:val="18"/>
                <w:szCs w:val="18"/>
                <w:color w:val="0000EE"/>
                <w:w w:val="92"/>
              </w:rPr>
              <w:t>S-2</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0000EE"/>
                <w:w w:val="92"/>
              </w:rPr>
              <w:t>S-3</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SPECIAL NOTE REGARDING FORWARD-LOOKING STATEMENTS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7"/>
          </w:tcPr>
          <w:p>
            <w:pPr>
              <w:jc w:val="center"/>
              <w:ind w:right="20"/>
              <w:spacing w:after="0"/>
              <w:rPr>
                <w:sz w:val="20"/>
                <w:szCs w:val="20"/>
                <w:color w:val="auto"/>
              </w:rPr>
            </w:pPr>
            <w:r>
              <w:rPr>
                <w:rFonts w:ascii="Arial" w:cs="Arial" w:eastAsia="Arial" w:hAnsi="Arial"/>
                <w:sz w:val="18"/>
                <w:szCs w:val="18"/>
                <w:color w:val="0000EE"/>
                <w:w w:val="92"/>
              </w:rPr>
              <w:t>S-4</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0000EE"/>
                <w:w w:val="92"/>
              </w:rPr>
              <w:t>S-7</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SELLING STOCKHOLDERS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7"/>
          </w:tcPr>
          <w:p>
            <w:pPr>
              <w:jc w:val="center"/>
              <w:ind w:right="20"/>
              <w:spacing w:after="0"/>
              <w:rPr>
                <w:sz w:val="20"/>
                <w:szCs w:val="20"/>
                <w:color w:val="auto"/>
              </w:rPr>
            </w:pPr>
            <w:r>
              <w:rPr>
                <w:rFonts w:ascii="Arial" w:cs="Arial" w:eastAsia="Arial" w:hAnsi="Arial"/>
                <w:sz w:val="18"/>
                <w:szCs w:val="18"/>
                <w:color w:val="0000EE"/>
                <w:w w:val="92"/>
              </w:rPr>
              <w:t>S-8</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0000EE"/>
                <w:w w:val="92"/>
              </w:rPr>
              <w:t>S-9</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LEGAL MATTERS</w:t>
            </w:r>
          </w:p>
        </w:tc>
        <w:tc>
          <w:tcPr>
            <w:tcW w:w="360" w:type="dxa"/>
            <w:vAlign w:val="bottom"/>
            <w:gridSpan w:val="9"/>
          </w:tcPr>
          <w:p>
            <w:pPr>
              <w:jc w:val="center"/>
              <w:ind w:right="20"/>
              <w:spacing w:after="0"/>
              <w:rPr>
                <w:sz w:val="20"/>
                <w:szCs w:val="20"/>
                <w:color w:val="auto"/>
              </w:rPr>
            </w:pPr>
            <w:r>
              <w:rPr>
                <w:rFonts w:ascii="Arial" w:cs="Arial" w:eastAsia="Arial" w:hAnsi="Arial"/>
                <w:sz w:val="18"/>
                <w:szCs w:val="18"/>
                <w:color w:val="0000EE"/>
                <w:w w:val="89"/>
              </w:rPr>
              <w:t>S-11</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EXPERTS</w:t>
            </w:r>
          </w:p>
        </w:tc>
        <w:tc>
          <w:tcPr>
            <w:tcW w:w="360" w:type="dxa"/>
            <w:vAlign w:val="bottom"/>
            <w:gridSpan w:val="9"/>
            <w:shd w:val="clear" w:color="auto" w:fill="CCEEFF"/>
          </w:tcPr>
          <w:p>
            <w:pPr>
              <w:jc w:val="center"/>
              <w:ind w:right="20"/>
              <w:spacing w:after="0"/>
              <w:rPr>
                <w:sz w:val="20"/>
                <w:szCs w:val="20"/>
                <w:color w:val="auto"/>
              </w:rPr>
            </w:pPr>
            <w:r>
              <w:rPr>
                <w:rFonts w:ascii="Arial" w:cs="Arial" w:eastAsia="Arial" w:hAnsi="Arial"/>
                <w:sz w:val="18"/>
                <w:szCs w:val="18"/>
                <w:color w:val="0000EE"/>
                <w:w w:val="89"/>
              </w:rPr>
              <w:t>S-11</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WHERE YOU CAN FIND MORE INFORMATION</w:t>
            </w:r>
          </w:p>
        </w:tc>
        <w:tc>
          <w:tcPr>
            <w:tcW w:w="360" w:type="dxa"/>
            <w:vAlign w:val="bottom"/>
            <w:gridSpan w:val="9"/>
          </w:tcPr>
          <w:p>
            <w:pPr>
              <w:jc w:val="center"/>
              <w:ind w:right="20"/>
              <w:spacing w:after="0"/>
              <w:rPr>
                <w:sz w:val="20"/>
                <w:szCs w:val="20"/>
                <w:color w:val="auto"/>
              </w:rPr>
            </w:pPr>
            <w:r>
              <w:rPr>
                <w:rFonts w:ascii="Arial" w:cs="Arial" w:eastAsia="Arial" w:hAnsi="Arial"/>
                <w:sz w:val="18"/>
                <w:szCs w:val="18"/>
                <w:color w:val="0000EE"/>
                <w:w w:val="89"/>
              </w:rPr>
              <w:t>S-11</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60" w:type="dxa"/>
            <w:vAlign w:val="bottom"/>
            <w:gridSpan w:val="9"/>
            <w:shd w:val="clear" w:color="auto" w:fill="CCEEFF"/>
          </w:tcPr>
          <w:p>
            <w:pPr>
              <w:jc w:val="center"/>
              <w:ind w:right="20"/>
              <w:spacing w:after="0"/>
              <w:rPr>
                <w:sz w:val="20"/>
                <w:szCs w:val="20"/>
                <w:color w:val="auto"/>
              </w:rPr>
            </w:pPr>
            <w:r>
              <w:rPr>
                <w:rFonts w:ascii="Arial" w:cs="Arial" w:eastAsia="Arial" w:hAnsi="Arial"/>
                <w:sz w:val="18"/>
                <w:szCs w:val="18"/>
                <w:color w:val="0000EE"/>
                <w:w w:val="89"/>
              </w:rPr>
              <w:t>S-12</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40"/>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40" w:type="dxa"/>
            <w:vAlign w:val="bottom"/>
            <w:gridSpan w:val="4"/>
          </w:tcPr>
          <w:p>
            <w:pPr>
              <w:ind w:left="360"/>
              <w:spacing w:after="0"/>
              <w:rPr>
                <w:sz w:val="20"/>
                <w:szCs w:val="20"/>
                <w:color w:val="auto"/>
              </w:rPr>
            </w:pPr>
            <w:r>
              <w:rPr>
                <w:rFonts w:ascii="Arial" w:cs="Arial" w:eastAsia="Arial" w:hAnsi="Arial"/>
                <w:sz w:val="18"/>
                <w:szCs w:val="18"/>
                <w:b w:val="1"/>
                <w:bCs w:val="1"/>
                <w:color w:val="auto"/>
              </w:rPr>
              <w:t>Prospectus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0000EE"/>
              </w:rPr>
              <w:t>ii</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PROSPECTUS SUMMARY</w:t>
            </w:r>
          </w:p>
        </w:tc>
        <w:tc>
          <w:tcPr>
            <w:tcW w:w="300" w:type="dxa"/>
            <w:vAlign w:val="bottom"/>
            <w:gridSpan w:val="7"/>
          </w:tcPr>
          <w:p>
            <w:pPr>
              <w:jc w:val="right"/>
              <w:ind w:right="20"/>
              <w:spacing w:after="0"/>
              <w:rPr>
                <w:sz w:val="20"/>
                <w:szCs w:val="20"/>
                <w:color w:val="auto"/>
              </w:rPr>
            </w:pPr>
            <w:r>
              <w:rPr>
                <w:rFonts w:ascii="Arial" w:cs="Arial" w:eastAsia="Arial" w:hAnsi="Arial"/>
                <w:sz w:val="18"/>
                <w:szCs w:val="18"/>
                <w:color w:val="0000EE"/>
              </w:rPr>
              <w:t>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3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0000EE"/>
              </w:rPr>
              <w:t>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SPECIAL NOTE REGARDING FORWARD-LOOKING STATEMENTS</w:t>
            </w:r>
          </w:p>
        </w:tc>
        <w:tc>
          <w:tcPr>
            <w:tcW w:w="300" w:type="dxa"/>
            <w:vAlign w:val="bottom"/>
            <w:gridSpan w:val="7"/>
          </w:tcPr>
          <w:p>
            <w:pPr>
              <w:jc w:val="right"/>
              <w:ind w:right="20"/>
              <w:spacing w:after="0"/>
              <w:rPr>
                <w:sz w:val="20"/>
                <w:szCs w:val="20"/>
                <w:color w:val="auto"/>
              </w:rPr>
            </w:pPr>
            <w:r>
              <w:rPr>
                <w:rFonts w:ascii="Arial" w:cs="Arial" w:eastAsia="Arial" w:hAnsi="Arial"/>
                <w:sz w:val="18"/>
                <w:szCs w:val="18"/>
                <w:color w:val="0000EE"/>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3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0000EE"/>
              </w:rPr>
              <w:t>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DESCRIPTION OF CAPITAL STOCK</w:t>
            </w:r>
          </w:p>
        </w:tc>
        <w:tc>
          <w:tcPr>
            <w:tcW w:w="300" w:type="dxa"/>
            <w:vAlign w:val="bottom"/>
            <w:gridSpan w:val="7"/>
          </w:tcPr>
          <w:p>
            <w:pPr>
              <w:jc w:val="right"/>
              <w:ind w:right="20"/>
              <w:spacing w:after="0"/>
              <w:rPr>
                <w:sz w:val="20"/>
                <w:szCs w:val="20"/>
                <w:color w:val="auto"/>
              </w:rPr>
            </w:pPr>
            <w:r>
              <w:rPr>
                <w:rFonts w:ascii="Arial" w:cs="Arial" w:eastAsia="Arial" w:hAnsi="Arial"/>
                <w:sz w:val="18"/>
                <w:szCs w:val="18"/>
                <w:color w:val="0000EE"/>
              </w:rPr>
              <w:t>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DESCRIPTION OF DEBT SECURITIES</w:t>
            </w:r>
          </w:p>
        </w:tc>
        <w:tc>
          <w:tcPr>
            <w:tcW w:w="34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0000EE"/>
                <w:w w:val="89"/>
              </w:rPr>
              <w:t>14</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DESCRIPTION OF WARRANTS</w:t>
            </w:r>
          </w:p>
        </w:tc>
        <w:tc>
          <w:tcPr>
            <w:tcW w:w="340" w:type="dxa"/>
            <w:vAlign w:val="bottom"/>
            <w:gridSpan w:val="8"/>
          </w:tcPr>
          <w:p>
            <w:pPr>
              <w:jc w:val="center"/>
              <w:spacing w:after="0"/>
              <w:rPr>
                <w:sz w:val="20"/>
                <w:szCs w:val="20"/>
                <w:color w:val="auto"/>
              </w:rPr>
            </w:pPr>
            <w:r>
              <w:rPr>
                <w:rFonts w:ascii="Arial" w:cs="Arial" w:eastAsia="Arial" w:hAnsi="Arial"/>
                <w:sz w:val="18"/>
                <w:szCs w:val="18"/>
                <w:color w:val="0000EE"/>
                <w:w w:val="89"/>
              </w:rPr>
              <w:t>20</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LEGAL OWNERSHIP OF SECURITIES</w:t>
            </w:r>
          </w:p>
        </w:tc>
        <w:tc>
          <w:tcPr>
            <w:tcW w:w="34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0000EE"/>
                <w:w w:val="89"/>
              </w:rPr>
              <w:t>22</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SELLING SECURITYHOLDERS</w:t>
            </w:r>
          </w:p>
        </w:tc>
        <w:tc>
          <w:tcPr>
            <w:tcW w:w="340" w:type="dxa"/>
            <w:vAlign w:val="bottom"/>
            <w:gridSpan w:val="8"/>
          </w:tcPr>
          <w:p>
            <w:pPr>
              <w:jc w:val="center"/>
              <w:spacing w:after="0"/>
              <w:rPr>
                <w:sz w:val="20"/>
                <w:szCs w:val="20"/>
                <w:color w:val="auto"/>
              </w:rPr>
            </w:pPr>
            <w:r>
              <w:rPr>
                <w:rFonts w:ascii="Arial" w:cs="Arial" w:eastAsia="Arial" w:hAnsi="Arial"/>
                <w:sz w:val="18"/>
                <w:szCs w:val="18"/>
                <w:color w:val="0000EE"/>
                <w:w w:val="89"/>
              </w:rPr>
              <w:t>24</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34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0000EE"/>
                <w:w w:val="89"/>
              </w:rPr>
              <w:t>25</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LEGAL MATTERS</w:t>
            </w:r>
          </w:p>
        </w:tc>
        <w:tc>
          <w:tcPr>
            <w:tcW w:w="340" w:type="dxa"/>
            <w:vAlign w:val="bottom"/>
            <w:gridSpan w:val="8"/>
          </w:tcPr>
          <w:p>
            <w:pPr>
              <w:jc w:val="center"/>
              <w:spacing w:after="0"/>
              <w:rPr>
                <w:sz w:val="20"/>
                <w:szCs w:val="20"/>
                <w:color w:val="auto"/>
              </w:rPr>
            </w:pPr>
            <w:r>
              <w:rPr>
                <w:rFonts w:ascii="Arial" w:cs="Arial" w:eastAsia="Arial" w:hAnsi="Arial"/>
                <w:sz w:val="18"/>
                <w:szCs w:val="18"/>
                <w:color w:val="0000EE"/>
                <w:w w:val="89"/>
              </w:rPr>
              <w:t>26</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EXPERTS</w:t>
            </w:r>
          </w:p>
        </w:tc>
        <w:tc>
          <w:tcPr>
            <w:tcW w:w="34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0000EE"/>
                <w:w w:val="89"/>
              </w:rPr>
              <w:t>26</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WHERE YOU CAN FIND MORE INFORMATION</w:t>
            </w:r>
          </w:p>
        </w:tc>
        <w:tc>
          <w:tcPr>
            <w:tcW w:w="340" w:type="dxa"/>
            <w:vAlign w:val="bottom"/>
            <w:gridSpan w:val="8"/>
          </w:tcPr>
          <w:p>
            <w:pPr>
              <w:jc w:val="center"/>
              <w:spacing w:after="0"/>
              <w:rPr>
                <w:sz w:val="20"/>
                <w:szCs w:val="20"/>
                <w:color w:val="auto"/>
              </w:rPr>
            </w:pPr>
            <w:r>
              <w:rPr>
                <w:rFonts w:ascii="Arial" w:cs="Arial" w:eastAsia="Arial" w:hAnsi="Arial"/>
                <w:sz w:val="18"/>
                <w:szCs w:val="18"/>
                <w:color w:val="0000EE"/>
                <w:w w:val="89"/>
              </w:rPr>
              <w:t>27</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4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0000EE"/>
                <w:w w:val="89"/>
              </w:rPr>
              <w:t>28</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-5982970</wp:posOffset>
            </wp:positionV>
            <wp:extent cx="93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-3102610</wp:posOffset>
            </wp:positionV>
            <wp:extent cx="111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October 7, 2022, we filed with the Securities and Exchange Commission (the “SEC”) a registration statement on Form S-3 (File No. 333-267788) (the “Registration Statement”) utilizing a shelf registration process relating to certain securities, including the securities described in this prospectus supplement, which Registration Statement became effective automatically upon filing.</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w:t>
      </w:r>
    </w:p>
    <w:p>
      <w:pPr>
        <w:spacing w:after="0" w:line="5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supplement and the accompanying prospectus. We have not authorized anyone to provide you with different or additional information. This prospectus supplement is an offer to sell only the securities offered hereby, but only under circumstances and in jurisdictions where it is lawful to do so.</w:t>
      </w:r>
    </w:p>
    <w:p>
      <w:pPr>
        <w:spacing w:after="0" w:line="7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TILRAY BRANDS, INC.</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 “Risk Factors” section beginning on page S-</w:t>
      </w:r>
      <w:r>
        <w:rPr>
          <w:rFonts w:ascii="Arial" w:cs="Arial" w:eastAsia="Arial" w:hAnsi="Arial"/>
          <w:sz w:val="16"/>
          <w:szCs w:val="16"/>
          <w:i w:val="1"/>
          <w:iCs w:val="1"/>
          <w:u w:val="single" w:color="auto"/>
          <w:color w:val="0000EE"/>
        </w:rPr>
        <w:t>3</w:t>
      </w:r>
      <w:r>
        <w:rPr>
          <w:rFonts w:ascii="Arial" w:cs="Arial" w:eastAsia="Arial" w:hAnsi="Arial"/>
          <w:sz w:val="16"/>
          <w:szCs w:val="16"/>
          <w:i w:val="1"/>
          <w:iCs w:val="1"/>
          <w:color w:val="auto"/>
        </w:rPr>
        <w:t xml:space="preserve"> and in the documents incorporated by reference and our consolidated financial statements and the related notes incorporated by reference in this prospectus supplement and the accompanying prospectus, before deciding to invest in our Common Stock. Unless the context otherwise requires, we use the terms “Tilray,” “Company,” “we,” “us” and “our” in this prospectus supplement and the accompanying prospectus to refer to Tilray Brands, Inc. and, where appropriate, our consolidated subsidiaries.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Tilray is a leading global cannabis-lifestyle and consumer packaged goods company with operations in Canada, the United States, Europe, Australia,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unprecedented production platform supports over 20 brands in over 20 countries, including comprehensive cannabis offerings, hemp-based foods, and alcoholic beverages.</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December 12, 2019, Privateer Holdings merged with and into a wholly owned subsidiary of Tilray pursuant to the agreement and plan of merger and reorganization.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Pursuant to an arrangement agreement, dated as of December 15, 2020, as amended on February 19, 2021, between Tilray and Aphria Inc. (“Aphria”), Tilray implemented an arrangement (the “Arrangement”) under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(Ontario) in accordance with a plan of arrangement. The Arrangement was completed 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2021.</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4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described under the section entitled “Risk Factors” contained in our most recent annual report on Form 10-K, as amended, as well as any amendments thereto reflected in subsequent filings with the SEC, which are incorporated by reference into this prospectus supplement, together with other information in this prospectus supplement and the accompanying prospectus (including the documents incorporated by reference herein and therein).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28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79" w:lineRule="exact"/>
        <w:rPr>
          <w:sz w:val="20"/>
          <w:szCs w:val="20"/>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estimates of our financial information, including in respect of expected revenues, margins, cash flow, profitability, and production of cannabis;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estimates of future costs applicable to sales, future capital expenditures, future cost reductions, and projected synergies including pre-tax synergies, cost savings and efficiencies;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 to have scalable medical and adult-use cannabis platforms to strengthen the leadership position in Canada, internationally, and eventually in the United States;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being well positioned in the European cannabis markets and our ability to leverage our current European platforms;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and financial benefits in connection with the Arrangement;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legalization of cannabis in the United States and us being well positioned to compete in the United States market;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become the world’s leading cannabis-focused consumer branded company with $4 billion of revenue by 2024;</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projected growth in our market share and growth in the European Union market;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 to offer a diversified and branded product offering and distribution footprint, world-class cultivation, processing and manufacturing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49" w:lineRule="exact"/>
        <w:rPr>
          <w:sz w:val="20"/>
          <w:szCs w:val="20"/>
          <w:color w:val="auto"/>
        </w:rPr>
      </w:pPr>
    </w:p>
    <w:p>
      <w:pPr>
        <w:jc w:val="both"/>
        <w:ind w:left="1000" w:right="319" w:hanging="34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recently closed on an investment and certain transactions with HEXO Corp. (“HEXO”) and we face uncertainty with respect to our ability to realize a return on our investment and achieve expected production efficiencies and cost savings in connection with the commercial transactions with HEXO as well as the MedMen investment;</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is dependent upon regulatory approvals and licenses, ongoing compliance and reporting obligations, and timely renewals;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face intense competition, and anticipate competition will increase, which could hurt our business;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regulations constrain our ability to market and distribute our products in Canada;</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United States regulations relating to hemp-derived CBD products are new and rapidly evolving, and changes may not develop in the timeframe or manner most favorable to our business objectives;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consumer preferences or public attitudes about alcohol could decrease demand for our beverage alcohol products;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SW Brewing Company, LLC and Double Diamond Distillery LLC (d/b/a Breckenridge Distillery) each face substantial competition in the beer industry and the broader market for alcoholic beverage products which could impact our business and financial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litigation, arbitration and demands, which could result in significant liability and costs, and impact our resources and reputation;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strategic alliances and other third-party business relationships may not achieve the intended beneficial impact and expose us to risks;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risks inherent in an agricultural business, including the risk of crop failure;</w:t>
      </w:r>
    </w:p>
    <w:p>
      <w:pPr>
        <w:spacing w:after="0" w:line="117"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products may be subject to recalls for a variety of reasons, which could require us to expend significant management and capital resources;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may not be able to successfully establish and maintain effective internal controls over financial reporting;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of our common stock in public markets has experienced and may continue to experience severe volatility and fluctuations;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have the ability to raise the funds necessary to settle conversions of the convertible securities in cash or to repurchase the convertible securities upon a fundamental change;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other risks generally applicable to our industry and the conduct of our business.</w:t>
      </w:r>
    </w:p>
    <w:p>
      <w:pPr>
        <w:spacing w:after="0" w:line="12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5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amended, as well as any amendments thereto reflected in subsequent filings with the SEC and in our other filings that are incorporated by reference into this prospectus supplement and the accompanying prospectus.</w:t>
      </w:r>
    </w:p>
    <w:p>
      <w:pPr>
        <w:spacing w:after="0" w:line="8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All of the shares of Common Stock being offered hereby are being sold by the selling stockholders identified in this prospectus supplement. We will not receive any proceeds from the sale of securities by the selling stockholders. We will bear the out-of-pocket costs, expenses and fees incurred in connection with the registration of the shares to be sold by the selling stockholders, including registration, listing fees, printers and accounting fees and fees and disbursements of counsel (collectively, the “Registration Expenses”). Other than Registration Expenses, the selling stockholders will bear any selling discounts, commissions, placement agent fees or other similar expenses payable with respect to sales of shares.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Up to 1,708,521 shares of our Common Stock are being offered, all of which are being offered for resale for the account of the selling stockholders. The selling stockholders acquired the shares of Common Stock from us on November 7, 2022 in connection with our acquisition of Montauk Brewing Company, Inc. on November 7, 2022. The selling stockholders may from time to time offer and sell pursuant to this prospectus supplement any or all of the shares of our Common Stock being registered.</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table below sets forth certain information known to us with respect to the beneficial ownership of our shares of Common Stock held by the selling stockholders. Because the selling stockholders may sell, transfer or otherwise dispose of all, some or none of the shares of our Common Stock covered by this prospectus supplement, we cannot determine the number of such shares that will be sold, transferred or otherwise disposed of by the selling stockholders, or the amount or percentage of shares of our Common Stock that will be held by the selling stockholders upon termination of any particular offering. See the section entitled “Plan of Distribution.” For purposes of the table below, we assume that the selling stockholders will sell all their shares of Common Stock covered by this prospectus supplement.</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the table below, the percentage of shares beneficially owned is based on approximately 611,402,319 shares of our Common Stock outstanding as of October 4, 2022, determined in accordance with Rule 13d-3 under the Exchange Act. Under such rule, beneficial ownership includes any shares over which a selling stockholder has sole or shared voting power or investment power and also any shares that such selling stockholder has the right to acquire within 60 days of such date through the exercise of any options or other rights. Except as otherwise indicated, we believe that the selling stockholders have sole voting and investment power with respect to all shares of the Common Stock shown as beneficially owned by it. The beneficial ownership information presented in this table is not necessarily indicative of beneficial ownership for any other purpose.</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Maximum Number of</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Common Shares to be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Sold by the Selling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by the Selling</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Stockholders Pursuant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Stockholders After</w:t>
            </w: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Stockholder*</w:t>
            </w:r>
          </w:p>
        </w:tc>
        <w:tc>
          <w:tcPr>
            <w:tcW w:w="1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to this Prospectus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Giving Effect to the</w:t>
            </w:r>
          </w:p>
        </w:tc>
        <w:tc>
          <w:tcPr>
            <w:tcW w:w="0" w:type="dxa"/>
            <w:vAlign w:val="bottom"/>
          </w:tcPr>
          <w:p>
            <w:pPr>
              <w:spacing w:after="0"/>
              <w:rPr>
                <w:sz w:val="1"/>
                <w:szCs w:val="1"/>
                <w:color w:val="auto"/>
              </w:rPr>
            </w:pPr>
          </w:p>
        </w:tc>
      </w:tr>
      <w:tr>
        <w:trPr>
          <w:trHeight w:val="186"/>
        </w:trPr>
        <w:tc>
          <w:tcPr>
            <w:tcW w:w="3560" w:type="dxa"/>
            <w:vAlign w:val="bottom"/>
            <w:gridSpan w:val="2"/>
            <w:vMerge w:val="continue"/>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Currently Owned (#/%)</w:t>
            </w: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Supplement (#/%)</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Offering (#/%)</w:t>
            </w:r>
          </w:p>
        </w:tc>
        <w:tc>
          <w:tcPr>
            <w:tcW w:w="0" w:type="dxa"/>
            <w:vAlign w:val="bottom"/>
          </w:tcPr>
          <w:p>
            <w:pPr>
              <w:spacing w:after="0"/>
              <w:rPr>
                <w:sz w:val="1"/>
                <w:szCs w:val="1"/>
                <w:color w:val="auto"/>
              </w:rPr>
            </w:pPr>
          </w:p>
        </w:tc>
      </w:tr>
      <w:tr>
        <w:trPr>
          <w:trHeight w:val="53"/>
        </w:trPr>
        <w:tc>
          <w:tcPr>
            <w:tcW w:w="32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Woodrow Charles, LLC</w:t>
            </w:r>
          </w:p>
        </w:tc>
        <w:tc>
          <w:tcPr>
            <w:tcW w:w="1500" w:type="dxa"/>
            <w:vAlign w:val="bottom"/>
            <w:shd w:val="clear" w:color="auto" w:fill="CCEEFF"/>
          </w:tcPr>
          <w:p>
            <w:pPr>
              <w:jc w:val="right"/>
              <w:ind w:right="294"/>
              <w:spacing w:after="0" w:line="331" w:lineRule="exact"/>
              <w:rPr>
                <w:sz w:val="20"/>
                <w:szCs w:val="20"/>
                <w:color w:val="auto"/>
              </w:rPr>
            </w:pPr>
            <w:r>
              <w:rPr>
                <w:rFonts w:ascii="Arial" w:cs="Arial" w:eastAsia="Arial" w:hAnsi="Arial"/>
                <w:sz w:val="18"/>
                <w:szCs w:val="18"/>
                <w:color w:val="auto"/>
              </w:rPr>
              <w:t>698,833</w:t>
            </w:r>
            <w:r>
              <w:rPr>
                <w:rFonts w:ascii="Arial" w:cs="Arial" w:eastAsia="Arial" w:hAnsi="Arial"/>
                <w:sz w:val="29"/>
                <w:szCs w:val="29"/>
                <w:color w:val="auto"/>
                <w:vertAlign w:val="superscript"/>
              </w:rPr>
              <w: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6"/>
              <w:spacing w:after="0" w:line="331" w:lineRule="exact"/>
              <w:rPr>
                <w:sz w:val="20"/>
                <w:szCs w:val="20"/>
                <w:color w:val="auto"/>
              </w:rPr>
            </w:pPr>
            <w:r>
              <w:rPr>
                <w:rFonts w:ascii="Arial" w:cs="Arial" w:eastAsia="Arial" w:hAnsi="Arial"/>
                <w:sz w:val="18"/>
                <w:szCs w:val="18"/>
                <w:color w:val="auto"/>
              </w:rPr>
              <w:t>698,833</w:t>
            </w:r>
            <w:r>
              <w:rPr>
                <w:rFonts w:ascii="Arial" w:cs="Arial" w:eastAsia="Arial" w:hAnsi="Arial"/>
                <w:sz w:val="29"/>
                <w:szCs w:val="29"/>
                <w:color w:val="auto"/>
                <w:vertAlign w:val="superscript"/>
              </w:rPr>
              <w:t>*</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David Seldin</w:t>
            </w:r>
          </w:p>
        </w:tc>
        <w:tc>
          <w:tcPr>
            <w:tcW w:w="1500" w:type="dxa"/>
            <w:vAlign w:val="bottom"/>
          </w:tcPr>
          <w:p>
            <w:pPr>
              <w:jc w:val="right"/>
              <w:ind w:right="294"/>
              <w:spacing w:after="0" w:line="324" w:lineRule="exact"/>
              <w:rPr>
                <w:sz w:val="20"/>
                <w:szCs w:val="20"/>
                <w:color w:val="auto"/>
              </w:rPr>
            </w:pPr>
            <w:r>
              <w:rPr>
                <w:rFonts w:ascii="Arial" w:cs="Arial" w:eastAsia="Arial" w:hAnsi="Arial"/>
                <w:sz w:val="18"/>
                <w:szCs w:val="18"/>
                <w:color w:val="auto"/>
              </w:rPr>
              <w:t>155,459</w:t>
            </w:r>
            <w:r>
              <w:rPr>
                <w:rFonts w:ascii="Arial" w:cs="Arial" w:eastAsia="Arial" w:hAnsi="Arial"/>
                <w:sz w:val="29"/>
                <w:szCs w:val="29"/>
                <w:color w:val="auto"/>
                <w:vertAlign w:val="superscript"/>
              </w:rPr>
              <w:t>*</w:t>
            </w:r>
          </w:p>
        </w:tc>
        <w:tc>
          <w:tcPr>
            <w:tcW w:w="320" w:type="dxa"/>
            <w:vAlign w:val="bottom"/>
          </w:tcPr>
          <w:p>
            <w:pPr>
              <w:spacing w:after="0"/>
              <w:rPr>
                <w:sz w:val="24"/>
                <w:szCs w:val="24"/>
                <w:color w:val="auto"/>
              </w:rPr>
            </w:pPr>
          </w:p>
        </w:tc>
        <w:tc>
          <w:tcPr>
            <w:tcW w:w="1400" w:type="dxa"/>
            <w:vAlign w:val="bottom"/>
          </w:tcPr>
          <w:p>
            <w:pPr>
              <w:jc w:val="right"/>
              <w:ind w:right="236"/>
              <w:spacing w:after="0" w:line="324" w:lineRule="exact"/>
              <w:rPr>
                <w:sz w:val="20"/>
                <w:szCs w:val="20"/>
                <w:color w:val="auto"/>
              </w:rPr>
            </w:pPr>
            <w:r>
              <w:rPr>
                <w:rFonts w:ascii="Arial" w:cs="Arial" w:eastAsia="Arial" w:hAnsi="Arial"/>
                <w:sz w:val="18"/>
                <w:szCs w:val="18"/>
                <w:color w:val="auto"/>
              </w:rPr>
              <w:t>155,459</w:t>
            </w:r>
            <w:r>
              <w:rPr>
                <w:rFonts w:ascii="Arial" w:cs="Arial" w:eastAsia="Arial" w:hAnsi="Arial"/>
                <w:sz w:val="29"/>
                <w:szCs w:val="29"/>
                <w:color w:val="auto"/>
                <w:vertAlign w:val="superscript"/>
              </w:rPr>
              <w:t>*</w:t>
            </w:r>
          </w:p>
        </w:tc>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O’Brien</w:t>
            </w:r>
          </w:p>
        </w:tc>
        <w:tc>
          <w:tcPr>
            <w:tcW w:w="1500" w:type="dxa"/>
            <w:vAlign w:val="bottom"/>
            <w:shd w:val="clear" w:color="auto" w:fill="CCEEFF"/>
          </w:tcPr>
          <w:p>
            <w:pPr>
              <w:jc w:val="right"/>
              <w:ind w:right="294"/>
              <w:spacing w:after="0" w:line="324" w:lineRule="exact"/>
              <w:rPr>
                <w:sz w:val="20"/>
                <w:szCs w:val="20"/>
                <w:color w:val="auto"/>
              </w:rPr>
            </w:pPr>
            <w:r>
              <w:rPr>
                <w:rFonts w:ascii="Arial" w:cs="Arial" w:eastAsia="Arial" w:hAnsi="Arial"/>
                <w:sz w:val="18"/>
                <w:szCs w:val="18"/>
                <w:color w:val="auto"/>
              </w:rPr>
              <w:t>126,581</w:t>
            </w:r>
            <w:r>
              <w:rPr>
                <w:rFonts w:ascii="Arial" w:cs="Arial" w:eastAsia="Arial" w:hAnsi="Arial"/>
                <w:sz w:val="29"/>
                <w:szCs w:val="29"/>
                <w:color w:val="auto"/>
                <w:vertAlign w:val="superscript"/>
              </w:rPr>
              <w: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6"/>
              <w:spacing w:after="0" w:line="324" w:lineRule="exact"/>
              <w:rPr>
                <w:sz w:val="20"/>
                <w:szCs w:val="20"/>
                <w:color w:val="auto"/>
              </w:rPr>
            </w:pPr>
            <w:r>
              <w:rPr>
                <w:rFonts w:ascii="Arial" w:cs="Arial" w:eastAsia="Arial" w:hAnsi="Arial"/>
                <w:sz w:val="18"/>
                <w:szCs w:val="18"/>
                <w:color w:val="auto"/>
              </w:rPr>
              <w:t>126,581</w:t>
            </w:r>
            <w:r>
              <w:rPr>
                <w:rFonts w:ascii="Arial" w:cs="Arial" w:eastAsia="Arial" w:hAnsi="Arial"/>
                <w:sz w:val="29"/>
                <w:szCs w:val="29"/>
                <w:color w:val="auto"/>
                <w:vertAlign w:val="superscript"/>
              </w:rPr>
              <w:t>*</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Jay Galluzzo</w:t>
            </w:r>
          </w:p>
        </w:tc>
        <w:tc>
          <w:tcPr>
            <w:tcW w:w="1500" w:type="dxa"/>
            <w:vAlign w:val="bottom"/>
          </w:tcPr>
          <w:p>
            <w:pPr>
              <w:jc w:val="right"/>
              <w:ind w:right="314"/>
              <w:spacing w:after="0" w:line="324" w:lineRule="exact"/>
              <w:rPr>
                <w:sz w:val="20"/>
                <w:szCs w:val="20"/>
                <w:color w:val="auto"/>
              </w:rPr>
            </w:pPr>
            <w:r>
              <w:rPr>
                <w:rFonts w:ascii="Arial" w:cs="Arial" w:eastAsia="Arial" w:hAnsi="Arial"/>
                <w:sz w:val="18"/>
                <w:szCs w:val="18"/>
                <w:color w:val="auto"/>
              </w:rPr>
              <w:t>114,777</w:t>
            </w:r>
            <w:r>
              <w:rPr>
                <w:rFonts w:ascii="Arial" w:cs="Arial" w:eastAsia="Arial" w:hAnsi="Arial"/>
                <w:sz w:val="29"/>
                <w:szCs w:val="29"/>
                <w:color w:val="auto"/>
                <w:vertAlign w:val="superscript"/>
              </w:rPr>
              <w:t>*</w:t>
            </w:r>
          </w:p>
        </w:tc>
        <w:tc>
          <w:tcPr>
            <w:tcW w:w="320" w:type="dxa"/>
            <w:vAlign w:val="bottom"/>
          </w:tcPr>
          <w:p>
            <w:pPr>
              <w:spacing w:after="0"/>
              <w:rPr>
                <w:sz w:val="24"/>
                <w:szCs w:val="24"/>
                <w:color w:val="auto"/>
              </w:rPr>
            </w:pPr>
          </w:p>
        </w:tc>
        <w:tc>
          <w:tcPr>
            <w:tcW w:w="1400" w:type="dxa"/>
            <w:vAlign w:val="bottom"/>
          </w:tcPr>
          <w:p>
            <w:pPr>
              <w:jc w:val="right"/>
              <w:ind w:right="256"/>
              <w:spacing w:after="0" w:line="324" w:lineRule="exact"/>
              <w:rPr>
                <w:sz w:val="20"/>
                <w:szCs w:val="20"/>
                <w:color w:val="auto"/>
              </w:rPr>
            </w:pPr>
            <w:r>
              <w:rPr>
                <w:rFonts w:ascii="Arial" w:cs="Arial" w:eastAsia="Arial" w:hAnsi="Arial"/>
                <w:sz w:val="18"/>
                <w:szCs w:val="18"/>
                <w:color w:val="auto"/>
              </w:rPr>
              <w:t>114,777</w:t>
            </w:r>
            <w:r>
              <w:rPr>
                <w:rFonts w:ascii="Arial" w:cs="Arial" w:eastAsia="Arial" w:hAnsi="Arial"/>
                <w:sz w:val="29"/>
                <w:szCs w:val="29"/>
                <w:color w:val="auto"/>
                <w:vertAlign w:val="superscript"/>
              </w:rPr>
              <w:t>*</w:t>
            </w:r>
          </w:p>
        </w:tc>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Montauk Monster, LLC</w:t>
            </w:r>
          </w:p>
        </w:tc>
        <w:tc>
          <w:tcPr>
            <w:tcW w:w="1500" w:type="dxa"/>
            <w:vAlign w:val="bottom"/>
            <w:shd w:val="clear" w:color="auto" w:fill="CCEEFF"/>
          </w:tcPr>
          <w:p>
            <w:pPr>
              <w:jc w:val="right"/>
              <w:ind w:right="294"/>
              <w:spacing w:after="0" w:line="324" w:lineRule="exact"/>
              <w:rPr>
                <w:sz w:val="20"/>
                <w:szCs w:val="20"/>
                <w:color w:val="auto"/>
              </w:rPr>
            </w:pPr>
            <w:r>
              <w:rPr>
                <w:rFonts w:ascii="Arial" w:cs="Arial" w:eastAsia="Arial" w:hAnsi="Arial"/>
                <w:sz w:val="18"/>
                <w:szCs w:val="18"/>
                <w:color w:val="auto"/>
              </w:rPr>
              <w:t>199,628</w:t>
            </w:r>
            <w:r>
              <w:rPr>
                <w:rFonts w:ascii="Arial" w:cs="Arial" w:eastAsia="Arial" w:hAnsi="Arial"/>
                <w:sz w:val="29"/>
                <w:szCs w:val="29"/>
                <w:color w:val="auto"/>
                <w:vertAlign w:val="superscript"/>
              </w:rPr>
              <w: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6"/>
              <w:spacing w:after="0" w:line="324" w:lineRule="exact"/>
              <w:rPr>
                <w:sz w:val="20"/>
                <w:szCs w:val="20"/>
                <w:color w:val="auto"/>
              </w:rPr>
            </w:pPr>
            <w:r>
              <w:rPr>
                <w:rFonts w:ascii="Arial" w:cs="Arial" w:eastAsia="Arial" w:hAnsi="Arial"/>
                <w:sz w:val="18"/>
                <w:szCs w:val="18"/>
                <w:color w:val="auto"/>
              </w:rPr>
              <w:t>199,628</w:t>
            </w:r>
            <w:r>
              <w:rPr>
                <w:rFonts w:ascii="Arial" w:cs="Arial" w:eastAsia="Arial" w:hAnsi="Arial"/>
                <w:sz w:val="29"/>
                <w:szCs w:val="29"/>
                <w:color w:val="auto"/>
                <w:vertAlign w:val="superscript"/>
              </w:rPr>
              <w:t>*</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Andrew Milstein</w:t>
            </w:r>
          </w:p>
        </w:tc>
        <w:tc>
          <w:tcPr>
            <w:tcW w:w="1500" w:type="dxa"/>
            <w:vAlign w:val="bottom"/>
          </w:tcPr>
          <w:p>
            <w:pPr>
              <w:jc w:val="right"/>
              <w:ind w:right="294"/>
              <w:spacing w:after="0" w:line="324" w:lineRule="exact"/>
              <w:rPr>
                <w:sz w:val="20"/>
                <w:szCs w:val="20"/>
                <w:color w:val="auto"/>
              </w:rPr>
            </w:pPr>
            <w:r>
              <w:rPr>
                <w:rFonts w:ascii="Arial" w:cs="Arial" w:eastAsia="Arial" w:hAnsi="Arial"/>
                <w:sz w:val="18"/>
                <w:szCs w:val="18"/>
                <w:color w:val="auto"/>
              </w:rPr>
              <w:t>141,544</w:t>
            </w:r>
            <w:r>
              <w:rPr>
                <w:rFonts w:ascii="Arial" w:cs="Arial" w:eastAsia="Arial" w:hAnsi="Arial"/>
                <w:sz w:val="29"/>
                <w:szCs w:val="29"/>
                <w:color w:val="auto"/>
                <w:vertAlign w:val="superscript"/>
              </w:rPr>
              <w:t>*</w:t>
            </w:r>
          </w:p>
        </w:tc>
        <w:tc>
          <w:tcPr>
            <w:tcW w:w="320" w:type="dxa"/>
            <w:vAlign w:val="bottom"/>
          </w:tcPr>
          <w:p>
            <w:pPr>
              <w:spacing w:after="0"/>
              <w:rPr>
                <w:sz w:val="24"/>
                <w:szCs w:val="24"/>
                <w:color w:val="auto"/>
              </w:rPr>
            </w:pPr>
          </w:p>
        </w:tc>
        <w:tc>
          <w:tcPr>
            <w:tcW w:w="1400" w:type="dxa"/>
            <w:vAlign w:val="bottom"/>
          </w:tcPr>
          <w:p>
            <w:pPr>
              <w:jc w:val="right"/>
              <w:ind w:right="236"/>
              <w:spacing w:after="0" w:line="324" w:lineRule="exact"/>
              <w:rPr>
                <w:sz w:val="20"/>
                <w:szCs w:val="20"/>
                <w:color w:val="auto"/>
              </w:rPr>
            </w:pPr>
            <w:r>
              <w:rPr>
                <w:rFonts w:ascii="Arial" w:cs="Arial" w:eastAsia="Arial" w:hAnsi="Arial"/>
                <w:sz w:val="18"/>
                <w:szCs w:val="18"/>
                <w:color w:val="auto"/>
              </w:rPr>
              <w:t>141,544</w:t>
            </w:r>
            <w:r>
              <w:rPr>
                <w:rFonts w:ascii="Arial" w:cs="Arial" w:eastAsia="Arial" w:hAnsi="Arial"/>
                <w:sz w:val="29"/>
                <w:szCs w:val="29"/>
                <w:color w:val="auto"/>
                <w:vertAlign w:val="superscript"/>
              </w:rPr>
              <w:t>*</w:t>
            </w:r>
          </w:p>
        </w:tc>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JKD Partners LLC</w:t>
            </w:r>
          </w:p>
        </w:tc>
        <w:tc>
          <w:tcPr>
            <w:tcW w:w="1500" w:type="dxa"/>
            <w:vAlign w:val="bottom"/>
            <w:shd w:val="clear" w:color="auto" w:fill="CCEEFF"/>
          </w:tcPr>
          <w:p>
            <w:pPr>
              <w:jc w:val="right"/>
              <w:ind w:right="314"/>
              <w:spacing w:after="0" w:line="324" w:lineRule="exact"/>
              <w:rPr>
                <w:sz w:val="20"/>
                <w:szCs w:val="20"/>
                <w:color w:val="auto"/>
              </w:rPr>
            </w:pPr>
            <w:r>
              <w:rPr>
                <w:rFonts w:ascii="Arial" w:cs="Arial" w:eastAsia="Arial" w:hAnsi="Arial"/>
                <w:sz w:val="18"/>
                <w:szCs w:val="18"/>
                <w:color w:val="auto"/>
              </w:rPr>
              <w:t>66,973</w:t>
            </w:r>
            <w:r>
              <w:rPr>
                <w:rFonts w:ascii="Arial" w:cs="Arial" w:eastAsia="Arial" w:hAnsi="Arial"/>
                <w:sz w:val="29"/>
                <w:szCs w:val="29"/>
                <w:color w:val="auto"/>
                <w:vertAlign w:val="superscript"/>
              </w:rPr>
              <w: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56"/>
              <w:spacing w:after="0" w:line="324" w:lineRule="exact"/>
              <w:rPr>
                <w:sz w:val="20"/>
                <w:szCs w:val="20"/>
                <w:color w:val="auto"/>
              </w:rPr>
            </w:pPr>
            <w:r>
              <w:rPr>
                <w:rFonts w:ascii="Arial" w:cs="Arial" w:eastAsia="Arial" w:hAnsi="Arial"/>
                <w:sz w:val="18"/>
                <w:szCs w:val="18"/>
                <w:color w:val="auto"/>
              </w:rPr>
              <w:t>66,973</w:t>
            </w:r>
            <w:r>
              <w:rPr>
                <w:rFonts w:ascii="Arial" w:cs="Arial" w:eastAsia="Arial" w:hAnsi="Arial"/>
                <w:sz w:val="29"/>
                <w:szCs w:val="29"/>
                <w:color w:val="auto"/>
                <w:vertAlign w:val="superscript"/>
              </w:rPr>
              <w:t>*</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Gerard &amp; Laura Cutillo</w:t>
            </w:r>
          </w:p>
        </w:tc>
        <w:tc>
          <w:tcPr>
            <w:tcW w:w="1500" w:type="dxa"/>
            <w:vAlign w:val="bottom"/>
          </w:tcPr>
          <w:p>
            <w:pPr>
              <w:jc w:val="right"/>
              <w:ind w:right="314"/>
              <w:spacing w:after="0" w:line="324" w:lineRule="exact"/>
              <w:rPr>
                <w:sz w:val="20"/>
                <w:szCs w:val="20"/>
                <w:color w:val="auto"/>
              </w:rPr>
            </w:pPr>
            <w:r>
              <w:rPr>
                <w:rFonts w:ascii="Arial" w:cs="Arial" w:eastAsia="Arial" w:hAnsi="Arial"/>
                <w:sz w:val="18"/>
                <w:szCs w:val="18"/>
                <w:color w:val="auto"/>
              </w:rPr>
              <w:t>40,171</w:t>
            </w:r>
            <w:r>
              <w:rPr>
                <w:rFonts w:ascii="Arial" w:cs="Arial" w:eastAsia="Arial" w:hAnsi="Arial"/>
                <w:sz w:val="29"/>
                <w:szCs w:val="29"/>
                <w:color w:val="auto"/>
                <w:vertAlign w:val="superscript"/>
              </w:rPr>
              <w:t>*</w:t>
            </w:r>
          </w:p>
        </w:tc>
        <w:tc>
          <w:tcPr>
            <w:tcW w:w="320" w:type="dxa"/>
            <w:vAlign w:val="bottom"/>
          </w:tcPr>
          <w:p>
            <w:pPr>
              <w:spacing w:after="0"/>
              <w:rPr>
                <w:sz w:val="24"/>
                <w:szCs w:val="24"/>
                <w:color w:val="auto"/>
              </w:rPr>
            </w:pPr>
          </w:p>
        </w:tc>
        <w:tc>
          <w:tcPr>
            <w:tcW w:w="1400" w:type="dxa"/>
            <w:vAlign w:val="bottom"/>
          </w:tcPr>
          <w:p>
            <w:pPr>
              <w:jc w:val="right"/>
              <w:ind w:right="256"/>
              <w:spacing w:after="0" w:line="324" w:lineRule="exact"/>
              <w:rPr>
                <w:sz w:val="20"/>
                <w:szCs w:val="20"/>
                <w:color w:val="auto"/>
              </w:rPr>
            </w:pPr>
            <w:r>
              <w:rPr>
                <w:rFonts w:ascii="Arial" w:cs="Arial" w:eastAsia="Arial" w:hAnsi="Arial"/>
                <w:sz w:val="18"/>
                <w:szCs w:val="18"/>
                <w:color w:val="auto"/>
              </w:rPr>
              <w:t>40,171</w:t>
            </w:r>
            <w:r>
              <w:rPr>
                <w:rFonts w:ascii="Arial" w:cs="Arial" w:eastAsia="Arial" w:hAnsi="Arial"/>
                <w:sz w:val="29"/>
                <w:szCs w:val="29"/>
                <w:color w:val="auto"/>
                <w:vertAlign w:val="superscript"/>
              </w:rPr>
              <w:t>*</w:t>
            </w:r>
          </w:p>
        </w:tc>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Hadley</w:t>
            </w:r>
          </w:p>
        </w:tc>
        <w:tc>
          <w:tcPr>
            <w:tcW w:w="1500" w:type="dxa"/>
            <w:vAlign w:val="bottom"/>
            <w:shd w:val="clear" w:color="auto" w:fill="CCEEFF"/>
          </w:tcPr>
          <w:p>
            <w:pPr>
              <w:jc w:val="right"/>
              <w:ind w:right="314"/>
              <w:spacing w:after="0" w:line="324" w:lineRule="exact"/>
              <w:rPr>
                <w:sz w:val="20"/>
                <w:szCs w:val="20"/>
                <w:color w:val="auto"/>
              </w:rPr>
            </w:pPr>
            <w:r>
              <w:rPr>
                <w:rFonts w:ascii="Arial" w:cs="Arial" w:eastAsia="Arial" w:hAnsi="Arial"/>
                <w:sz w:val="18"/>
                <w:szCs w:val="18"/>
                <w:color w:val="auto"/>
              </w:rPr>
              <w:t>17,092</w:t>
            </w:r>
            <w:r>
              <w:rPr>
                <w:rFonts w:ascii="Arial" w:cs="Arial" w:eastAsia="Arial" w:hAnsi="Arial"/>
                <w:sz w:val="29"/>
                <w:szCs w:val="29"/>
                <w:color w:val="auto"/>
                <w:vertAlign w:val="superscript"/>
              </w:rPr>
              <w: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56"/>
              <w:spacing w:after="0" w:line="324" w:lineRule="exact"/>
              <w:rPr>
                <w:sz w:val="20"/>
                <w:szCs w:val="20"/>
                <w:color w:val="auto"/>
              </w:rPr>
            </w:pPr>
            <w:r>
              <w:rPr>
                <w:rFonts w:ascii="Arial" w:cs="Arial" w:eastAsia="Arial" w:hAnsi="Arial"/>
                <w:sz w:val="18"/>
                <w:szCs w:val="18"/>
                <w:color w:val="auto"/>
              </w:rPr>
              <w:t>17,092</w:t>
            </w:r>
            <w:r>
              <w:rPr>
                <w:rFonts w:ascii="Arial" w:cs="Arial" w:eastAsia="Arial" w:hAnsi="Arial"/>
                <w:sz w:val="29"/>
                <w:szCs w:val="29"/>
                <w:color w:val="auto"/>
                <w:vertAlign w:val="superscript"/>
              </w:rPr>
              <w:t>*</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color w:val="auto"/>
              </w:rPr>
              <w:t>Stephan Finazzo</w:t>
            </w:r>
          </w:p>
        </w:tc>
        <w:tc>
          <w:tcPr>
            <w:tcW w:w="1500" w:type="dxa"/>
            <w:vAlign w:val="bottom"/>
          </w:tcPr>
          <w:p>
            <w:pPr>
              <w:jc w:val="right"/>
              <w:ind w:right="294"/>
              <w:spacing w:after="0" w:line="324" w:lineRule="exact"/>
              <w:rPr>
                <w:sz w:val="20"/>
                <w:szCs w:val="20"/>
                <w:color w:val="auto"/>
              </w:rPr>
            </w:pPr>
            <w:r>
              <w:rPr>
                <w:rFonts w:ascii="Arial" w:cs="Arial" w:eastAsia="Arial" w:hAnsi="Arial"/>
                <w:sz w:val="18"/>
                <w:szCs w:val="18"/>
                <w:color w:val="auto"/>
              </w:rPr>
              <w:t>105,667</w:t>
            </w:r>
            <w:r>
              <w:rPr>
                <w:rFonts w:ascii="Arial" w:cs="Arial" w:eastAsia="Arial" w:hAnsi="Arial"/>
                <w:sz w:val="29"/>
                <w:szCs w:val="29"/>
                <w:color w:val="auto"/>
                <w:vertAlign w:val="superscript"/>
              </w:rPr>
              <w:t>*</w:t>
            </w:r>
          </w:p>
        </w:tc>
        <w:tc>
          <w:tcPr>
            <w:tcW w:w="320" w:type="dxa"/>
            <w:vAlign w:val="bottom"/>
          </w:tcPr>
          <w:p>
            <w:pPr>
              <w:spacing w:after="0"/>
              <w:rPr>
                <w:sz w:val="24"/>
                <w:szCs w:val="24"/>
                <w:color w:val="auto"/>
              </w:rPr>
            </w:pPr>
          </w:p>
        </w:tc>
        <w:tc>
          <w:tcPr>
            <w:tcW w:w="1400" w:type="dxa"/>
            <w:vAlign w:val="bottom"/>
          </w:tcPr>
          <w:p>
            <w:pPr>
              <w:jc w:val="right"/>
              <w:ind w:right="236"/>
              <w:spacing w:after="0" w:line="324" w:lineRule="exact"/>
              <w:rPr>
                <w:sz w:val="20"/>
                <w:szCs w:val="20"/>
                <w:color w:val="auto"/>
              </w:rPr>
            </w:pPr>
            <w:r>
              <w:rPr>
                <w:rFonts w:ascii="Arial" w:cs="Arial" w:eastAsia="Arial" w:hAnsi="Arial"/>
                <w:sz w:val="18"/>
                <w:szCs w:val="18"/>
                <w:color w:val="auto"/>
              </w:rPr>
              <w:t>105,667</w:t>
            </w:r>
            <w:r>
              <w:rPr>
                <w:rFonts w:ascii="Arial" w:cs="Arial" w:eastAsia="Arial" w:hAnsi="Arial"/>
                <w:sz w:val="29"/>
                <w:szCs w:val="29"/>
                <w:color w:val="auto"/>
                <w:vertAlign w:val="superscript"/>
              </w:rPr>
              <w:t>*</w:t>
            </w:r>
          </w:p>
        </w:tc>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Hopper</w:t>
            </w:r>
          </w:p>
        </w:tc>
        <w:tc>
          <w:tcPr>
            <w:tcW w:w="1500" w:type="dxa"/>
            <w:vAlign w:val="bottom"/>
            <w:shd w:val="clear" w:color="auto" w:fill="CCEEFF"/>
          </w:tcPr>
          <w:p>
            <w:pPr>
              <w:jc w:val="right"/>
              <w:ind w:right="314"/>
              <w:spacing w:after="0" w:line="324" w:lineRule="exact"/>
              <w:rPr>
                <w:sz w:val="20"/>
                <w:szCs w:val="20"/>
                <w:color w:val="auto"/>
              </w:rPr>
            </w:pPr>
            <w:r>
              <w:rPr>
                <w:rFonts w:ascii="Arial" w:cs="Arial" w:eastAsia="Arial" w:hAnsi="Arial"/>
                <w:sz w:val="18"/>
                <w:szCs w:val="18"/>
                <w:color w:val="auto"/>
              </w:rPr>
              <w:t>41,796</w:t>
            </w:r>
            <w:r>
              <w:rPr>
                <w:rFonts w:ascii="Arial" w:cs="Arial" w:eastAsia="Arial" w:hAnsi="Arial"/>
                <w:sz w:val="29"/>
                <w:szCs w:val="29"/>
                <w:color w:val="auto"/>
                <w:vertAlign w:val="superscript"/>
              </w:rPr>
              <w: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56"/>
              <w:spacing w:after="0" w:line="324" w:lineRule="exact"/>
              <w:rPr>
                <w:sz w:val="20"/>
                <w:szCs w:val="20"/>
                <w:color w:val="auto"/>
              </w:rPr>
            </w:pPr>
            <w:r>
              <w:rPr>
                <w:rFonts w:ascii="Arial" w:cs="Arial" w:eastAsia="Arial" w:hAnsi="Arial"/>
                <w:sz w:val="18"/>
                <w:szCs w:val="18"/>
                <w:color w:val="auto"/>
              </w:rPr>
              <w:t>41,796</w:t>
            </w:r>
            <w:r>
              <w:rPr>
                <w:rFonts w:ascii="Arial" w:cs="Arial" w:eastAsia="Arial" w:hAnsi="Arial"/>
                <w:sz w:val="29"/>
                <w:szCs w:val="29"/>
                <w:color w:val="auto"/>
                <w:vertAlign w:val="superscript"/>
              </w:rPr>
              <w:t>*</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-2279650</wp:posOffset>
            </wp:positionV>
            <wp:extent cx="188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-2279650</wp:posOffset>
            </wp:positionV>
            <wp:extent cx="196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-2279650</wp:posOffset>
            </wp:positionV>
            <wp:extent cx="2057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selling stockholders may, from time to time, sell any or all of the shares of Common Stock beneficially owned by them and offered hereby. We will not receive any of the proceeds from the sale by the selling stockholders of the shares of Common Stock.</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selling stockholders of the Common Stock and any of their pledgees, assignees and successors-in-interest may, from time to time, sell any or all of their securities covered hereby on the principal trading market for the Common Stock or any other stock exchange, market or trading facility on which the Common Stock is traded or in private transactions. These sales may be at market prices prevailing at the time of sale, at prices related to such market prices, at varying prices determined at the time of sale, at fixed prices or at negotiated prices. The selling stockholders may use any one or more of the following methods when selling securities:</w:t>
      </w:r>
    </w:p>
    <w:p>
      <w:pPr>
        <w:spacing w:after="0" w:line="70"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Common Stock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shares of such Common Stock at a stipulated price per security;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addition, the selling stockholders may elect to make a pro rata in-kind distribution of shares of our Common Stock to their members, partners or stockholders pursuant to the registration statement of which this prospectus supplement forms a part by delivering a prospectus supplement. To the extent that such members, partners or stockholders are not affiliates of ours, such members, partners or stockholders would thereby receive freely tradeable shares of our Common Stock pursuant to the distribution through a registration statement.</w:t>
      </w:r>
    </w:p>
    <w:p>
      <w:pPr>
        <w:spacing w:after="0" w:line="5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if available, rather than under this prospectus supplement.</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Common Stock, from the purchaser) in amounts to be negotiated, but, except as set forth in a supplement to this prospectus supplement, in the case of an agency transaction not in excess of a customary brokerage commission in compliance with Financial Industry Regulatory Authority (“FINRA”) Rule 5110; and in the case of a principal transaction a markup or markdown in compliance with FINRA Rule 2121.</w:t>
      </w:r>
    </w:p>
    <w:p>
      <w:pPr>
        <w:spacing w:after="0" w:line="5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Common Stock short and deliver these shares to close out their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supplement, which securities such broker-dealer or other financial institution may resell pursuant to this prospectus supplement (as supplemented or amended to reflect such transaction).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w:t>
      </w:r>
    </w:p>
    <w:p>
      <w:pPr>
        <w:spacing w:after="0" w:line="6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Common Stock.</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supplement and the accompanying prospectus available to the selling stockholders and have informed it of the need to deliver a copy of this prospectus supplement and the accompanying prospectus to each purchaser at or prior to the time of the sale (including by compliance with Rule 172 under the Securities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validity of the securities offered by this prospectus supplement will be passed upon for us by DLA Piper LLP (US), New York, New York. Any underwriters, dealers or agents will also be advised about the validity of the securities and other legal matters by their own counsel.</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financial statements and management’s assessment of internal control over financial reporting (which is included in Management’s Report on Internal Control over Financial Reporting) incorporated in this prospectus supplement by reference to the Annual Report on Form 10-K/A for the year ended May 31, 2022 have been so incorporated in reliance on the report of PricewaterhouseCoopers LLP, an independent registered public accounting firm, given on the authority of said firm as experts in auditing and accounting.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This prospectus supplement is part of the Registration Statement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70" w:lineRule="exact"/>
        <w:rPr>
          <w:sz w:val="20"/>
          <w:szCs w:val="20"/>
          <w:color w:val="auto"/>
        </w:rPr>
      </w:pPr>
    </w:p>
    <w:p>
      <w:pPr>
        <w:jc w:val="both"/>
        <w:ind w:left="1000" w:right="319" w:hanging="348"/>
        <w:spacing w:after="0" w:line="263" w:lineRule="auto"/>
        <w:tabs>
          <w:tab w:leader="none" w:pos="1000" w:val="left"/>
        </w:tabs>
        <w:numPr>
          <w:ilvl w:val="0"/>
          <w:numId w:val="5"/>
        </w:numPr>
        <w:rPr>
          <w:rFonts w:ascii="Arial" w:cs="Arial" w:eastAsia="Arial" w:hAnsi="Arial"/>
          <w:sz w:val="18"/>
          <w:szCs w:val="18"/>
          <w:color w:val="0000EE"/>
        </w:rPr>
      </w:pPr>
      <w:hyperlink r:id="rId27">
        <w:r>
          <w:rPr>
            <w:rFonts w:ascii="Arial" w:cs="Arial" w:eastAsia="Arial" w:hAnsi="Arial"/>
            <w:sz w:val="18"/>
            <w:szCs w:val="18"/>
            <w:color w:val="auto"/>
          </w:rPr>
          <w:t xml:space="preserve">our Annual Report on Form 10-K for the fiscal year ended May 31, 2022, filed with the SEC on </w:t>
        </w:r>
        <w:r>
          <w:rPr>
            <w:rFonts w:ascii="Arial" w:cs="Arial" w:eastAsia="Arial" w:hAnsi="Arial"/>
            <w:sz w:val="18"/>
            <w:szCs w:val="18"/>
            <w:u w:val="single" w:color="auto"/>
            <w:color w:val="0000EE"/>
          </w:rPr>
          <w:t>July 28,</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2022</w:t>
        </w:r>
        <w:r>
          <w:rPr>
            <w:rFonts w:ascii="Arial" w:cs="Arial" w:eastAsia="Arial" w:hAnsi="Arial"/>
            <w:sz w:val="18"/>
            <w:szCs w:val="18"/>
            <w:color w:val="000000"/>
          </w:rPr>
          <w:t>, as amended by Form 10-K/A filed with the SEC on</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 xml:space="preserve">October 7, 2022 </w:t>
        </w:r>
      </w:hyperlink>
      <w:hyperlink r:id="rId27">
        <w:r>
          <w:rPr>
            <w:rFonts w:ascii="Arial" w:cs="Arial" w:eastAsia="Arial" w:hAnsi="Arial"/>
            <w:sz w:val="18"/>
            <w:szCs w:val="18"/>
            <w:color w:val="000000"/>
          </w:rPr>
          <w:t>(together, the “2021 Form 10-</w:t>
        </w:r>
      </w:hyperlink>
      <w:r>
        <w:rPr>
          <w:rFonts w:ascii="Arial" w:cs="Arial" w:eastAsia="Arial" w:hAnsi="Arial"/>
          <w:sz w:val="18"/>
          <w:szCs w:val="18"/>
          <w:color w:val="000000"/>
        </w:rPr>
        <w:t>K”);</w:t>
      </w:r>
    </w:p>
    <w:p>
      <w:pPr>
        <w:spacing w:after="0" w:line="75"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2021 Form 10-K from our definitive proxy statement on Schedule 14A, filed on </w:t>
      </w:r>
      <w:hyperlink r:id="rId29">
        <w:r>
          <w:rPr>
            <w:rFonts w:ascii="Arial" w:cs="Arial" w:eastAsia="Arial" w:hAnsi="Arial"/>
            <w:sz w:val="18"/>
            <w:szCs w:val="18"/>
            <w:u w:val="single" w:color="auto"/>
            <w:color w:val="0000EE"/>
          </w:rPr>
          <w:t>October 3, 2022</w:t>
        </w:r>
      </w:hyperlink>
      <w:r>
        <w:rPr>
          <w:rFonts w:ascii="Arial" w:cs="Arial" w:eastAsia="Arial" w:hAnsi="Arial"/>
          <w:sz w:val="18"/>
          <w:szCs w:val="18"/>
          <w:color w:val="auto"/>
        </w:rPr>
        <w:t>, as amended;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filed on </w:t>
      </w:r>
      <w:hyperlink r:id="rId30">
        <w:r>
          <w:rPr>
            <w:rFonts w:ascii="Arial" w:cs="Arial" w:eastAsia="Arial" w:hAnsi="Arial"/>
            <w:sz w:val="18"/>
            <w:szCs w:val="18"/>
            <w:u w:val="single" w:color="auto"/>
            <w:color w:val="0000EE"/>
          </w:rPr>
          <w:t>October 7,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31">
        <w:r>
          <w:rPr>
            <w:rFonts w:ascii="Arial" w:cs="Arial" w:eastAsia="Arial" w:hAnsi="Arial"/>
            <w:sz w:val="18"/>
            <w:szCs w:val="18"/>
            <w:u w:val="single" w:color="auto"/>
            <w:color w:val="0000EE"/>
          </w:rPr>
          <w:t>June 14, 2022</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June 16, 2022</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June 30, 2022</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July 12, 2022</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August 3,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 xml:space="preserve">September 1,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November 7,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62" w:lineRule="exact"/>
        <w:rPr>
          <w:rFonts w:ascii="Arial" w:cs="Arial" w:eastAsia="Arial" w:hAnsi="Arial"/>
          <w:sz w:val="18"/>
          <w:szCs w:val="18"/>
          <w:color w:val="0000EE"/>
        </w:rPr>
      </w:pPr>
    </w:p>
    <w:p>
      <w:pPr>
        <w:jc w:val="both"/>
        <w:ind w:left="1000" w:right="319" w:hanging="348"/>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description of our securities as set forth in our registration statement on Form 8-A/A (File No. 001-38594), filed with the SEC on </w:t>
      </w:r>
      <w:hyperlink r:id="rId38">
        <w:r>
          <w:rPr>
            <w:rFonts w:ascii="Arial" w:cs="Arial" w:eastAsia="Arial" w:hAnsi="Arial"/>
            <w:sz w:val="17"/>
            <w:szCs w:val="17"/>
            <w:u w:val="single" w:color="auto"/>
            <w:color w:val="0000EE"/>
          </w:rPr>
          <w:t>October 1, 2020</w:t>
        </w:r>
      </w:hyperlink>
      <w:r>
        <w:rPr>
          <w:rFonts w:ascii="Arial" w:cs="Arial" w:eastAsia="Arial" w:hAnsi="Arial"/>
          <w:sz w:val="17"/>
          <w:szCs w:val="17"/>
          <w:color w:val="auto"/>
        </w:rPr>
        <w:t>, pursuant to Section 12(b) of the Exchange Act, including any subsequent amendments or reports filed for the purpose of updating such description.</w:t>
      </w:r>
    </w:p>
    <w:p>
      <w:pPr>
        <w:spacing w:after="0" w:line="57" w:lineRule="exact"/>
        <w:rPr>
          <w:rFonts w:ascii="Arial" w:cs="Arial" w:eastAsia="Arial" w:hAnsi="Arial"/>
          <w:sz w:val="18"/>
          <w:szCs w:val="18"/>
          <w:color w:val="0000EE"/>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84" w:lineRule="exact"/>
        <w:rPr>
          <w:rFonts w:ascii="Arial" w:cs="Arial" w:eastAsia="Arial" w:hAnsi="Arial"/>
          <w:sz w:val="18"/>
          <w:szCs w:val="18"/>
          <w:color w:val="0000EE"/>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142"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Tilray Brands, Inc.</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265 Talbot Street West</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Leamington, Ontario, Canada</w:t>
      </w:r>
    </w:p>
    <w:p>
      <w:pPr>
        <w:spacing w:after="0" w:line="9" w:lineRule="exact"/>
        <w:rPr>
          <w:rFonts w:ascii="Arial" w:cs="Arial" w:eastAsia="Arial" w:hAnsi="Arial"/>
          <w:sz w:val="18"/>
          <w:szCs w:val="18"/>
          <w:color w:val="0000EE"/>
        </w:rPr>
      </w:pPr>
    </w:p>
    <w:p>
      <w:pPr>
        <w:ind w:left="4340" w:right="3959" w:hanging="398"/>
        <w:spacing w:after="0" w:line="605" w:lineRule="auto"/>
        <w:tabs>
          <w:tab w:leader="none" w:pos="4383" w:val="left"/>
        </w:tabs>
        <w:numPr>
          <w:ilvl w:val="0"/>
          <w:numId w:val="6"/>
        </w:numPr>
        <w:rPr>
          <w:rFonts w:ascii="Arial" w:cs="Arial" w:eastAsia="Arial" w:hAnsi="Arial"/>
          <w:sz w:val="16"/>
          <w:szCs w:val="16"/>
          <w:color w:val="auto"/>
        </w:rPr>
      </w:pPr>
      <w:r>
        <w:rPr>
          <w:rFonts w:ascii="Arial" w:cs="Arial" w:eastAsia="Arial" w:hAnsi="Arial"/>
          <w:sz w:val="16"/>
          <w:szCs w:val="16"/>
          <w:color w:val="auto"/>
        </w:rPr>
        <w:t>845-7291 S-12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180340</wp:posOffset>
            </wp:positionV>
            <wp:extent cx="2580005" cy="694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25800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Class 2 Common Stock</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left="400" w:right="419"/>
        <w:spacing w:after="0" w:line="257" w:lineRule="auto"/>
        <w:rPr>
          <w:sz w:val="20"/>
          <w:szCs w:val="20"/>
          <w:color w:val="auto"/>
        </w:rPr>
      </w:pPr>
      <w:r>
        <w:rPr>
          <w:rFonts w:ascii="Arial" w:cs="Arial" w:eastAsia="Arial" w:hAnsi="Arial"/>
          <w:sz w:val="18"/>
          <w:szCs w:val="18"/>
          <w:color w:val="auto"/>
        </w:rPr>
        <w:t>From time to time, we or selling securityholders may offer and sell any combination of the securities described in this prospectus, either individually or in combination with other securities. We or selling securityholders may also offer Class 2 common stock or preferred stock upon conversion of debt securities, Class 2 common stock upon conversion of preferred stock, or Class 2 common stock, preferred stock or debt securities upon the exercise of warrants.</w:t>
      </w:r>
    </w:p>
    <w:p>
      <w:pPr>
        <w:spacing w:after="0" w:line="188" w:lineRule="exact"/>
        <w:rPr>
          <w:sz w:val="20"/>
          <w:szCs w:val="20"/>
          <w:color w:val="auto"/>
        </w:rPr>
      </w:pPr>
    </w:p>
    <w:p>
      <w:pPr>
        <w:ind w:left="400" w:right="479"/>
        <w:spacing w:after="0" w:line="254" w:lineRule="auto"/>
        <w:rPr>
          <w:sz w:val="20"/>
          <w:szCs w:val="20"/>
          <w:color w:val="auto"/>
        </w:rPr>
      </w:pPr>
      <w:r>
        <w:rPr>
          <w:rFonts w:ascii="Arial" w:cs="Arial" w:eastAsia="Arial" w:hAnsi="Arial"/>
          <w:sz w:val="18"/>
          <w:szCs w:val="18"/>
          <w:color w:val="auto"/>
        </w:rPr>
        <w:t>Each time we sell securities pursuant to this prospectus, we will provide the specific terms of these offerings and securities in one or more prospectus supplements and attach it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195" w:lineRule="exact"/>
        <w:rPr>
          <w:sz w:val="20"/>
          <w:szCs w:val="20"/>
          <w:color w:val="auto"/>
        </w:rPr>
      </w:pPr>
    </w:p>
    <w:p>
      <w:pPr>
        <w:ind w:left="400" w:right="479"/>
        <w:spacing w:after="0" w:line="255" w:lineRule="auto"/>
        <w:rPr>
          <w:sz w:val="20"/>
          <w:szCs w:val="20"/>
          <w:color w:val="auto"/>
        </w:rPr>
      </w:pPr>
      <w:r>
        <w:rPr>
          <w:rFonts w:ascii="Arial" w:cs="Arial" w:eastAsia="Arial" w:hAnsi="Arial"/>
          <w:sz w:val="18"/>
          <w:szCs w:val="18"/>
          <w:color w:val="auto"/>
        </w:rPr>
        <w:t>Our Class 2 common stock is listed on The Nasdaq Global Select Market and the Toronto Stock Exchange under the trading symbol “TLRY.” On October 4, 2022, the last sale price of our Class 2 common stock was $3.00 per share on The Nasdaq Global Select Market and C$4.05 per share on the Toronto Stock Exchange. The applicable prospectus supplement will contain information, where applicable, as to other listings, if any, on The Nasdaq Global Select Market or other securities exchange of the securities covered by the applicable prospectus supplement.</w:t>
      </w:r>
    </w:p>
    <w:p>
      <w:pPr>
        <w:spacing w:after="0" w:line="192" w:lineRule="exact"/>
        <w:rPr>
          <w:sz w:val="20"/>
          <w:szCs w:val="20"/>
          <w:color w:val="auto"/>
        </w:rPr>
      </w:pPr>
    </w:p>
    <w:p>
      <w:pPr>
        <w:ind w:left="400" w:right="559"/>
        <w:spacing w:after="0" w:line="327" w:lineRule="auto"/>
        <w:rPr>
          <w:sz w:val="20"/>
          <w:szCs w:val="20"/>
          <w:color w:val="auto"/>
        </w:rPr>
      </w:pPr>
      <w:r>
        <w:rPr>
          <w:rFonts w:ascii="Arial" w:cs="Arial" w:eastAsia="Arial" w:hAnsi="Arial"/>
          <w:sz w:val="15"/>
          <w:szCs w:val="15"/>
          <w:b w:val="1"/>
          <w:bCs w:val="1"/>
          <w:i w:val="1"/>
          <w:iCs w:val="1"/>
          <w:color w:val="auto"/>
        </w:rPr>
        <w:t>Investing in our securities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36" w:lineRule="exact"/>
        <w:rPr>
          <w:sz w:val="20"/>
          <w:szCs w:val="20"/>
          <w:color w:val="auto"/>
        </w:rPr>
      </w:pPr>
    </w:p>
    <w:p>
      <w:pPr>
        <w:ind w:left="400" w:right="45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tbl>
      <w:tblPr>
        <w:tblLayout w:type="fixed"/>
        <w:tblInd w:w="300" w:type="dxa"/>
        <w:tblCellMar>
          <w:top w:w="0" w:type="dxa"/>
          <w:left w:w="0" w:type="dxa"/>
          <w:bottom w:w="0" w:type="dxa"/>
          <w:right w:w="0" w:type="dxa"/>
        </w:tblCellMar>
      </w:tblPr>
      <w:tr>
        <w:trPr>
          <w:trHeight w:val="161"/>
        </w:trPr>
        <w:tc>
          <w:tcPr>
            <w:tcW w:w="8220" w:type="dxa"/>
            <w:vAlign w:val="bottom"/>
            <w:gridSpan w:val="16"/>
          </w:tcPr>
          <w:p>
            <w:pPr>
              <w:spacing w:after="0"/>
              <w:rPr>
                <w:sz w:val="20"/>
                <w:szCs w:val="20"/>
                <w:color w:val="auto"/>
              </w:rPr>
            </w:pPr>
            <w:r>
              <w:rPr>
                <w:rFonts w:ascii="Arial" w:cs="Arial" w:eastAsia="Arial" w:hAnsi="Arial"/>
                <w:sz w:val="14"/>
                <w:szCs w:val="14"/>
                <w:b w:val="1"/>
                <w:bCs w:val="1"/>
                <w:color w:val="0000EE"/>
              </w:rPr>
              <w:t>TABLE OF CONTENTS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0000EE"/>
              </w:rPr>
              <w:t>ii</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PROSPECTUS SUMMARY</w:t>
            </w:r>
          </w:p>
        </w:tc>
        <w:tc>
          <w:tcPr>
            <w:tcW w:w="180" w:type="dxa"/>
            <w:vAlign w:val="bottom"/>
            <w:gridSpan w:val="2"/>
          </w:tcPr>
          <w:p>
            <w:pPr>
              <w:jc w:val="center"/>
              <w:spacing w:after="0"/>
              <w:rPr>
                <w:sz w:val="20"/>
                <w:szCs w:val="20"/>
                <w:color w:val="auto"/>
              </w:rPr>
            </w:pPr>
            <w:r>
              <w:rPr>
                <w:rFonts w:ascii="Arial" w:cs="Arial" w:eastAsia="Arial" w:hAnsi="Arial"/>
                <w:sz w:val="18"/>
                <w:szCs w:val="18"/>
                <w:color w:val="0000EE"/>
                <w:w w:val="99"/>
              </w:rPr>
              <w:t>1</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0000EE"/>
                <w:w w:val="99"/>
              </w:rPr>
              <w:t>4</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6"/>
          </w:tcPr>
          <w:p>
            <w:pPr>
              <w:spacing w:after="0"/>
              <w:rPr>
                <w:sz w:val="20"/>
                <w:szCs w:val="20"/>
                <w:color w:val="auto"/>
              </w:rPr>
            </w:pPr>
            <w:r>
              <w:rPr>
                <w:rFonts w:ascii="Arial" w:cs="Arial" w:eastAsia="Arial" w:hAnsi="Arial"/>
                <w:sz w:val="18"/>
                <w:szCs w:val="18"/>
                <w:color w:val="0000EE"/>
              </w:rPr>
              <w:t>SPECIAL NOTE REGARDING FORWARD-LOOKING STATEMENTS</w:t>
            </w:r>
          </w:p>
        </w:tc>
        <w:tc>
          <w:tcPr>
            <w:tcW w:w="180" w:type="dxa"/>
            <w:vAlign w:val="bottom"/>
            <w:gridSpan w:val="2"/>
          </w:tcPr>
          <w:p>
            <w:pPr>
              <w:jc w:val="center"/>
              <w:spacing w:after="0"/>
              <w:rPr>
                <w:sz w:val="20"/>
                <w:szCs w:val="20"/>
                <w:color w:val="auto"/>
              </w:rPr>
            </w:pPr>
            <w:r>
              <w:rPr>
                <w:rFonts w:ascii="Arial" w:cs="Arial" w:eastAsia="Arial" w:hAnsi="Arial"/>
                <w:sz w:val="18"/>
                <w:szCs w:val="18"/>
                <w:color w:val="0000EE"/>
                <w:w w:val="99"/>
              </w:rPr>
              <w:t>5</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0000EE"/>
                <w:w w:val="99"/>
              </w:rPr>
              <w:t>8</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DESCRIPTION OF CAPITAL STOCK</w:t>
            </w:r>
          </w:p>
        </w:tc>
        <w:tc>
          <w:tcPr>
            <w:tcW w:w="180" w:type="dxa"/>
            <w:vAlign w:val="bottom"/>
            <w:gridSpan w:val="2"/>
          </w:tcPr>
          <w:p>
            <w:pPr>
              <w:jc w:val="center"/>
              <w:spacing w:after="0"/>
              <w:rPr>
                <w:sz w:val="20"/>
                <w:szCs w:val="20"/>
                <w:color w:val="auto"/>
              </w:rPr>
            </w:pPr>
            <w:r>
              <w:rPr>
                <w:rFonts w:ascii="Arial" w:cs="Arial" w:eastAsia="Arial" w:hAnsi="Arial"/>
                <w:sz w:val="18"/>
                <w:szCs w:val="18"/>
                <w:color w:val="0000EE"/>
                <w:w w:val="99"/>
              </w:rPr>
              <w:t>9</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DESCRIPTION OF DEBT SECURITIES</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14</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6"/>
          </w:tcPr>
          <w:p>
            <w:pPr>
              <w:spacing w:after="0"/>
              <w:rPr>
                <w:sz w:val="20"/>
                <w:szCs w:val="20"/>
                <w:color w:val="auto"/>
              </w:rPr>
            </w:pPr>
            <w:r>
              <w:rPr>
                <w:rFonts w:ascii="Arial" w:cs="Arial" w:eastAsia="Arial" w:hAnsi="Arial"/>
                <w:sz w:val="18"/>
                <w:szCs w:val="18"/>
                <w:color w:val="0000EE"/>
              </w:rPr>
              <w:t>DESCRIPTION OF WARRANTS</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20</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LEGAL OWNERSHIP OF SECURITIES</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22</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SELLING SECURITYHOLDERS</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24</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25</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LEGAL MATTERS</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26</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EXPERTS</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26</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WHERE YOU CAN FIND MORE INFORMATION</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27</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539"/>
        <w:spacing w:after="0" w:line="291"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utilizing a “shelf” registration process. Under this shelf registration process, we or selling securityholders may offer and sell shares of our Class 2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58"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324" w:lineRule="exact"/>
        <w:rPr>
          <w:sz w:val="20"/>
          <w:szCs w:val="20"/>
          <w:color w:val="auto"/>
        </w:rPr>
      </w:pPr>
    </w:p>
    <w:p>
      <w:pPr>
        <w:ind w:left="300" w:right="459"/>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58" w:lineRule="exact"/>
        <w:rPr>
          <w:sz w:val="20"/>
          <w:szCs w:val="20"/>
          <w:color w:val="auto"/>
        </w:rPr>
      </w:pPr>
    </w:p>
    <w:p>
      <w:pPr>
        <w:ind w:left="300" w:right="559"/>
        <w:spacing w:after="0" w:line="275"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68" w:lineRule="exact"/>
        <w:rPr>
          <w:sz w:val="20"/>
          <w:szCs w:val="20"/>
          <w:color w:val="auto"/>
        </w:rPr>
      </w:pPr>
    </w:p>
    <w:p>
      <w:pPr>
        <w:ind w:left="300" w:right="299"/>
        <w:spacing w:after="0" w:line="296" w:lineRule="auto"/>
        <w:rPr>
          <w:sz w:val="20"/>
          <w:szCs w:val="20"/>
          <w:color w:val="auto"/>
        </w:rPr>
      </w:pPr>
      <w:r>
        <w:rPr>
          <w:rFonts w:ascii="Arial" w:cs="Arial" w:eastAsia="Arial" w:hAnsi="Arial"/>
          <w:sz w:val="16"/>
          <w:szCs w:val="16"/>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53"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84"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Unless the context requires otherwise, references in this prospectus to “Tilray,” the “company,” “we,” “us” and “our” refer to Tilray Brands, Inc. and its wholly owned subsidiaries. 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64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5653405" cy="81648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320" w:right="299"/>
        <w:spacing w:after="0" w:line="290"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379"/>
        <w:spacing w:after="0" w:line="290" w:lineRule="auto"/>
        <w:rPr>
          <w:sz w:val="20"/>
          <w:szCs w:val="20"/>
          <w:color w:val="auto"/>
        </w:rPr>
      </w:pPr>
      <w:r>
        <w:rPr>
          <w:rFonts w:ascii="Arial" w:cs="Arial" w:eastAsia="Arial" w:hAnsi="Arial"/>
          <w:sz w:val="16"/>
          <w:szCs w:val="16"/>
          <w:color w:val="auto"/>
        </w:rPr>
        <w:t>Tilray is a leading global cannabis-lifestyle and consumer packaged goods company with operations in Canada, the United States, Europe, Australia,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unprecedented production platform supports over 20 brands in over 20 countries, including comprehensive cannabis offerings, hemp-based foods, and alcoholic beverages.</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319"/>
        <w:spacing w:after="0" w:line="255" w:lineRule="auto"/>
        <w:rPr>
          <w:sz w:val="20"/>
          <w:szCs w:val="20"/>
          <w:color w:val="auto"/>
        </w:rPr>
      </w:pPr>
      <w:r>
        <w:rPr>
          <w:rFonts w:ascii="Arial" w:cs="Arial" w:eastAsia="Arial" w:hAnsi="Arial"/>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84" w:lineRule="exact"/>
        <w:rPr>
          <w:sz w:val="20"/>
          <w:szCs w:val="20"/>
          <w:color w:val="auto"/>
        </w:rPr>
      </w:pPr>
    </w:p>
    <w:p>
      <w:pPr>
        <w:ind w:left="320" w:right="499"/>
        <w:spacing w:after="0" w:line="277" w:lineRule="auto"/>
        <w:rPr>
          <w:sz w:val="20"/>
          <w:szCs w:val="20"/>
          <w:color w:val="auto"/>
        </w:rPr>
      </w:pPr>
      <w:r>
        <w:rPr>
          <w:rFonts w:ascii="Arial" w:cs="Arial" w:eastAsia="Arial" w:hAnsi="Arial"/>
          <w:sz w:val="18"/>
          <w:szCs w:val="18"/>
          <w:color w:val="auto"/>
        </w:rPr>
        <w:t>On December 12, 2019, Privateer Holdings merged with and into a wholly owned subsidiary of Tilray pursuant to the agreement and plan of merger and reorganization.</w:t>
      </w:r>
    </w:p>
    <w:p>
      <w:pPr>
        <w:spacing w:after="0" w:line="62" w:lineRule="exact"/>
        <w:rPr>
          <w:sz w:val="20"/>
          <w:szCs w:val="20"/>
          <w:color w:val="auto"/>
        </w:rPr>
      </w:pPr>
    </w:p>
    <w:p>
      <w:pPr>
        <w:ind w:left="320" w:right="319"/>
        <w:spacing w:after="0" w:line="259" w:lineRule="auto"/>
        <w:rPr>
          <w:sz w:val="20"/>
          <w:szCs w:val="20"/>
          <w:color w:val="auto"/>
        </w:rPr>
      </w:pPr>
      <w:r>
        <w:rPr>
          <w:rFonts w:ascii="Arial" w:cs="Arial" w:eastAsia="Arial" w:hAnsi="Arial"/>
          <w:sz w:val="18"/>
          <w:szCs w:val="18"/>
          <w:color w:val="auto"/>
        </w:rPr>
        <w:t>Pursuant to an arrangement agreement, dated as of December 15, 2020, as amended on February 19, 2021, between Tilray and Aphria Inc. (“Aphria”), Tilray implemented an arrangement (the “Arrangement”) under the Business Corporations Act (Ontario) in accordance with a plan of arrangement. The Arrangement was completed on April 30, 2021.</w:t>
      </w:r>
    </w:p>
    <w:p>
      <w:pPr>
        <w:spacing w:after="0" w:line="79" w:lineRule="exact"/>
        <w:rPr>
          <w:sz w:val="20"/>
          <w:szCs w:val="20"/>
          <w:color w:val="auto"/>
        </w:rPr>
      </w:pPr>
    </w:p>
    <w:p>
      <w:pPr>
        <w:ind w:left="320" w:right="399"/>
        <w:spacing w:after="0" w:line="311" w:lineRule="auto"/>
        <w:rPr>
          <w:sz w:val="20"/>
          <w:szCs w:val="20"/>
          <w:color w:val="auto"/>
        </w:rPr>
      </w:pPr>
      <w:r>
        <w:rPr>
          <w:rFonts w:ascii="Arial" w:cs="Arial" w:eastAsia="Arial" w:hAnsi="Arial"/>
          <w:sz w:val="16"/>
          <w:szCs w:val="16"/>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41" w:lineRule="exact"/>
        <w:rPr>
          <w:sz w:val="20"/>
          <w:szCs w:val="20"/>
          <w:color w:val="auto"/>
        </w:rPr>
      </w:pPr>
    </w:p>
    <w:p>
      <w:pPr>
        <w:ind w:left="320" w:right="379"/>
        <w:spacing w:after="0" w:line="279" w:lineRule="auto"/>
        <w:rPr>
          <w:sz w:val="20"/>
          <w:szCs w:val="20"/>
          <w:color w:val="auto"/>
        </w:rPr>
      </w:pPr>
      <w:r>
        <w:rPr>
          <w:rFonts w:ascii="Arial" w:cs="Arial" w:eastAsia="Arial" w:hAnsi="Arial"/>
          <w:sz w:val="17"/>
          <w:szCs w:val="17"/>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320" w:right="359"/>
        <w:spacing w:after="0" w:line="271" w:lineRule="auto"/>
        <w:rPr>
          <w:sz w:val="20"/>
          <w:szCs w:val="20"/>
          <w:color w:val="auto"/>
        </w:rPr>
      </w:pPr>
      <w:r>
        <w:rPr>
          <w:rFonts w:ascii="Arial" w:cs="Arial" w:eastAsia="Arial" w:hAnsi="Arial"/>
          <w:sz w:val="17"/>
          <w:szCs w:val="17"/>
          <w:color w:val="auto"/>
        </w:rPr>
        <w:t>We or selling securityholders may offer shares of our Class 2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16" w:lineRule="exact"/>
        <w:rPr>
          <w:sz w:val="20"/>
          <w:szCs w:val="20"/>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ranking;</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or other rights, if any;</w:t>
      </w:r>
    </w:p>
    <w:p>
      <w:pPr>
        <w:spacing w:after="0" w:line="63" w:lineRule="exact"/>
        <w:rPr>
          <w:rFonts w:ascii="Arial" w:cs="Arial" w:eastAsia="Arial" w:hAnsi="Arial"/>
          <w:sz w:val="18"/>
          <w:szCs w:val="18"/>
          <w:color w:val="auto"/>
        </w:rPr>
      </w:pPr>
    </w:p>
    <w:p>
      <w:pPr>
        <w:ind w:left="1020" w:right="35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21"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117" w:lineRule="exact"/>
        <w:rPr>
          <w:sz w:val="20"/>
          <w:szCs w:val="20"/>
          <w:color w:val="auto"/>
        </w:rPr>
      </w:pPr>
    </w:p>
    <w:p>
      <w:pPr>
        <w:ind w:left="320" w:right="379"/>
        <w:spacing w:after="0" w:line="263"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76" w:lineRule="exact"/>
        <w:rPr>
          <w:sz w:val="20"/>
          <w:szCs w:val="20"/>
          <w:color w:val="auto"/>
        </w:rPr>
      </w:pPr>
    </w:p>
    <w:p>
      <w:pPr>
        <w:ind w:left="320" w:right="499"/>
        <w:spacing w:after="0" w:line="263" w:lineRule="auto"/>
        <w:rPr>
          <w:sz w:val="20"/>
          <w:szCs w:val="20"/>
          <w:color w:val="auto"/>
        </w:rPr>
      </w:pPr>
      <w:r>
        <w:rPr>
          <w:rFonts w:ascii="Arial" w:cs="Arial" w:eastAsia="Arial" w:hAnsi="Arial"/>
          <w:sz w:val="18"/>
          <w:szCs w:val="18"/>
          <w:color w:val="auto"/>
        </w:rPr>
        <w:t>We or selling securityholders may sell the securities directly to investors or to or through agents, underwriters or dealers. If we or selling securityholders do offer securities to or through agents or underwriters, we will include in the applicable prospectus supplement:</w:t>
      </w:r>
    </w:p>
    <w:p>
      <w:pPr>
        <w:spacing w:after="0" w:line="22" w:lineRule="exact"/>
        <w:rPr>
          <w:sz w:val="20"/>
          <w:szCs w:val="20"/>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details regarding over-allotment or other options, if any; and</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proceeds to us, if any.</w:t>
      </w:r>
    </w:p>
    <w:p>
      <w:pPr>
        <w:spacing w:after="0" w:line="117" w:lineRule="exact"/>
        <w:rPr>
          <w:sz w:val="20"/>
          <w:szCs w:val="20"/>
          <w:color w:val="auto"/>
        </w:rPr>
      </w:pPr>
    </w:p>
    <w:p>
      <w:pPr>
        <w:ind w:left="320" w:right="279"/>
        <w:spacing w:after="0" w:line="286" w:lineRule="auto"/>
        <w:rPr>
          <w:sz w:val="20"/>
          <w:szCs w:val="20"/>
          <w:color w:val="auto"/>
        </w:rPr>
      </w:pPr>
      <w:r>
        <w:rPr>
          <w:rFonts w:ascii="Arial" w:cs="Arial" w:eastAsia="Arial" w:hAnsi="Arial"/>
          <w:sz w:val="16"/>
          <w:szCs w:val="16"/>
          <w:i w:val="1"/>
          <w:iCs w:val="1"/>
          <w:color w:val="auto"/>
        </w:rPr>
        <w:t>Class 2 Common Stock</w:t>
      </w:r>
      <w:r>
        <w:rPr>
          <w:rFonts w:ascii="Arial" w:cs="Arial" w:eastAsia="Arial" w:hAnsi="Arial"/>
          <w:sz w:val="16"/>
          <w:szCs w:val="16"/>
          <w:color w:val="auto"/>
        </w:rPr>
        <w:t>. We may issue shares of our Class 2 common stock from time to time. Holders of our Class 1</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 Subject to the preferences of any outstanding shares of preferred stock, the holders of Class 2 common stock are entitled to receive ratably any dividends our board of directors declares out of funds legally available for the payment of dividends. If we are liquidated, dissolved or wound up, the holders of Class 2 common stock are entitled to share pro rata all assets remaining after payment of liabilities and liquidation preferences of any outstanding shares of preferred stock. Holders of Class 2 common stock have no preemptive rights or rights to convert their Class 2 common stock into any other securities. There are no redemption or sinking fund provisions applicable to the Class 2 common stock. In this prospectus, we have summarized certain general features of the Class 2 common stock under the heading “Description of Capital Stock— Common Stock.” We urge you, however, to read the applicable prospectus supplement (and any related free writing prospectus that we may authorize to be provided to you) related to any Class 2 common stock being offered.</w:t>
      </w:r>
    </w:p>
    <w:p>
      <w:pPr>
        <w:spacing w:after="0" w:line="59" w:lineRule="exact"/>
        <w:rPr>
          <w:sz w:val="20"/>
          <w:szCs w:val="20"/>
          <w:color w:val="auto"/>
        </w:rPr>
      </w:pPr>
    </w:p>
    <w:p>
      <w:pPr>
        <w:ind w:left="320" w:right="299"/>
        <w:spacing w:after="0" w:line="268"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We may issue shares of our preferred stock from time to time, in one or more series.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our board of directors has the authority to designate up to 10,000,000 shares of preferred stock in one or more series and determine or alter the designation, rights, preferences, privileges and restrictions granted to or imposed upon any series of preferred stock, any or all of which may be greater than the rights of the Class 2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Class 2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36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5653405" cy="80365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99"/>
        <w:spacing w:after="0" w:line="293" w:lineRule="auto"/>
        <w:rPr>
          <w:sz w:val="20"/>
          <w:szCs w:val="20"/>
          <w:color w:val="auto"/>
        </w:rPr>
      </w:pPr>
      <w:r>
        <w:rPr>
          <w:rFonts w:ascii="Arial" w:cs="Arial" w:eastAsia="Arial" w:hAnsi="Arial"/>
          <w:sz w:val="16"/>
          <w:szCs w:val="16"/>
          <w:color w:val="auto"/>
        </w:rPr>
        <w:t>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56" w:lineRule="exact"/>
        <w:rPr>
          <w:sz w:val="20"/>
          <w:szCs w:val="20"/>
          <w:color w:val="auto"/>
        </w:rPr>
      </w:pPr>
    </w:p>
    <w:p>
      <w:pPr>
        <w:ind w:left="320" w:right="339"/>
        <w:spacing w:after="0" w:line="257"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We may issue debt securities from time to time, in one or more series, as either senior or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or as senior or subordinated convertible debt. Convertible or exchangeable debt securities will be convertible into or exchangeable for our Class 2 common stock or our other securities. Conversion or exchange may be mandatory or optional (at our option or the holders’ option) and would be at prescribed conversion or exchange prices.</w:t>
      </w:r>
    </w:p>
    <w:p>
      <w:pPr>
        <w:spacing w:after="0" w:line="80" w:lineRule="exact"/>
        <w:rPr>
          <w:sz w:val="20"/>
          <w:szCs w:val="20"/>
          <w:color w:val="auto"/>
        </w:rPr>
      </w:pPr>
    </w:p>
    <w:p>
      <w:pPr>
        <w:ind w:left="320" w:right="339"/>
        <w:spacing w:after="0" w:line="289" w:lineRule="auto"/>
        <w:rPr>
          <w:sz w:val="20"/>
          <w:szCs w:val="20"/>
          <w:color w:val="auto"/>
        </w:rPr>
      </w:pPr>
      <w:r>
        <w:rPr>
          <w:rFonts w:ascii="Arial" w:cs="Arial" w:eastAsia="Arial" w:hAnsi="Arial"/>
          <w:sz w:val="16"/>
          <w:szCs w:val="16"/>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58" w:lineRule="exact"/>
        <w:rPr>
          <w:sz w:val="20"/>
          <w:szCs w:val="20"/>
          <w:color w:val="auto"/>
        </w:rPr>
      </w:pPr>
    </w:p>
    <w:p>
      <w:pPr>
        <w:ind w:left="320" w:right="279"/>
        <w:spacing w:after="0" w:line="287"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Class 2 common stock, preferred stock and/or debt securities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series. We may issue warrants independently or in combination with Class 2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60" w:lineRule="exact"/>
        <w:rPr>
          <w:sz w:val="20"/>
          <w:szCs w:val="20"/>
          <w:color w:val="auto"/>
        </w:rPr>
      </w:pPr>
    </w:p>
    <w:p>
      <w:pPr>
        <w:ind w:left="320" w:right="379"/>
        <w:spacing w:after="0" w:line="263" w:lineRule="auto"/>
        <w:rPr>
          <w:sz w:val="20"/>
          <w:szCs w:val="20"/>
          <w:color w:val="auto"/>
        </w:rPr>
      </w:pPr>
      <w:r>
        <w:rPr>
          <w:rFonts w:ascii="Arial" w:cs="Arial" w:eastAsia="Arial" w:hAnsi="Arial"/>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20" w:right="619"/>
        <w:spacing w:after="0" w:line="263" w:lineRule="auto"/>
        <w:rPr>
          <w:sz w:val="20"/>
          <w:szCs w:val="20"/>
          <w:color w:val="auto"/>
        </w:rPr>
      </w:pPr>
      <w:r>
        <w:rPr>
          <w:rFonts w:ascii="Arial" w:cs="Arial" w:eastAsia="Arial" w:hAnsi="Arial"/>
          <w:sz w:val="18"/>
          <w:szCs w:val="18"/>
          <w:color w:val="auto"/>
        </w:rPr>
        <w:t xml:space="preserve">Selling securityholders are persons or entities that, directly or indirectly, have acquired or will from time to time acquire from us, our securities. Information about selling securityholders, if any, will be set forth in a prospectus supplement. See “Selling Securityholders” on page </w:t>
      </w:r>
      <w:r>
        <w:rPr>
          <w:rFonts w:ascii="Arial" w:cs="Arial" w:eastAsia="Arial" w:hAnsi="Arial"/>
          <w:sz w:val="18"/>
          <w:szCs w:val="18"/>
          <w:u w:val="single" w:color="auto"/>
          <w:color w:val="0000EE"/>
        </w:rPr>
        <w:t>24</w:t>
      </w:r>
      <w:r>
        <w:rPr>
          <w:rFonts w:ascii="Arial" w:cs="Arial" w:eastAsia="Arial" w:hAnsi="Arial"/>
          <w:sz w:val="18"/>
          <w:szCs w:val="18"/>
          <w:color w:val="auto"/>
        </w:rPr>
        <w:t xml:space="preserve"> of this prospectus.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20" w:right="299"/>
        <w:spacing w:after="0" w:line="272" w:lineRule="auto"/>
        <w:rPr>
          <w:sz w:val="20"/>
          <w:szCs w:val="20"/>
          <w:color w:val="auto"/>
        </w:rPr>
      </w:pPr>
      <w:r>
        <w:rPr>
          <w:rFonts w:ascii="Arial" w:cs="Arial" w:eastAsia="Arial" w:hAnsi="Arial"/>
          <w:sz w:val="17"/>
          <w:szCs w:val="17"/>
          <w:color w:val="auto"/>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See “Use of Proceeds” on page </w:t>
      </w:r>
      <w:r>
        <w:rPr>
          <w:rFonts w:ascii="Arial" w:cs="Arial" w:eastAsia="Arial" w:hAnsi="Arial"/>
          <w:sz w:val="17"/>
          <w:szCs w:val="17"/>
          <w:u w:val="single" w:color="auto"/>
          <w:color w:val="0000EE"/>
        </w:rPr>
        <w:t>8</w:t>
      </w:r>
      <w:r>
        <w:rPr>
          <w:rFonts w:ascii="Arial" w:cs="Arial" w:eastAsia="Arial" w:hAnsi="Arial"/>
          <w:sz w:val="17"/>
          <w:szCs w:val="17"/>
          <w:color w:val="auto"/>
        </w:rPr>
        <w:t xml:space="preserve"> of this prospectus. Unless the applicable prospectus supplement provides otherwise, we will not receive any of the proceeds from the sale of our securities by selling securityholders.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2 common stock is listed on The Nasdaq Global Select Market under the symbol “TLRY.”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Certain statements in this prospectus and any accompanying prospectus supplement, including the documents incorporated by reference herein and therein, constitute forward-looking information or forward-looking statements within the meaning of Section 27A of the Securities Act of 1933, as amended (the “Securities Act”), and Section</w:t>
      </w:r>
    </w:p>
    <w:p>
      <w:pPr>
        <w:spacing w:after="0" w:line="2" w:lineRule="exact"/>
        <w:rPr>
          <w:sz w:val="20"/>
          <w:szCs w:val="20"/>
          <w:color w:val="auto"/>
        </w:rPr>
      </w:pPr>
    </w:p>
    <w:p>
      <w:pPr>
        <w:ind w:left="300" w:right="319"/>
        <w:spacing w:after="0" w:line="266" w:lineRule="auto"/>
        <w:rPr>
          <w:sz w:val="20"/>
          <w:szCs w:val="20"/>
          <w:color w:val="auto"/>
        </w:rPr>
      </w:pPr>
      <w:r>
        <w:rPr>
          <w:rFonts w:ascii="Arial" w:cs="Arial" w:eastAsia="Arial" w:hAnsi="Arial"/>
          <w:sz w:val="17"/>
          <w:szCs w:val="17"/>
          <w:color w:val="auto"/>
        </w:rPr>
        <w:t>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81" w:lineRule="exact"/>
        <w:rPr>
          <w:sz w:val="20"/>
          <w:szCs w:val="20"/>
          <w:color w:val="auto"/>
        </w:rPr>
      </w:pPr>
    </w:p>
    <w:p>
      <w:pPr>
        <w:jc w:val="both"/>
        <w:ind w:left="300" w:right="439"/>
        <w:spacing w:after="0" w:line="311" w:lineRule="auto"/>
        <w:rPr>
          <w:sz w:val="20"/>
          <w:szCs w:val="20"/>
          <w:color w:val="auto"/>
        </w:rPr>
      </w:pPr>
      <w:r>
        <w:rPr>
          <w:rFonts w:ascii="Arial" w:cs="Arial" w:eastAsia="Arial" w:hAnsi="Arial"/>
          <w:sz w:val="16"/>
          <w:szCs w:val="16"/>
          <w:color w:val="auto"/>
        </w:rPr>
        <w:t>Any information or statements that are contained in this prospectus and any accompanying prospectus supplement, including the documents incorporated by reference herein and therein, that are not statements of historical fact may be deemed to be forward-looking statements, including, but not limited to, statements with regards to:</w:t>
      </w:r>
    </w:p>
    <w:p>
      <w:pPr>
        <w:spacing w:after="0" w:line="41" w:lineRule="exact"/>
        <w:rPr>
          <w:sz w:val="20"/>
          <w:szCs w:val="20"/>
          <w:color w:val="auto"/>
        </w:rPr>
      </w:pPr>
    </w:p>
    <w:p>
      <w:pPr>
        <w:ind w:left="1000" w:right="73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of our financial information, including in respect of expected revenues, margins, cash flow, profitability, and production of cannabis;</w:t>
      </w:r>
    </w:p>
    <w:p>
      <w:pPr>
        <w:spacing w:after="0" w:line="62" w:lineRule="exact"/>
        <w:rPr>
          <w:rFonts w:ascii="Arial" w:cs="Arial" w:eastAsia="Arial" w:hAnsi="Arial"/>
          <w:sz w:val="18"/>
          <w:szCs w:val="18"/>
          <w:color w:val="auto"/>
        </w:rPr>
      </w:pPr>
    </w:p>
    <w:p>
      <w:pPr>
        <w:ind w:left="1000" w:right="899" w:hanging="348"/>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estimates of future costs applicable to sales, future capital expenditures, future cost reductions, and projected synergies including pre-tax synergies, cost savings and efficiencies;</w:t>
      </w:r>
    </w:p>
    <w:p>
      <w:pPr>
        <w:spacing w:after="0" w:line="38" w:lineRule="exact"/>
        <w:rPr>
          <w:rFonts w:ascii="Arial" w:cs="Arial" w:eastAsia="Arial" w:hAnsi="Arial"/>
          <w:sz w:val="17"/>
          <w:szCs w:val="17"/>
          <w:color w:val="auto"/>
        </w:rPr>
      </w:pPr>
    </w:p>
    <w:p>
      <w:pPr>
        <w:ind w:left="1000" w:right="63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to have scalable medical and adult-use cannabis platforms to strengthen the leadership position in Canada, internationally, and eventually in the United States;</w:t>
      </w:r>
    </w:p>
    <w:p>
      <w:pPr>
        <w:spacing w:after="0" w:line="62"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being well positioned in the European cannabis markets and our ability to leverage our current European platforms;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and financial benefits in connection with the Arrangement;</w:t>
      </w:r>
    </w:p>
    <w:p>
      <w:pPr>
        <w:spacing w:after="0" w:line="117"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legalization of cannabis in the United States and us being well positioned to compete in the United States market;</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become the world’s leading cannabis-focused consumer branded company with $4 billion of revenue by 2024;</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projected growth in our market share and growth in the European Union market; and</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to offer a diversified and branded product offering and distribution footprint, world-class cultivation, processing and manufacturing facilities.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The forward-looking statements contained in this prospectus and any accompanying prospectus supplement,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49" w:lineRule="exact"/>
        <w:rPr>
          <w:sz w:val="20"/>
          <w:szCs w:val="20"/>
          <w:color w:val="auto"/>
        </w:rPr>
      </w:pPr>
    </w:p>
    <w:p>
      <w:pPr>
        <w:ind w:left="1000" w:right="579" w:hanging="348"/>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recently closed on an investment and certain transactions with HEXO Corp. (“HEXO”) and we face uncertainty with respect to our ability to realize a return on our investment and achieve expected production efficiencies and cost savings in connection with the commercial transactions with HEXO as well as the MedMen investment;</w:t>
      </w:r>
    </w:p>
    <w:p>
      <w:pPr>
        <w:spacing w:after="0" w:line="78"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dependent upon regulatory approvals and licenses, ongoing compliance and reporting obligations, and timely renewals;</w:t>
      </w:r>
    </w:p>
    <w:p>
      <w:pPr>
        <w:spacing w:after="0" w:line="62" w:lineRule="exact"/>
        <w:rPr>
          <w:rFonts w:ascii="Arial" w:cs="Arial" w:eastAsia="Arial" w:hAnsi="Arial"/>
          <w:sz w:val="18"/>
          <w:szCs w:val="18"/>
          <w:color w:val="auto"/>
        </w:rPr>
      </w:pPr>
    </w:p>
    <w:p>
      <w:pPr>
        <w:ind w:left="1000" w:right="69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75"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face intense competition, and anticipate competition will increase, which could hurt our business;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constrain our ability to market and distribute our products in Canada;</w:t>
      </w:r>
    </w:p>
    <w:p>
      <w:pPr>
        <w:spacing w:after="0" w:line="117" w:lineRule="exact"/>
        <w:rPr>
          <w:rFonts w:ascii="Arial" w:cs="Arial" w:eastAsia="Arial" w:hAnsi="Arial"/>
          <w:sz w:val="18"/>
          <w:szCs w:val="18"/>
          <w:color w:val="auto"/>
        </w:rPr>
      </w:pPr>
    </w:p>
    <w:p>
      <w:pPr>
        <w:ind w:left="1000" w:right="819" w:hanging="34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United States regulations relating to hemp-derived CBD products are new and rapidly evolving, and changes may not develop in the timeframe or manner most favorable to our business objectives;</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preferences or public attitudes about alcohol could decrease demand for our beverage alcohol products;</w:t>
      </w:r>
    </w:p>
    <w:p>
      <w:pPr>
        <w:spacing w:after="0" w:line="62" w:lineRule="exact"/>
        <w:rPr>
          <w:rFonts w:ascii="Arial" w:cs="Arial" w:eastAsia="Arial" w:hAnsi="Arial"/>
          <w:sz w:val="18"/>
          <w:szCs w:val="18"/>
          <w:color w:val="auto"/>
        </w:rPr>
      </w:pPr>
    </w:p>
    <w:p>
      <w:pPr>
        <w:jc w:val="both"/>
        <w:ind w:left="1000" w:right="53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SW Brewing Company, LLC and Double Diamond Distillery LLC (d/b/a Breckenridge Distillery) each face substantial competition in the beer industry and the broader market for alcoholic beverage products which could impact our business and financial results;</w:t>
      </w:r>
    </w:p>
    <w:p>
      <w:pPr>
        <w:spacing w:after="0" w:line="75"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litigation, arbitration and demands, which could result in significant liability and costs, and impact our resources and reputation;</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strategic alliances and other third-party business relationships may not achieve the intended beneficial impact and expose us to risks;</w:t>
      </w:r>
    </w:p>
    <w:p>
      <w:pPr>
        <w:spacing w:after="0" w:line="62"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risks inherent in an agricultural business, including the risk of crop failure;</w:t>
      </w:r>
    </w:p>
    <w:p>
      <w:pPr>
        <w:spacing w:after="0" w:line="117"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75" w:lineRule="exact"/>
        <w:rPr>
          <w:rFonts w:ascii="Arial" w:cs="Arial" w:eastAsia="Arial" w:hAnsi="Arial"/>
          <w:sz w:val="18"/>
          <w:szCs w:val="18"/>
          <w:color w:val="auto"/>
        </w:rPr>
      </w:pPr>
    </w:p>
    <w:p>
      <w:pPr>
        <w:ind w:left="1000" w:right="10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may be subject to recalls for a variety of reasons, which could require us to expend significant management and capital resources;</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may not be able to successfully establish and maintain effective internal controls over financial reporting;</w:t>
      </w:r>
    </w:p>
    <w:p>
      <w:pPr>
        <w:spacing w:after="0" w:line="62"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our common stock in public markets has experienced and may continue to experience severe volatility and fluctuations;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4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62" w:lineRule="exact"/>
        <w:rPr>
          <w:rFonts w:ascii="Arial" w:cs="Arial" w:eastAsia="Arial" w:hAnsi="Arial"/>
          <w:sz w:val="18"/>
          <w:szCs w:val="18"/>
          <w:color w:val="auto"/>
        </w:rPr>
      </w:pPr>
    </w:p>
    <w:p>
      <w:pPr>
        <w:ind w:left="1000" w:right="7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75" w:lineRule="exact"/>
        <w:rPr>
          <w:rFonts w:ascii="Arial" w:cs="Arial" w:eastAsia="Arial" w:hAnsi="Arial"/>
          <w:sz w:val="18"/>
          <w:szCs w:val="18"/>
          <w:color w:val="auto"/>
        </w:rPr>
      </w:pPr>
    </w:p>
    <w:p>
      <w:pPr>
        <w:ind w:left="1000" w:right="439" w:hanging="348"/>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convertible securities in cash or to repurchase the convertible securities upon a fundamental change; and</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subject to other risks generally applicable to our industry and the conduct of our business.</w:t>
      </w:r>
    </w:p>
    <w:p>
      <w:pPr>
        <w:spacing w:after="0" w:line="129"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76"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and any accompanying prospectus supplement.</w:t>
      </w:r>
    </w:p>
    <w:p>
      <w:pPr>
        <w:spacing w:after="0" w:line="84"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The forward-looking statements contained in this prospectus and any accompanying prospectus supplement,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and any accompany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We will set forth in the applicable prospectus supplement our intended use for the net proceeds received from the sale of any securities. Pending the use of the net proceeds, we intend to invest the net proceeds in short-term, investment-grade, interest-bearing securities.</w:t>
      </w:r>
    </w:p>
    <w:p>
      <w:pPr>
        <w:spacing w:after="0" w:line="84"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Unless the applicable prospectus supplement provides otherwise, we will not receive any of the proceeds from the sale of our securities by selling securityholders.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The following is a summary of some of the terms of our capital stock and certain provisions of our amended and restated certificate of incorporation and amended and restated bylaws, and is qualified by reference to these documents. Copies of these documents have been filed with the SEC as exhibits to our periodic reports, which are incorporated by reference in this prospectus.</w:t>
      </w:r>
    </w:p>
    <w:p>
      <w:pPr>
        <w:spacing w:after="0" w:line="79"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Capital Stock</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authorized capital stock is divided into:</w:t>
      </w:r>
    </w:p>
    <w:p>
      <w:pPr>
        <w:spacing w:after="0" w:line="117"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233,333,333 shares of Class 1 common stock with a par value of $0.0001 per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746,666,667 shares of Class 2 common stock with a par value of $0.0001 per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10,000,000 undesignated shares of preferred stock with a par value of $0.0001 per share.</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As of October 4, 2022, 611,402,319 shares of Class 2 common stock were outstanding. We are seeking to amend our amended and restated certificate of incorporation to eliminate our Class 1 common stock, subject to achieving required shareholder approval of the proposed amendment. There are currently no shares of Class 1 common stock outstanding.</w:t>
      </w:r>
    </w:p>
    <w:p>
      <w:pPr>
        <w:spacing w:after="0" w:line="79"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The rights and restrictions to which the Class 1 common stock and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300" w:right="379"/>
        <w:spacing w:after="0" w:line="275" w:lineRule="auto"/>
        <w:rPr>
          <w:sz w:val="20"/>
          <w:szCs w:val="20"/>
          <w:color w:val="auto"/>
        </w:rPr>
      </w:pPr>
      <w:r>
        <w:rPr>
          <w:rFonts w:ascii="Arial" w:cs="Arial" w:eastAsia="Arial" w:hAnsi="Arial"/>
          <w:sz w:val="17"/>
          <w:szCs w:val="17"/>
          <w:color w:val="auto"/>
        </w:rPr>
        <w:t>Holders of our Class 1 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w:t>
      </w:r>
    </w:p>
    <w:p>
      <w:pPr>
        <w:spacing w:after="0" w:line="68" w:lineRule="exact"/>
        <w:rPr>
          <w:sz w:val="20"/>
          <w:szCs w:val="20"/>
          <w:color w:val="auto"/>
        </w:rPr>
      </w:pPr>
    </w:p>
    <w:p>
      <w:pPr>
        <w:ind w:left="300" w:right="459"/>
        <w:spacing w:after="0" w:line="286" w:lineRule="auto"/>
        <w:rPr>
          <w:sz w:val="20"/>
          <w:szCs w:val="20"/>
          <w:color w:val="auto"/>
        </w:rPr>
      </w:pPr>
      <w:r>
        <w:rPr>
          <w:rFonts w:ascii="Arial" w:cs="Arial" w:eastAsia="Arial" w:hAnsi="Arial"/>
          <w:sz w:val="17"/>
          <w:szCs w:val="17"/>
          <w:color w:val="auto"/>
        </w:rPr>
        <w:t>Holders of shares of Class 1 common stock and Class 2 common stock will vote together as a single class on all matters (including the election of directors) submitted to a vote of stockholders, except that there will be a separate vote of our Class 1 common stock and Class 2 common stock in the following circumstances:</w:t>
      </w:r>
    </w:p>
    <w:p>
      <w:pPr>
        <w:spacing w:after="0" w:line="57" w:lineRule="exact"/>
        <w:rPr>
          <w:sz w:val="20"/>
          <w:szCs w:val="20"/>
          <w:color w:val="auto"/>
        </w:rPr>
      </w:pPr>
    </w:p>
    <w:p>
      <w:pPr>
        <w:ind w:left="1000" w:right="3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62" w:lineRule="exact"/>
        <w:rPr>
          <w:rFonts w:ascii="Arial" w:cs="Arial" w:eastAsia="Arial" w:hAnsi="Arial"/>
          <w:sz w:val="18"/>
          <w:szCs w:val="18"/>
          <w:color w:val="auto"/>
        </w:rPr>
      </w:pPr>
    </w:p>
    <w:p>
      <w:pPr>
        <w:ind w:left="1000" w:right="599" w:hanging="34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in connection with a liquidation, dissolution or change in control (by merger, asset sale or other similar transaction) with respect to any consideration into which the shares are converted or any consideration paid or otherwise distributed to our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In addition, there will be a separate vote of and approval requirement for our Class 1 common stock in order for us to, directly or indirectly, take action in the following circumstances:</w:t>
      </w:r>
    </w:p>
    <w:p>
      <w:pPr>
        <w:spacing w:after="0" w:line="62" w:lineRule="exact"/>
        <w:rPr>
          <w:sz w:val="20"/>
          <w:szCs w:val="20"/>
          <w:color w:val="auto"/>
        </w:rPr>
      </w:pPr>
    </w:p>
    <w:p>
      <w:pPr>
        <w:ind w:left="1000" w:right="379" w:hanging="348"/>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propose to amend, waive, alter or repeal any provision of our amended and restated certificate of incorporation or our amended and restated bylaws in a manner that modifies the voting, conversion or other powers, preferences or other special rights or privileges or restrictions of the Class 1 common stock; or</w:t>
      </w:r>
    </w:p>
    <w:p>
      <w:pPr>
        <w:spacing w:after="0" w:line="78"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reclassify any outstanding shares of Class 2 common stock into shares having rights as to dividends or liquidation that are senior to the Class 1 common stock or the right to more than one vote for each share thereof.</w:t>
      </w:r>
    </w:p>
    <w:p>
      <w:pPr>
        <w:spacing w:after="0" w:line="76" w:lineRule="exact"/>
        <w:rPr>
          <w:sz w:val="20"/>
          <w:szCs w:val="20"/>
          <w:color w:val="auto"/>
        </w:rPr>
      </w:pPr>
    </w:p>
    <w:p>
      <w:pPr>
        <w:ind w:left="300" w:right="439"/>
        <w:spacing w:after="0" w:line="286" w:lineRule="auto"/>
        <w:rPr>
          <w:sz w:val="20"/>
          <w:szCs w:val="20"/>
          <w:color w:val="auto"/>
        </w:rPr>
      </w:pPr>
      <w:r>
        <w:rPr>
          <w:rFonts w:ascii="Arial" w:cs="Arial" w:eastAsia="Arial" w:hAnsi="Arial"/>
          <w:sz w:val="17"/>
          <w:szCs w:val="17"/>
          <w:color w:val="auto"/>
        </w:rPr>
        <w:t>Cumulative voting for the election of directors is not provided for in our amended and restated certificate of incorporation, which means that the holder of our Class 1 common stock can elect all of the directors then standing for election as long as it holds approximately 10.01% of all outstanding shares of our capital stock.</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left="300" w:right="739"/>
        <w:spacing w:after="0" w:line="259"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Class 1 common stock and Class 2 common stock are entitled to receive dividends out of funds legally available at the times and in the amounts that our board of directors may determine. We do not anticipate paying any cash dividends in the foreseeable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79" w:lineRule="exact"/>
        <w:rPr>
          <w:sz w:val="20"/>
          <w:szCs w:val="20"/>
          <w:color w:val="auto"/>
        </w:rPr>
      </w:pPr>
    </w:p>
    <w:p>
      <w:pPr>
        <w:ind w:left="300" w:right="419"/>
        <w:spacing w:after="0" w:line="342" w:lineRule="auto"/>
        <w:rPr>
          <w:sz w:val="20"/>
          <w:szCs w:val="20"/>
          <w:color w:val="auto"/>
        </w:rPr>
      </w:pPr>
      <w:r>
        <w:rPr>
          <w:rFonts w:ascii="Arial" w:cs="Arial" w:eastAsia="Arial" w:hAnsi="Arial"/>
          <w:sz w:val="16"/>
          <w:szCs w:val="16"/>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300" w:right="439"/>
        <w:spacing w:after="0" w:line="291" w:lineRule="auto"/>
        <w:rPr>
          <w:sz w:val="20"/>
          <w:szCs w:val="20"/>
          <w:color w:val="auto"/>
        </w:rPr>
      </w:pPr>
      <w:r>
        <w:rPr>
          <w:rFonts w:ascii="Arial" w:cs="Arial" w:eastAsia="Arial" w:hAnsi="Arial"/>
          <w:sz w:val="16"/>
          <w:szCs w:val="16"/>
          <w:color w:val="auto"/>
        </w:rPr>
        <w:t>Each share of Class 1 common stock is convertible at any time at the option of the holder into one share of Class 2 Common stock. In addition, each share of Class 1 common stock will automatically convert into one share of Class</w:t>
      </w:r>
    </w:p>
    <w:p>
      <w:pPr>
        <w:ind w:left="300" w:right="339"/>
        <w:spacing w:after="0" w:line="290" w:lineRule="auto"/>
        <w:rPr>
          <w:sz w:val="20"/>
          <w:szCs w:val="20"/>
          <w:color w:val="auto"/>
        </w:rPr>
      </w:pPr>
      <w:r>
        <w:rPr>
          <w:rFonts w:ascii="Arial" w:cs="Arial" w:eastAsia="Arial" w:hAnsi="Arial"/>
          <w:sz w:val="16"/>
          <w:szCs w:val="16"/>
          <w:color w:val="auto"/>
        </w:rPr>
        <w:t>2 common stock upon any transfer, whether or not for value and whether voluntary or involuntary or by operation of law, except for certain transfers described in our amended and restated certificate of incorporation, including, without limitation, certain transfers for tax and estate planning purposes. In addition, upon the date on which the outstanding shares of Class 1 common stock represent less than 10% of the aggregate number of shares of Class 1 common stock and Class 2 common stock then outstanding, all outstanding shares of Class 1 common stock shall convert automatically into Class 2 common stock, and no additional shares of Class 1 common stock will be issued.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of Repurchase</w:t>
      </w:r>
    </w:p>
    <w:p>
      <w:pPr>
        <w:spacing w:after="0" w:line="117"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color w:val="auto"/>
        </w:rPr>
        <w:t>We currently have no rights to repurchase shares of our common stock, except as described in “—Options and Restricted Stock Units” below.</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common stock is not entitled to preemptive rights and is not subject to redemption.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Options and Restricted Stock Units</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As of October 4, 2022, 4,714,929 shares of Class 2 common stock were issuable upon the exercise of outstanding stock options and 17,239,692 shares of Class 2 common stock were issuable upon vesting of RSUs. Pursuant to the terms of our standard option agreement, we have a right to repurchase shares of our common stock issued upon the exercise of options granted under the Amended and Restated 2018 Equity Incentive Plan if the holder of such shares ceases providing services for us for any reason.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Class 1 common stock and Class 2 common stock. Our board of directors, without stockholder approval, may issue preferred stock with voting, conversion or other rights that are superior to the voting and other rights of the holders of Class 1 common stock and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1 common stock and Class 2 common stock and reduce the likelihood that Class 1 common stock and Class 2 common stockholders will receive dividend payments and payments upon liquidation.</w:t>
      </w:r>
    </w:p>
    <w:p>
      <w:pPr>
        <w:spacing w:after="0" w:line="60"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Our board of directors will determine the rights, preferences, privileges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spacing w:after="0" w:line="84"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dividend rate per share, dividend period and payment dates and method of calculation for dividends;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right, if any, to defer payment of dividends and the maximum length of any such deferral period;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Class 2 common stock or other securities of ours, including warrants, and, if applicable, the conversion period, the conversion price, or how it will be calculated, and under what circumstances it may be adjusted;</w:t>
      </w:r>
    </w:p>
    <w:p>
      <w:pPr>
        <w:spacing w:after="0" w:line="75" w:lineRule="exact"/>
        <w:rPr>
          <w:rFonts w:ascii="Arial" w:cs="Arial" w:eastAsia="Arial" w:hAnsi="Arial"/>
          <w:sz w:val="18"/>
          <w:szCs w:val="18"/>
          <w:color w:val="auto"/>
        </w:rPr>
      </w:pPr>
    </w:p>
    <w:p>
      <w:pPr>
        <w:ind w:left="1000" w:right="39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preferred stock will be exchangeable for debt securities, and, if applicable, the exchange period, the exchange price, or how it will be calculated, and under what circumstances it may be adjusted;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4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if we liquidate, dissolve or wind up our affairs;</w:t>
      </w:r>
    </w:p>
    <w:p>
      <w:pPr>
        <w:spacing w:after="0" w:line="62"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specific terms, rights, preferences, privileges, qualifications or restrictions of the preferred stock.</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When we issue shares of preferred stock under this prospectus, the shares will be fully paid and nonassessable.</w:t>
      </w:r>
    </w:p>
    <w:p>
      <w:pPr>
        <w:spacing w:after="0" w:line="140"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with respect to dividends and upon our liquidation, dissolution or winding up:</w:t>
      </w:r>
    </w:p>
    <w:p>
      <w:pPr>
        <w:spacing w:after="0" w:line="62" w:lineRule="exact"/>
        <w:rPr>
          <w:sz w:val="20"/>
          <w:szCs w:val="20"/>
          <w:color w:val="auto"/>
        </w:rPr>
      </w:pPr>
    </w:p>
    <w:p>
      <w:pPr>
        <w:ind w:left="1000" w:right="45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62"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junior to all of our equity securities the terms of which specifically provide that the equity securities rank senior to the preferred stock.</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17"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Provisions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Among other things, our amended and restated certificate of incorporation and amended and restated bylaws:</w:t>
      </w:r>
    </w:p>
    <w:p>
      <w:pPr>
        <w:spacing w:after="0" w:line="129" w:lineRule="exact"/>
        <w:rPr>
          <w:sz w:val="20"/>
          <w:szCs w:val="20"/>
          <w:color w:val="auto"/>
        </w:rPr>
      </w:pPr>
    </w:p>
    <w:p>
      <w:pPr>
        <w:ind w:left="1000" w:right="619" w:hanging="348"/>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that the authorized number of directors may be changed only by resolution of our board of directors;</w:t>
      </w:r>
    </w:p>
    <w:p>
      <w:pPr>
        <w:spacing w:after="0" w:line="62"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for so long as key holders (including Privateer Holdings, Brendan Kennedy, Michael Blue, or Christian Groh or their permitted entities or transferees) holds a majority of our then-outstanding shares of capital stock entitled to vote generally at an election of directors, or otherwise by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of our then-outstanding shares of the capital stock entitled to vote generally at an election of directors;</w:t>
      </w:r>
    </w:p>
    <w:p>
      <w:pPr>
        <w:spacing w:after="0" w:line="87" w:lineRule="exact"/>
        <w:rPr>
          <w:rFonts w:ascii="Arial" w:cs="Arial" w:eastAsia="Arial" w:hAnsi="Arial"/>
          <w:sz w:val="17"/>
          <w:szCs w:val="17"/>
          <w:color w:val="auto"/>
        </w:rPr>
      </w:pPr>
    </w:p>
    <w:p>
      <w:pPr>
        <w:jc w:val="both"/>
        <w:ind w:left="1000" w:right="519" w:hanging="348"/>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provides that all vacancies, including newly created directorships, may, except as otherwise required by law, be filled by the affirmative vote of a majority of directors then in office, even if less than a quorum;</w:t>
      </w:r>
    </w:p>
    <w:p>
      <w:pPr>
        <w:spacing w:after="0" w:line="15" w:lineRule="exact"/>
        <w:rPr>
          <w:rFonts w:ascii="Arial" w:cs="Arial" w:eastAsia="Arial" w:hAnsi="Arial"/>
          <w:sz w:val="16"/>
          <w:szCs w:val="16"/>
          <w:color w:val="auto"/>
        </w:rPr>
      </w:pPr>
    </w:p>
    <w:p>
      <w:pPr>
        <w:ind w:left="1000" w:right="319" w:hanging="348"/>
        <w:spacing w:after="0" w:line="311"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provides that any action to be taken by our stockholders may be taken by written consent or electronic transmission pursuant to Section 228 of the Delaware General Corporation Law, so long as the key holders hold a majority of our then-outstanding capital stock entitled to vote generally at an election of directors;</w:t>
      </w:r>
    </w:p>
    <w:p>
      <w:pPr>
        <w:spacing w:after="0" w:line="40" w:lineRule="exact"/>
        <w:rPr>
          <w:rFonts w:ascii="Arial" w:cs="Arial" w:eastAsia="Arial" w:hAnsi="Arial"/>
          <w:sz w:val="16"/>
          <w:szCs w:val="16"/>
          <w:color w:val="auto"/>
        </w:rPr>
      </w:pPr>
    </w:p>
    <w:p>
      <w:pPr>
        <w:jc w:val="both"/>
        <w:ind w:left="1000" w:right="559" w:hanging="348"/>
        <w:spacing w:after="0" w:line="28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579" w:hanging="348"/>
        <w:spacing w:after="0" w:line="25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provides that special meetings of our stockholders may be called by the chairperson of our board of directors, our chief executive officer, by our board of directors pursuant to a resolution adopted by a majority of the total number of authorized directors or, for so long as the key holders hold a majority of our then-outstanding capital stock entitled to vote generally at an election of directors, one or more stockholders that in the aggregate represent at least 50% of the total votes entitled to be cast at the meeting;</w:t>
      </w:r>
    </w:p>
    <w:p>
      <w:pPr>
        <w:spacing w:after="0" w:line="84" w:lineRule="exact"/>
        <w:rPr>
          <w:rFonts w:ascii="Arial" w:cs="Arial" w:eastAsia="Arial" w:hAnsi="Arial"/>
          <w:sz w:val="18"/>
          <w:szCs w:val="18"/>
          <w:color w:val="auto"/>
        </w:rPr>
      </w:pPr>
    </w:p>
    <w:p>
      <w:pPr>
        <w:jc w:val="both"/>
        <w:ind w:left="1000" w:right="399" w:hanging="348"/>
        <w:spacing w:after="0" w:line="286"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57" w:lineRule="exact"/>
        <w:rPr>
          <w:rFonts w:ascii="Arial" w:cs="Arial" w:eastAsia="Arial" w:hAnsi="Arial"/>
          <w:sz w:val="17"/>
          <w:szCs w:val="17"/>
          <w:color w:val="auto"/>
        </w:rPr>
      </w:pPr>
    </w:p>
    <w:p>
      <w:pPr>
        <w:ind w:left="1000" w:right="319" w:hanging="348"/>
        <w:spacing w:after="0" w:line="249"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For so long as Privateer Holdings holds a majority of our then-outstanding capital stock entitled to vote generally at an election of directors, the amendment of any of these provisions would require approval of the holders of a majority of all of our then-outstanding capital stock entitled to vote generally in the election of directors; otherwise, the amendment of any of these provisions would require approval by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of our then-outstanding capital stock entitled to vote generally in the election of directors.</w:t>
      </w:r>
    </w:p>
    <w:p>
      <w:pPr>
        <w:spacing w:after="0" w:line="82"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56" w:lineRule="exact"/>
        <w:rPr>
          <w:sz w:val="20"/>
          <w:szCs w:val="20"/>
          <w:color w:val="auto"/>
        </w:rPr>
      </w:pPr>
    </w:p>
    <w:p>
      <w:pPr>
        <w:ind w:left="300" w:right="579"/>
        <w:spacing w:after="0" w:line="293"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If a court were to find the exclusive-forum provision in our amended and restated certificate of incorporation to be inapplicable or unenforceable in an action, we may incur additional costs associated with resolving the dispute in other jurisdictions.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The transfer agent and registrar for our Class 2 common stock is Pacific Stock Transfer Company. The transfer agent and registrar’s address is 6725 Via Austi Parkway, Ste. 300, Las Vegas, NV, 89119 and its phone number is (800)</w:t>
      </w:r>
    </w:p>
    <w:p>
      <w:pPr>
        <w:ind w:left="300"/>
        <w:spacing w:after="0"/>
        <w:rPr>
          <w:sz w:val="20"/>
          <w:szCs w:val="20"/>
          <w:color w:val="auto"/>
        </w:rPr>
      </w:pPr>
      <w:r>
        <w:rPr>
          <w:rFonts w:ascii="Arial" w:cs="Arial" w:eastAsia="Arial" w:hAnsi="Arial"/>
          <w:sz w:val="18"/>
          <w:szCs w:val="18"/>
          <w:color w:val="auto"/>
        </w:rPr>
        <w:t>785-7782.</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Class 2 common stock is listed on the Nasdaq Global Select Market under the symbol “TLRY.”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or selling securityholders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69"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84"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84"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84"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62"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or not the debt securities will be secured or unsecured, and the terms of any secured debt;</w:t>
      </w:r>
    </w:p>
    <w:p>
      <w:pPr>
        <w:spacing w:after="0" w:line="128" w:lineRule="exact"/>
        <w:rPr>
          <w:rFonts w:ascii="Arial" w:cs="Arial" w:eastAsia="Arial" w:hAnsi="Arial"/>
          <w:sz w:val="17"/>
          <w:szCs w:val="17"/>
          <w:color w:val="auto"/>
        </w:rPr>
      </w:pPr>
    </w:p>
    <w:p>
      <w:pPr>
        <w:ind w:left="1000" w:right="95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ind w:left="1000" w:right="739" w:hanging="348"/>
        <w:spacing w:after="0" w:line="275"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right, if any, to defer payment of interest and the maximum length of any such deferral period;</w:t>
      </w:r>
    </w:p>
    <w:p>
      <w:pPr>
        <w:spacing w:after="0" w:line="88" w:lineRule="exact"/>
        <w:rPr>
          <w:rFonts w:ascii="Arial" w:cs="Arial" w:eastAsia="Arial" w:hAnsi="Arial"/>
          <w:sz w:val="17"/>
          <w:szCs w:val="17"/>
          <w:color w:val="auto"/>
        </w:rPr>
      </w:pPr>
    </w:p>
    <w:p>
      <w:pPr>
        <w:ind w:left="1000" w:right="3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35" w:lineRule="exact"/>
        <w:rPr>
          <w:rFonts w:ascii="Arial" w:cs="Arial" w:eastAsia="Arial" w:hAnsi="Arial"/>
          <w:sz w:val="18"/>
          <w:szCs w:val="18"/>
          <w:color w:val="auto"/>
        </w:rPr>
      </w:pPr>
    </w:p>
    <w:p>
      <w:pPr>
        <w:ind w:left="1000" w:right="419" w:hanging="348"/>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51"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21" w:lineRule="exact"/>
        <w:rPr>
          <w:rFonts w:ascii="Arial" w:cs="Arial" w:eastAsia="Arial" w:hAnsi="Arial"/>
          <w:sz w:val="18"/>
          <w:szCs w:val="18"/>
          <w:color w:val="auto"/>
        </w:rPr>
      </w:pPr>
    </w:p>
    <w:p>
      <w:pPr>
        <w:ind w:left="1000" w:right="379" w:hanging="348"/>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6" w:lineRule="exact"/>
        <w:rPr>
          <w:rFonts w:ascii="Arial" w:cs="Arial" w:eastAsia="Arial" w:hAnsi="Arial"/>
          <w:sz w:val="17"/>
          <w:szCs w:val="17"/>
          <w:color w:val="auto"/>
        </w:rPr>
      </w:pPr>
    </w:p>
    <w:p>
      <w:pPr>
        <w:ind w:left="1000" w:right="359" w:hanging="348"/>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1" w:lineRule="exact"/>
        <w:rPr>
          <w:rFonts w:ascii="Arial" w:cs="Arial" w:eastAsia="Arial" w:hAnsi="Arial"/>
          <w:sz w:val="18"/>
          <w:szCs w:val="18"/>
          <w:color w:val="auto"/>
        </w:rPr>
      </w:pPr>
    </w:p>
    <w:p>
      <w:pPr>
        <w:ind w:left="1000" w:right="319" w:hanging="348"/>
        <w:spacing w:after="0" w:line="296"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2" w:lineRule="exact"/>
        <w:rPr>
          <w:rFonts w:ascii="Arial" w:cs="Arial" w:eastAsia="Arial" w:hAnsi="Arial"/>
          <w:sz w:val="16"/>
          <w:szCs w:val="16"/>
          <w:color w:val="auto"/>
        </w:rPr>
      </w:pPr>
    </w:p>
    <w:p>
      <w:pPr>
        <w:ind w:left="1000" w:right="419" w:hanging="348"/>
        <w:spacing w:after="0" w:line="30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1"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35" w:lineRule="exact"/>
        <w:rPr>
          <w:rFonts w:ascii="Arial" w:cs="Arial" w:eastAsia="Arial" w:hAnsi="Arial"/>
          <w:sz w:val="18"/>
          <w:szCs w:val="18"/>
          <w:color w:val="auto"/>
        </w:rPr>
      </w:pPr>
    </w:p>
    <w:p>
      <w:pPr>
        <w:jc w:val="both"/>
        <w:ind w:left="1000" w:right="3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35"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90"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21"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w:t>
      </w:r>
    </w:p>
    <w:p>
      <w:pPr>
        <w:spacing w:after="0" w:line="21"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35" w:lineRule="exact"/>
        <w:rPr>
          <w:rFonts w:ascii="Arial" w:cs="Arial" w:eastAsia="Arial" w:hAnsi="Arial"/>
          <w:sz w:val="18"/>
          <w:szCs w:val="18"/>
          <w:color w:val="auto"/>
        </w:rPr>
      </w:pPr>
    </w:p>
    <w:p>
      <w:pPr>
        <w:jc w:val="both"/>
        <w:ind w:left="1000" w:right="89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76"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We will set forth in the applicable prospectus supplement the terms on which a series of debt securities may be convertible into or exchangeable for our Class 2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2 common stock or our other securities that the holders of the series of debt securities receive would be subject to adjustment.</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300" w:right="559"/>
        <w:spacing w:after="0" w:line="342" w:lineRule="auto"/>
        <w:rPr>
          <w:sz w:val="20"/>
          <w:szCs w:val="20"/>
          <w:color w:val="auto"/>
        </w:rPr>
      </w:pPr>
      <w:r>
        <w:rPr>
          <w:rFonts w:ascii="Arial" w:cs="Arial" w:eastAsia="Arial" w:hAnsi="Arial"/>
          <w:sz w:val="16"/>
          <w:szCs w:val="16"/>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 w:lineRule="exact"/>
        <w:rPr>
          <w:sz w:val="20"/>
          <w:szCs w:val="20"/>
          <w:color w:val="auto"/>
        </w:rPr>
      </w:pPr>
    </w:p>
    <w:p>
      <w:pPr>
        <w:ind w:left="1000" w:right="639" w:hanging="348"/>
        <w:spacing w:after="0" w:line="30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49" w:lineRule="exact"/>
        <w:rPr>
          <w:rFonts w:ascii="Arial" w:cs="Arial" w:eastAsia="Arial" w:hAnsi="Arial"/>
          <w:sz w:val="16"/>
          <w:szCs w:val="16"/>
          <w:color w:val="auto"/>
        </w:rPr>
      </w:pPr>
    </w:p>
    <w:p>
      <w:pPr>
        <w:ind w:left="1000" w:right="319" w:hanging="348"/>
        <w:spacing w:after="0" w:line="255"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4" w:lineRule="exact"/>
        <w:rPr>
          <w:rFonts w:ascii="Arial" w:cs="Arial" w:eastAsia="Arial" w:hAnsi="Arial"/>
          <w:sz w:val="18"/>
          <w:szCs w:val="18"/>
          <w:color w:val="auto"/>
        </w:rPr>
      </w:pPr>
    </w:p>
    <w:p>
      <w:pPr>
        <w:ind w:left="1000" w:right="579" w:hanging="348"/>
        <w:spacing w:after="0" w:line="296"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53" w:lineRule="exact"/>
        <w:rPr>
          <w:rFonts w:ascii="Arial" w:cs="Arial" w:eastAsia="Arial" w:hAnsi="Arial"/>
          <w:sz w:val="16"/>
          <w:szCs w:val="16"/>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117" w:lineRule="exact"/>
        <w:rPr>
          <w:sz w:val="20"/>
          <w:szCs w:val="20"/>
          <w:color w:val="auto"/>
        </w:rPr>
      </w:pPr>
    </w:p>
    <w:p>
      <w:pPr>
        <w:ind w:left="300" w:right="339"/>
        <w:spacing w:after="0" w:line="272"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69"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63" w:lineRule="exact"/>
        <w:rPr>
          <w:sz w:val="20"/>
          <w:szCs w:val="20"/>
          <w:color w:val="auto"/>
        </w:rPr>
      </w:pPr>
    </w:p>
    <w:p>
      <w:pPr>
        <w:ind w:left="300" w:right="659"/>
        <w:spacing w:after="0" w:line="311" w:lineRule="auto"/>
        <w:rPr>
          <w:sz w:val="20"/>
          <w:szCs w:val="20"/>
          <w:color w:val="auto"/>
        </w:rPr>
      </w:pPr>
      <w:r>
        <w:rPr>
          <w:rFonts w:ascii="Arial" w:cs="Arial" w:eastAsia="Arial" w:hAnsi="Arial"/>
          <w:sz w:val="16"/>
          <w:szCs w:val="16"/>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9"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its duties under the Trust Indenture Act, the trustee need not take any action that might involve it in personal liability or might be unduly prejudicial to the holders not involved in the proceeding.</w:t>
      </w:r>
    </w:p>
    <w:p>
      <w:pPr>
        <w:spacing w:after="0" w:line="16"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62"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 has given written notice to the trustee of a continuing event of default with respect to that series;</w:t>
      </w:r>
    </w:p>
    <w:p>
      <w:pPr>
        <w:spacing w:after="0" w:line="140" w:lineRule="exact"/>
        <w:rPr>
          <w:rFonts w:ascii="Arial" w:cs="Arial" w:eastAsia="Arial" w:hAnsi="Arial"/>
          <w:sz w:val="16"/>
          <w:szCs w:val="16"/>
          <w:color w:val="auto"/>
        </w:rPr>
      </w:pPr>
    </w:p>
    <w:p>
      <w:pPr>
        <w:ind w:left="1000" w:right="419" w:hanging="348"/>
        <w:spacing w:after="0" w:line="31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that series have made written request, such holders have offered to the trustee indemnity satisfactory to it against the costs, expenses and liabilities to be incurred by the trustee in compliance with the request; and</w:t>
      </w:r>
    </w:p>
    <w:p>
      <w:pPr>
        <w:spacing w:after="0" w:line="40" w:lineRule="exact"/>
        <w:rPr>
          <w:rFonts w:ascii="Arial" w:cs="Arial" w:eastAsia="Arial" w:hAnsi="Arial"/>
          <w:sz w:val="16"/>
          <w:szCs w:val="16"/>
          <w:color w:val="auto"/>
        </w:rPr>
      </w:pPr>
    </w:p>
    <w:p>
      <w:pPr>
        <w:ind w:left="1000" w:right="65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76"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62" w:lineRule="exact"/>
        <w:rPr>
          <w:sz w:val="20"/>
          <w:szCs w:val="20"/>
          <w:color w:val="auto"/>
        </w:rPr>
      </w:pPr>
    </w:p>
    <w:p>
      <w:pPr>
        <w:ind w:left="300" w:right="859"/>
        <w:spacing w:after="0" w:line="277" w:lineRule="auto"/>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of Indenture; Waiver</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and the trustee may change an indenture without the consent of any holders with respect to specific matters:</w:t>
      </w:r>
    </w:p>
    <w:p>
      <w:pPr>
        <w:spacing w:after="0" w:line="140"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the debt securities of any series;</w:t>
      </w:r>
    </w:p>
    <w:p>
      <w:pPr>
        <w:spacing w:after="0" w:line="128" w:lineRule="exact"/>
        <w:rPr>
          <w:rFonts w:ascii="Arial" w:cs="Arial" w:eastAsia="Arial" w:hAnsi="Arial"/>
          <w:sz w:val="17"/>
          <w:szCs w:val="17"/>
          <w:color w:val="auto"/>
        </w:rPr>
      </w:pPr>
    </w:p>
    <w:p>
      <w:pPr>
        <w:ind w:left="1000" w:right="8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the heading “Description of Debt Securities— Consolidation, Merger or Sale;”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ind w:left="1000" w:right="319" w:hanging="348"/>
        <w:spacing w:after="0" w:line="301"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9" w:lineRule="exact"/>
        <w:rPr>
          <w:rFonts w:ascii="Arial" w:cs="Arial" w:eastAsia="Arial" w:hAnsi="Arial"/>
          <w:sz w:val="16"/>
          <w:szCs w:val="16"/>
          <w:color w:val="auto"/>
        </w:rPr>
      </w:pPr>
    </w:p>
    <w:p>
      <w:pPr>
        <w:ind w:left="1000" w:right="659" w:hanging="348"/>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add to, delete from or revise the conditions, limitations, and restrictions on the authorized amount, terms, or purposes of issue, authentication and delivery of debt securities, as set forth in the indenture;</w:t>
      </w:r>
    </w:p>
    <w:p>
      <w:pPr>
        <w:spacing w:after="0" w:line="15" w:lineRule="exact"/>
        <w:rPr>
          <w:rFonts w:ascii="Arial" w:cs="Arial" w:eastAsia="Arial" w:hAnsi="Arial"/>
          <w:sz w:val="16"/>
          <w:szCs w:val="16"/>
          <w:color w:val="auto"/>
        </w:rPr>
      </w:pPr>
    </w:p>
    <w:p>
      <w:pPr>
        <w:ind w:left="1000" w:right="7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62" w:lineRule="exact"/>
        <w:rPr>
          <w:rFonts w:ascii="Arial" w:cs="Arial" w:eastAsia="Arial" w:hAnsi="Arial"/>
          <w:sz w:val="18"/>
          <w:szCs w:val="18"/>
          <w:color w:val="auto"/>
        </w:rPr>
      </w:pPr>
    </w:p>
    <w:p>
      <w:pPr>
        <w:ind w:left="1000" w:right="379" w:hanging="348"/>
        <w:spacing w:after="0" w:line="279"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any indenture by a successor trustee; or</w:t>
      </w:r>
    </w:p>
    <w:p>
      <w:pPr>
        <w:spacing w:after="0" w:line="140" w:lineRule="exact"/>
        <w:rPr>
          <w:rFonts w:ascii="Arial" w:cs="Arial" w:eastAsia="Arial" w:hAnsi="Arial"/>
          <w:sz w:val="16"/>
          <w:szCs w:val="16"/>
          <w:color w:val="auto"/>
        </w:rPr>
      </w:pPr>
    </w:p>
    <w:p>
      <w:pPr>
        <w:ind w:left="1000" w:right="5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8"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1000" w:right="919" w:hanging="348"/>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reducing the principal amount, reducing the rate of or extending the time of payment of interest, or reducing any premium payable upon the redemption of any series of any debt securities; or</w:t>
      </w:r>
    </w:p>
    <w:p>
      <w:pPr>
        <w:spacing w:after="0" w:line="15" w:lineRule="exact"/>
        <w:rPr>
          <w:rFonts w:ascii="Arial" w:cs="Arial" w:eastAsia="Arial" w:hAnsi="Arial"/>
          <w:sz w:val="16"/>
          <w:szCs w:val="16"/>
          <w:color w:val="auto"/>
        </w:rPr>
      </w:pPr>
    </w:p>
    <w:p>
      <w:pPr>
        <w:ind w:left="1000" w:right="35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62"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17"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58"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9"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87" w:lineRule="exact"/>
        <w:rPr>
          <w:sz w:val="20"/>
          <w:szCs w:val="20"/>
          <w:color w:val="auto"/>
        </w:rPr>
      </w:pPr>
    </w:p>
    <w:p>
      <w:pPr>
        <w:ind w:left="300" w:right="339"/>
        <w:spacing w:after="0" w:line="342" w:lineRule="auto"/>
        <w:rPr>
          <w:sz w:val="20"/>
          <w:szCs w:val="20"/>
          <w:color w:val="auto"/>
        </w:rPr>
      </w:pPr>
      <w:r>
        <w:rPr>
          <w:rFonts w:ascii="Arial" w:cs="Arial" w:eastAsia="Arial" w:hAnsi="Arial"/>
          <w:sz w:val="16"/>
          <w:szCs w:val="16"/>
          <w:color w:val="auto"/>
        </w:rPr>
        <w:t>We will name in the applicable prospectus supplement the security registrar, and any transfer agent in addition to the security registrar, that we initially designate for any debt securities. We may at any time designate additional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17" w:lineRule="exact"/>
        <w:rPr>
          <w:sz w:val="20"/>
          <w:szCs w:val="20"/>
          <w:color w:val="auto"/>
        </w:rPr>
      </w:pPr>
    </w:p>
    <w:p>
      <w:pPr>
        <w:jc w:val="both"/>
        <w:ind w:left="1000" w:right="319" w:hanging="348"/>
        <w:spacing w:after="0" w:line="31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40" w:lineRule="exact"/>
        <w:rPr>
          <w:rFonts w:ascii="Arial" w:cs="Arial" w:eastAsia="Arial" w:hAnsi="Arial"/>
          <w:sz w:val="16"/>
          <w:szCs w:val="16"/>
          <w:color w:val="auto"/>
        </w:rPr>
      </w:pPr>
    </w:p>
    <w:p>
      <w:pPr>
        <w:ind w:left="1000" w:right="6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300" w:right="419"/>
        <w:spacing w:after="0" w:line="293" w:lineRule="auto"/>
        <w:rPr>
          <w:sz w:val="20"/>
          <w:szCs w:val="20"/>
          <w:color w:val="auto"/>
        </w:rPr>
      </w:pPr>
      <w:r>
        <w:rPr>
          <w:rFonts w:ascii="Arial" w:cs="Arial" w:eastAsia="Arial" w:hAnsi="Arial"/>
          <w:sz w:val="16"/>
          <w:szCs w:val="16"/>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4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439"/>
        <w:spacing w:after="0" w:line="288"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2 common stock, preferred stock or debt securities and may be issued in one or more series. Warrants may be offered independently or in combination with Class 2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60"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1059"/>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22"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76" w:lineRule="exact"/>
        <w:rPr>
          <w:rFonts w:ascii="Arial" w:cs="Arial" w:eastAsia="Arial" w:hAnsi="Arial"/>
          <w:sz w:val="18"/>
          <w:szCs w:val="18"/>
          <w:color w:val="auto"/>
        </w:rPr>
      </w:pPr>
    </w:p>
    <w:p>
      <w:pPr>
        <w:ind w:left="1000" w:right="899" w:hanging="348"/>
        <w:spacing w:after="0" w:line="325"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Arial" w:cs="Arial" w:eastAsia="Arial" w:hAnsi="Arial"/>
          <w:sz w:val="16"/>
          <w:szCs w:val="16"/>
          <w:color w:val="auto"/>
        </w:rPr>
      </w:pPr>
    </w:p>
    <w:p>
      <w:pPr>
        <w:ind w:left="1000" w:right="69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48" w:lineRule="exact"/>
        <w:rPr>
          <w:rFonts w:ascii="Arial" w:cs="Arial" w:eastAsia="Arial" w:hAnsi="Arial"/>
          <w:sz w:val="18"/>
          <w:szCs w:val="18"/>
          <w:color w:val="auto"/>
        </w:rPr>
      </w:pPr>
    </w:p>
    <w:p>
      <w:pPr>
        <w:ind w:left="1000" w:right="319" w:hanging="348"/>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case of warrants to purchase Class 2 common stock or preferred stock, the number of shares of Class 2 common stock or preferred stock, as the case may be, purchasable upon the exercise of one warrant and the price at which these shares may be purchased upon such exercise;</w:t>
      </w:r>
    </w:p>
    <w:p>
      <w:pPr>
        <w:spacing w:after="0" w:line="16"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0"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0"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discussion of material or special U.S. federal income tax considerations, if any, of holding or exercising the warrants;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62" w:lineRule="exact"/>
        <w:rPr>
          <w:sz w:val="20"/>
          <w:szCs w:val="20"/>
          <w:color w:val="auto"/>
        </w:rPr>
      </w:pPr>
    </w:p>
    <w:p>
      <w:pPr>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warrants to purchase Class 2 common stock or preferred stock, the right to receive dividends, if any, or payments upon our liquidation, dissolution or winding up or to exercise voting rights, if any.</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300" w:right="479"/>
        <w:spacing w:after="0" w:line="273" w:lineRule="auto"/>
        <w:rPr>
          <w:sz w:val="20"/>
          <w:szCs w:val="20"/>
          <w:color w:val="auto"/>
        </w:rPr>
      </w:pPr>
      <w:r>
        <w:rPr>
          <w:rFonts w:ascii="Arial" w:cs="Arial" w:eastAsia="Arial" w:hAnsi="Arial"/>
          <w:sz w:val="17"/>
          <w:szCs w:val="17"/>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70"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359"/>
        <w:spacing w:after="0" w:line="308" w:lineRule="auto"/>
        <w:rPr>
          <w:sz w:val="20"/>
          <w:szCs w:val="20"/>
          <w:color w:val="auto"/>
        </w:rPr>
      </w:pPr>
      <w:r>
        <w:rPr>
          <w:rFonts w:ascii="Arial" w:cs="Arial" w:eastAsia="Arial" w:hAnsi="Arial"/>
          <w:sz w:val="17"/>
          <w:szCs w:val="17"/>
          <w:color w:val="auto"/>
        </w:rPr>
        <w:t>Unless we provide otherwise in the applicable prospectus supplement, the warrants and any warrant agreements will be governed by and construed in accordance with the internal laws of the State of New York.</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121"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80"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69"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300" w:right="499"/>
        <w:spacing w:after="0" w:line="301"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49"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80"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300" w:right="739"/>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62"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of third-party service providers;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securities are in book-entry form, how the depositary’s rules and procedures will affect these matters.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global security is a security that represents one or any other number of individual securities held by a depositary.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Generally, all securities represented by the same global securities will have the same terms.</w:t>
      </w:r>
    </w:p>
    <w:p>
      <w:pPr>
        <w:spacing w:after="0" w:line="103"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79"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73"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117" w:lineRule="exact"/>
        <w:rPr>
          <w:sz w:val="20"/>
          <w:szCs w:val="20"/>
          <w:color w:val="auto"/>
        </w:rPr>
      </w:pPr>
    </w:p>
    <w:p>
      <w:pPr>
        <w:ind w:left="1000" w:right="57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investor cannot cause the securities to be registered in his or her name, and cannot obtain non-global certificates for his or her interest in the securities, except in the special situations we describe below;</w:t>
      </w:r>
    </w:p>
    <w:p>
      <w:pPr>
        <w:spacing w:after="0" w:line="15" w:lineRule="exact"/>
        <w:rPr>
          <w:rFonts w:ascii="Arial" w:cs="Arial" w:eastAsia="Arial" w:hAnsi="Arial"/>
          <w:sz w:val="16"/>
          <w:szCs w:val="16"/>
          <w:color w:val="auto"/>
        </w:rPr>
      </w:pPr>
    </w:p>
    <w:p>
      <w:pPr>
        <w:ind w:left="1000" w:right="45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investor will be an indirect holder and must look to his or her own bank or broker for payments on the securities and protection of his or her legal rights relating to the securities, as we describe above;</w:t>
      </w:r>
    </w:p>
    <w:p>
      <w:pPr>
        <w:spacing w:after="0" w:line="15" w:lineRule="exact"/>
        <w:rPr>
          <w:rFonts w:ascii="Arial" w:cs="Arial" w:eastAsia="Arial" w:hAnsi="Arial"/>
          <w:sz w:val="16"/>
          <w:szCs w:val="16"/>
          <w:color w:val="auto"/>
        </w:rPr>
      </w:pPr>
    </w:p>
    <w:p>
      <w:pPr>
        <w:ind w:left="1000" w:right="679" w:hanging="348"/>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investor may not be able to sell interests in the securities to some insurance companies and to other institutions that are required by law to own their securities in non-book-entry form;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75"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76"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jc w:val="both"/>
        <w:ind w:left="300" w:right="539"/>
        <w:spacing w:after="0" w:line="275" w:lineRule="auto"/>
        <w:rPr>
          <w:sz w:val="20"/>
          <w:szCs w:val="20"/>
          <w:color w:val="auto"/>
        </w:rPr>
      </w:pPr>
      <w:r>
        <w:rPr>
          <w:rFonts w:ascii="Arial" w:cs="Arial" w:eastAsia="Arial" w:hAnsi="Arial"/>
          <w:sz w:val="17"/>
          <w:szCs w:val="17"/>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68" w:lineRule="exact"/>
        <w:rPr>
          <w:sz w:val="20"/>
          <w:szCs w:val="20"/>
          <w:color w:val="auto"/>
        </w:rPr>
      </w:pPr>
    </w:p>
    <w:p>
      <w:pPr>
        <w:ind w:left="1000" w:right="53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we provide otherwise in the applicable prospectus supplement, the global security will terminate when the following special situations occur:</w:t>
      </w:r>
    </w:p>
    <w:p>
      <w:pPr>
        <w:spacing w:after="0" w:line="62"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17"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62"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300" w:right="459"/>
        <w:spacing w:after="0" w:line="296" w:lineRule="auto"/>
        <w:rPr>
          <w:sz w:val="20"/>
          <w:szCs w:val="20"/>
          <w:color w:val="auto"/>
        </w:rPr>
      </w:pPr>
      <w:r>
        <w:rPr>
          <w:rFonts w:ascii="Arial" w:cs="Arial" w:eastAsia="Arial" w:hAnsi="Arial"/>
          <w:sz w:val="16"/>
          <w:szCs w:val="16"/>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We or selling securityholders may sell the securities from time to time pursuant to underwritten public offerings,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80"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300" w:right="819"/>
        <w:spacing w:after="0" w:line="342" w:lineRule="auto"/>
        <w:rPr>
          <w:sz w:val="20"/>
          <w:szCs w:val="20"/>
          <w:color w:val="auto"/>
        </w:rPr>
      </w:pPr>
      <w:r>
        <w:rPr>
          <w:rFonts w:ascii="Arial" w:cs="Arial" w:eastAsia="Arial" w:hAnsi="Arial"/>
          <w:sz w:val="16"/>
          <w:szCs w:val="16"/>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the underwriters, dealers or agents,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the selling securityholders, if 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may purchase additional securities from us or any selling securityholders;</w:t>
      </w:r>
    </w:p>
    <w:p>
      <w:pPr>
        <w:spacing w:after="0" w:line="62" w:lineRule="exact"/>
        <w:rPr>
          <w:rFonts w:ascii="Arial" w:cs="Arial" w:eastAsia="Arial" w:hAnsi="Arial"/>
          <w:sz w:val="18"/>
          <w:szCs w:val="18"/>
          <w:color w:val="auto"/>
        </w:rPr>
      </w:pPr>
    </w:p>
    <w:p>
      <w:pPr>
        <w:ind w:left="1000" w:right="115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17"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0" w:lineRule="exact"/>
        <w:rPr>
          <w:sz w:val="20"/>
          <w:szCs w:val="20"/>
          <w:color w:val="auto"/>
        </w:rPr>
      </w:pPr>
    </w:p>
    <w:p>
      <w:pPr>
        <w:ind w:left="300" w:right="339"/>
        <w:spacing w:after="0" w:line="311" w:lineRule="auto"/>
        <w:rPr>
          <w:sz w:val="20"/>
          <w:szCs w:val="20"/>
          <w:color w:val="auto"/>
        </w:rPr>
      </w:pPr>
      <w:r>
        <w:rPr>
          <w:rFonts w:ascii="Arial" w:cs="Arial" w:eastAsia="Arial" w:hAnsi="Arial"/>
          <w:sz w:val="16"/>
          <w:szCs w:val="16"/>
          <w:color w:val="auto"/>
        </w:rPr>
        <w:t>Unless stated otherwise in the prospectus supplement, the securities offered by a prospectus supplement have not been qualified for distribution by prospectus under the securities laws of any province or territory of Canada, and may only be sold in Canada pursuant to an exemption from the prospectus requirements of Canadian securities laws.</w:t>
      </w:r>
    </w:p>
    <w:p>
      <w:pPr>
        <w:spacing w:after="0" w:line="4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a selling stockholder,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71"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99"/>
        <w:spacing w:after="0" w:line="259" w:lineRule="auto"/>
        <w:rPr>
          <w:sz w:val="20"/>
          <w:szCs w:val="20"/>
          <w:color w:val="auto"/>
        </w:rPr>
      </w:pPr>
      <w:r>
        <w:rPr>
          <w:rFonts w:ascii="Arial" w:cs="Arial" w:eastAsia="Arial" w:hAnsi="Arial"/>
          <w:sz w:val="18"/>
          <w:szCs w:val="18"/>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79"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79"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76"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All securities we may offer, other than Class 2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9"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58"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Any underwriters that are qualified market makers on The Nasdaq Global Select Market may engage in passive market making transactions in the Class 2 common stock on The Nasdaq Global Select Market in accordance with Regulation M under the Exchange Act, during the business day prior to the pricing of the offering, before the commencement of offers or sales of the Class 2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Unless otherwise indicated in the applicable prospectus supplement, the validity of the securities offered by this prospectus, and any supplement thereto, will be passed upon for us by DLA Piper LLP (US), New York, New York. Any underwriters, dealers or agents will also be advised about the validity of the securities and other legal matters by their own counsel, which will be named in the applicable prospectus supplement.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spacing w:after="0" w:line="271"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by reference in this Prospectus by reference to the Annual Report on Form 10-K for the year ended May 31, 2022, as amended by Amendment No. 1 to our Annual Report on Form 10-K, have been so incorporated in reliance on the report (which contains a paragraph relating to the effectiveness of internal control over financial reporting due to the exclusion of Breckenridge because it was acquired by the Company in a purchase business combination during the year ended May 31, 2022) of PricewaterhouseCoopers LLP, an independent registered public accounting firm, given on the authority of said firm as experts in auditing and accounting.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84"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559"/>
        <w:spacing w:after="0" w:line="274" w:lineRule="auto"/>
        <w:rPr>
          <w:sz w:val="20"/>
          <w:szCs w:val="20"/>
          <w:color w:val="auto"/>
        </w:rPr>
      </w:pPr>
      <w:r>
        <w:rPr>
          <w:rFonts w:ascii="Arial" w:cs="Arial" w:eastAsia="Arial" w:hAnsi="Arial"/>
          <w:sz w:val="17"/>
          <w:szCs w:val="17"/>
          <w:color w:val="auto"/>
        </w:rPr>
        <w:t>The SEC allows us to “incorporate by reference” into this prospectus certain information. This means that we can disclose important information to you by referring you to those documents that contain the information.</w:t>
      </w:r>
    </w:p>
    <w:p>
      <w:pPr>
        <w:ind w:left="300" w:right="519"/>
        <w:spacing w:after="0" w:line="253" w:lineRule="auto"/>
        <w:rPr>
          <w:sz w:val="20"/>
          <w:szCs w:val="20"/>
          <w:color w:val="auto"/>
        </w:rPr>
      </w:pPr>
      <w:r>
        <w:rPr>
          <w:rFonts w:ascii="Arial" w:cs="Arial" w:eastAsia="Arial" w:hAnsi="Arial"/>
          <w:sz w:val="18"/>
          <w:szCs w:val="18"/>
          <w:color w:val="auto"/>
        </w:rPr>
        <w:t>The information we incorporate by reference is considered a part of this prospectus.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85" w:lineRule="exact"/>
        <w:rPr>
          <w:sz w:val="20"/>
          <w:szCs w:val="20"/>
          <w:color w:val="auto"/>
        </w:rPr>
      </w:pPr>
    </w:p>
    <w:p>
      <w:pPr>
        <w:ind w:left="1000" w:right="319" w:hanging="348"/>
        <w:spacing w:after="0" w:line="30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our Annual Report on Form 10-K for the fiscal year ended May 31, 2022, which includes audited financial statements for the latest fiscal year, filed on </w:t>
      </w:r>
      <w:hyperlink r:id="rId74">
        <w:r>
          <w:rPr>
            <w:rFonts w:ascii="Arial" w:cs="Arial" w:eastAsia="Arial" w:hAnsi="Arial"/>
            <w:sz w:val="16"/>
            <w:szCs w:val="16"/>
            <w:u w:val="single" w:color="auto"/>
            <w:color w:val="0000EE"/>
          </w:rPr>
          <w:t>July 28, 2022</w:t>
        </w:r>
      </w:hyperlink>
      <w:r>
        <w:rPr>
          <w:rFonts w:ascii="Arial" w:cs="Arial" w:eastAsia="Arial" w:hAnsi="Arial"/>
          <w:sz w:val="16"/>
          <w:szCs w:val="16"/>
          <w:color w:val="auto"/>
        </w:rPr>
        <w:t xml:space="preserve">, as amended by Amendment No. 1 to our Annual Report on Form 10-K for the fiscal year ended May 31, 2022 (as amended, the “2022 Form 10-K”) , which includes audited financial statements for the latest fiscal year, filed on </w:t>
      </w:r>
      <w:hyperlink r:id="rId28">
        <w:r>
          <w:rPr>
            <w:rFonts w:ascii="Arial" w:cs="Arial" w:eastAsia="Arial" w:hAnsi="Arial"/>
            <w:sz w:val="16"/>
            <w:szCs w:val="16"/>
            <w:u w:val="single" w:color="auto"/>
            <w:color w:val="0000EE"/>
          </w:rPr>
          <w:t>October 7, 2022</w:t>
        </w:r>
      </w:hyperlink>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2022 Form 10-K from our definitive proxy statement on Schedule 14A filed with the SEC on </w:t>
      </w:r>
      <w:hyperlink r:id="rId29">
        <w:r>
          <w:rPr>
            <w:rFonts w:ascii="Arial" w:cs="Arial" w:eastAsia="Arial" w:hAnsi="Arial"/>
            <w:sz w:val="18"/>
            <w:szCs w:val="18"/>
            <w:u w:val="single" w:color="auto"/>
            <w:color w:val="0000EE"/>
          </w:rPr>
          <w:t>October 3, 2022</w:t>
        </w:r>
      </w:hyperlink>
      <w:r>
        <w:rPr>
          <w:rFonts w:ascii="Arial" w:cs="Arial" w:eastAsia="Arial" w:hAnsi="Arial"/>
          <w:sz w:val="18"/>
          <w:szCs w:val="18"/>
          <w:color w:val="auto"/>
        </w:rPr>
        <w:t>, as well as any amendments thereto reflected in subsequent filings with the SEC;</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75">
        <w:r>
          <w:rPr>
            <w:rFonts w:ascii="Arial" w:cs="Arial" w:eastAsia="Arial" w:hAnsi="Arial"/>
            <w:sz w:val="18"/>
            <w:szCs w:val="18"/>
            <w:u w:val="single" w:color="auto"/>
            <w:color w:val="0000EE"/>
          </w:rPr>
          <w:t>August 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6">
        <w:r>
          <w:rPr>
            <w:rFonts w:ascii="Arial" w:cs="Arial" w:eastAsia="Arial" w:hAnsi="Arial"/>
            <w:sz w:val="18"/>
            <w:szCs w:val="18"/>
            <w:u w:val="single" w:color="auto"/>
            <w:color w:val="0000EE"/>
          </w:rPr>
          <w:t>September 1, 2022</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description of our securities as set forth in our registration statement on Form 8-A/A (File No. 001-38594), filed with the SEC on </w:t>
      </w:r>
      <w:hyperlink r:id="rId38">
        <w:r>
          <w:rPr>
            <w:rFonts w:ascii="Arial" w:cs="Arial" w:eastAsia="Arial" w:hAnsi="Arial"/>
            <w:sz w:val="17"/>
            <w:szCs w:val="17"/>
            <w:u w:val="single" w:color="auto"/>
            <w:color w:val="0000EE"/>
          </w:rPr>
          <w:t>October 1, 2020</w:t>
        </w:r>
      </w:hyperlink>
      <w:r>
        <w:rPr>
          <w:rFonts w:ascii="Arial" w:cs="Arial" w:eastAsia="Arial" w:hAnsi="Arial"/>
          <w:sz w:val="17"/>
          <w:szCs w:val="17"/>
          <w:color w:val="auto"/>
        </w:rPr>
        <w:t>, pursuant to Section 12(b) of the Exchange Act, including any subsequent amendments or reports filed for the purpose of updating such description.</w:t>
      </w:r>
    </w:p>
    <w:p>
      <w:pPr>
        <w:spacing w:after="0" w:line="57" w:lineRule="exact"/>
        <w:rPr>
          <w:rFonts w:ascii="Arial" w:cs="Arial" w:eastAsia="Arial" w:hAnsi="Arial"/>
          <w:sz w:val="18"/>
          <w:szCs w:val="18"/>
          <w:color w:val="auto"/>
        </w:rPr>
      </w:pPr>
    </w:p>
    <w:p>
      <w:pPr>
        <w:ind w:left="300" w:right="359"/>
        <w:spacing w:after="0" w:line="275" w:lineRule="auto"/>
        <w:rPr>
          <w:sz w:val="20"/>
          <w:szCs w:val="20"/>
          <w:color w:val="auto"/>
        </w:rPr>
      </w:pPr>
      <w:r>
        <w:rPr>
          <w:rFonts w:ascii="Arial" w:cs="Arial" w:eastAsia="Arial" w:hAnsi="Arial"/>
          <w:sz w:val="17"/>
          <w:szCs w:val="17"/>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and the inclusion of our website address in this prospectus is an inactive textual reference only.</w:t>
      </w:r>
    </w:p>
    <w:p>
      <w:pPr>
        <w:spacing w:after="0" w:line="68" w:lineRule="exact"/>
        <w:rPr>
          <w:rFonts w:ascii="Arial" w:cs="Arial" w:eastAsia="Arial" w:hAnsi="Arial"/>
          <w:sz w:val="18"/>
          <w:szCs w:val="18"/>
          <w:color w:val="auto"/>
        </w:rPr>
      </w:pPr>
    </w:p>
    <w:p>
      <w:pPr>
        <w:ind w:left="300"/>
        <w:spacing w:after="0"/>
        <w:rPr>
          <w:sz w:val="20"/>
          <w:szCs w:val="20"/>
          <w:color w:val="auto"/>
        </w:rPr>
      </w:pPr>
      <w:r>
        <w:rPr>
          <w:rFonts w:ascii="Arial" w:cs="Arial" w:eastAsia="Arial" w:hAnsi="Arial"/>
          <w:sz w:val="18"/>
          <w:szCs w:val="18"/>
          <w:color w:val="auto"/>
        </w:rPr>
        <w:t>We also incorporate by reference in this prospectus any future filings that we make with the SEC under</w:t>
      </w:r>
    </w:p>
    <w:p>
      <w:pPr>
        <w:spacing w:after="0" w:line="23" w:lineRule="exact"/>
        <w:rPr>
          <w:rFonts w:ascii="Arial" w:cs="Arial" w:eastAsia="Arial" w:hAnsi="Arial"/>
          <w:sz w:val="18"/>
          <w:szCs w:val="18"/>
          <w:color w:val="auto"/>
        </w:rPr>
      </w:pPr>
    </w:p>
    <w:p>
      <w:pPr>
        <w:ind w:left="300" w:right="319"/>
        <w:spacing w:after="0" w:line="269" w:lineRule="auto"/>
        <w:rPr>
          <w:sz w:val="20"/>
          <w:szCs w:val="20"/>
          <w:color w:val="auto"/>
        </w:rPr>
      </w:pPr>
      <w:r>
        <w:rPr>
          <w:rFonts w:ascii="Arial" w:cs="Arial" w:eastAsia="Arial" w:hAnsi="Arial"/>
          <w:sz w:val="17"/>
          <w:szCs w:val="17"/>
          <w:color w:val="auto"/>
        </w:rPr>
        <w:t>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8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65" w:right="1440" w:bottom="1440" w:gutter="0" w:footer="0" w:header="0"/>
        </w:sectPr>
      </w:pPr>
    </w:p>
    <w:bookmarkStart w:id="45" w:name="page46"/>
    <w:bookmarkEnd w:id="45"/>
    <w:p>
      <w:pPr>
        <w:ind w:left="101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Calculation of Filing Fee Tables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424(b)(7)</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(Form Type)</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Tilray Brands,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1: Newly Registered and Carry Forward Securities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880" w:type="dxa"/>
            <w:vAlign w:val="bottom"/>
            <w:tcBorders>
              <w:top w:val="single" w:sz="8" w:color="auto"/>
              <w:left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Filing Fee</w:t>
            </w:r>
          </w:p>
        </w:tc>
        <w:tc>
          <w:tcPr>
            <w:tcW w:w="0" w:type="dxa"/>
            <w:vAlign w:val="bottom"/>
          </w:tcPr>
          <w:p>
            <w:pPr>
              <w:spacing w:after="0"/>
              <w:rPr>
                <w:sz w:val="1"/>
                <w:szCs w:val="1"/>
                <w:color w:val="auto"/>
              </w:rPr>
            </w:pPr>
          </w:p>
        </w:tc>
      </w:tr>
      <w:tr>
        <w:trPr>
          <w:trHeight w:val="149"/>
        </w:trPr>
        <w:tc>
          <w:tcPr>
            <w:tcW w:w="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Fee</w:t>
            </w: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Previously Paid</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8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Carry</w:t>
            </w:r>
          </w:p>
        </w:tc>
        <w:tc>
          <w:tcPr>
            <w:tcW w:w="80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8"/>
              </w:rPr>
              <w:t>Carry</w:t>
            </w:r>
          </w:p>
        </w:tc>
        <w:tc>
          <w:tcPr>
            <w:tcW w:w="7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In Connection</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Calculation</w:t>
            </w: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8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8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with Unsold</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or Carry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8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8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rPr>
              <w:t>Forward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Initial</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Forward</w:t>
            </w:r>
          </w:p>
        </w:tc>
        <w:tc>
          <w:tcPr>
            <w:tcW w:w="9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Fee Rate</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Form</w:t>
            </w:r>
          </w:p>
        </w:tc>
        <w:tc>
          <w:tcPr>
            <w:tcW w:w="8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9"/>
              </w:rPr>
              <w:t>File</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effective</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Carried</w:t>
            </w:r>
          </w:p>
        </w:tc>
        <w:tc>
          <w:tcPr>
            <w:tcW w:w="0" w:type="dxa"/>
            <w:vAlign w:val="bottom"/>
          </w:tcPr>
          <w:p>
            <w:pPr>
              <w:spacing w:after="0"/>
              <w:rPr>
                <w:sz w:val="1"/>
                <w:szCs w:val="1"/>
                <w:color w:val="auto"/>
              </w:rPr>
            </w:pPr>
          </w:p>
        </w:tc>
      </w:tr>
      <w:tr>
        <w:trPr>
          <w:trHeight w:val="178"/>
        </w:trPr>
        <w:tc>
          <w:tcPr>
            <w:tcW w:w="880" w:type="dxa"/>
            <w:vAlign w:val="bottom"/>
            <w:tcBorders>
              <w:left w:val="single" w:sz="8" w:color="auto"/>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Class 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Rule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Unit</w:t>
            </w:r>
            <w:r>
              <w:rPr>
                <w:rFonts w:ascii="Arial" w:cs="Arial" w:eastAsia="Arial" w:hAnsi="Arial"/>
                <w:sz w:val="14"/>
                <w:szCs w:val="14"/>
                <w:color w:val="auto"/>
                <w:w w:val="99"/>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tcBorders>
              <w:bottom w:val="single" w:sz="8" w:color="auto"/>
              <w:right w:val="single" w:sz="8" w:color="auto"/>
            </w:tcBorders>
            <w:vMerge w:val="continue"/>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w:t>
            </w:r>
            <w:r>
              <w:rPr>
                <w:rFonts w:ascii="Arial" w:cs="Arial" w:eastAsia="Arial" w:hAnsi="Arial"/>
                <w:sz w:val="14"/>
                <w:szCs w:val="14"/>
                <w:color w:val="auto"/>
                <w:w w:val="92"/>
              </w:rPr>
              <w:t>(2)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80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Forward</w:t>
            </w:r>
          </w:p>
        </w:tc>
        <w:tc>
          <w:tcPr>
            <w:tcW w:w="0" w:type="dxa"/>
            <w:vAlign w:val="bottom"/>
          </w:tcPr>
          <w:p>
            <w:pPr>
              <w:spacing w:after="0"/>
              <w:rPr>
                <w:sz w:val="1"/>
                <w:szCs w:val="1"/>
                <w:color w:val="auto"/>
              </w:rPr>
            </w:pPr>
          </w:p>
        </w:tc>
      </w:tr>
      <w:tr>
        <w:trPr>
          <w:trHeight w:val="156"/>
        </w:trPr>
        <w:tc>
          <w:tcPr>
            <w:tcW w:w="8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Newly Registered Securities</w:t>
            </w:r>
          </w:p>
        </w:tc>
        <w:tc>
          <w:tcPr>
            <w:tcW w:w="10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Fees to be</w:t>
            </w:r>
          </w:p>
        </w:tc>
        <w:tc>
          <w:tcPr>
            <w:tcW w:w="740" w:type="dxa"/>
            <w:vAlign w:val="bottom"/>
            <w:tcBorders>
              <w:right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Equity</w:t>
            </w:r>
          </w:p>
        </w:tc>
        <w:tc>
          <w:tcPr>
            <w:tcW w:w="740" w:type="dxa"/>
            <w:vAlign w:val="bottom"/>
            <w:tcBorders>
              <w:right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Class 2</w:t>
            </w:r>
          </w:p>
        </w:tc>
        <w:tc>
          <w:tcPr>
            <w:tcW w:w="960" w:type="dxa"/>
            <w:vAlign w:val="bottom"/>
            <w:tcBorders>
              <w:right w:val="single" w:sz="8" w:color="auto"/>
            </w:tcBorders>
            <w:shd w:val="clear" w:color="auto" w:fill="CCEEFF"/>
          </w:tcPr>
          <w:p>
            <w:pPr>
              <w:spacing w:after="0"/>
              <w:rPr>
                <w:sz w:val="11"/>
                <w:szCs w:val="11"/>
                <w:color w:val="auto"/>
              </w:rPr>
            </w:pPr>
          </w:p>
        </w:tc>
        <w:tc>
          <w:tcPr>
            <w:tcW w:w="900" w:type="dxa"/>
            <w:vAlign w:val="bottom"/>
            <w:tcBorders>
              <w:right w:val="single" w:sz="8" w:color="auto"/>
            </w:tcBorders>
            <w:shd w:val="clear" w:color="auto" w:fill="CCEEFF"/>
          </w:tcPr>
          <w:p>
            <w:pPr>
              <w:spacing w:after="0"/>
              <w:rPr>
                <w:sz w:val="11"/>
                <w:szCs w:val="11"/>
                <w:color w:val="auto"/>
              </w:rPr>
            </w:pPr>
          </w:p>
        </w:tc>
        <w:tc>
          <w:tcPr>
            <w:tcW w:w="900" w:type="dxa"/>
            <w:vAlign w:val="bottom"/>
            <w:tcBorders>
              <w:right w:val="single" w:sz="8" w:color="auto"/>
            </w:tcBorders>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800" w:type="dxa"/>
            <w:vAlign w:val="bottom"/>
            <w:tcBorders>
              <w:right w:val="single" w:sz="8" w:color="auto"/>
            </w:tcBorders>
            <w:shd w:val="clear" w:color="auto" w:fill="CCEEFF"/>
          </w:tcPr>
          <w:p>
            <w:pPr>
              <w:spacing w:after="0"/>
              <w:rPr>
                <w:sz w:val="11"/>
                <w:szCs w:val="11"/>
                <w:color w:val="auto"/>
              </w:rPr>
            </w:pPr>
          </w:p>
        </w:tc>
        <w:tc>
          <w:tcPr>
            <w:tcW w:w="1040" w:type="dxa"/>
            <w:vAlign w:val="bottom"/>
            <w:tcBorders>
              <w:right w:val="single" w:sz="8" w:color="auto"/>
            </w:tcBorders>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0" w:type="dxa"/>
            <w:vAlign w:val="bottom"/>
            <w:tcBorders>
              <w:right w:val="single" w:sz="8" w:color="auto"/>
            </w:tcBorders>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Paid</w:t>
            </w:r>
          </w:p>
        </w:tc>
        <w:tc>
          <w:tcPr>
            <w:tcW w:w="74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960" w:type="dxa"/>
            <w:vAlign w:val="bottom"/>
            <w:tcBorders>
              <w:right w:val="single" w:sz="8" w:color="auto"/>
            </w:tcBorders>
            <w:shd w:val="clear" w:color="auto" w:fill="CCEEFF"/>
          </w:tcPr>
          <w:p>
            <w:pPr>
              <w:spacing w:after="0"/>
              <w:rPr>
                <w:sz w:val="12"/>
                <w:szCs w:val="12"/>
                <w:color w:val="auto"/>
              </w:rPr>
            </w:pPr>
          </w:p>
        </w:tc>
        <w:tc>
          <w:tcPr>
            <w:tcW w:w="900" w:type="dxa"/>
            <w:vAlign w:val="bottom"/>
            <w:tcBorders>
              <w:right w:val="single" w:sz="8" w:color="auto"/>
            </w:tcBorders>
            <w:shd w:val="clear" w:color="auto" w:fill="CCEEFF"/>
          </w:tcPr>
          <w:p>
            <w:pPr>
              <w:spacing w:after="0"/>
              <w:rPr>
                <w:sz w:val="12"/>
                <w:szCs w:val="12"/>
                <w:color w:val="auto"/>
              </w:rPr>
            </w:pPr>
          </w:p>
        </w:tc>
        <w:tc>
          <w:tcPr>
            <w:tcW w:w="9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Stock, par</w:t>
            </w:r>
          </w:p>
        </w:tc>
        <w:tc>
          <w:tcPr>
            <w:tcW w:w="960" w:type="dxa"/>
            <w:vAlign w:val="bottom"/>
            <w:tcBorders>
              <w:right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457(c)</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1,708,521</w:t>
            </w:r>
          </w:p>
        </w:tc>
        <w:tc>
          <w:tcPr>
            <w:tcW w:w="900" w:type="dxa"/>
            <w:vAlign w:val="bottom"/>
            <w:tcBorders>
              <w:right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$3.69</w:t>
            </w: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$6,304,443</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0. 00011020</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$694.75</w:t>
            </w:r>
          </w:p>
        </w:tc>
        <w:tc>
          <w:tcPr>
            <w:tcW w:w="82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80" w:type="dxa"/>
            <w:vAlign w:val="bottom"/>
            <w:tcBorders>
              <w:left w:val="single" w:sz="8" w:color="auto"/>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vMerge w:val="restart"/>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90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800" w:type="dxa"/>
            <w:vAlign w:val="bottom"/>
            <w:tcBorders>
              <w:right w:val="single" w:sz="8" w:color="auto"/>
            </w:tcBorders>
            <w:vMerge w:val="continue"/>
            <w:shd w:val="clear" w:color="auto" w:fill="CCEEFF"/>
          </w:tcPr>
          <w:p>
            <w:pPr>
              <w:spacing w:after="0"/>
              <w:rPr>
                <w:sz w:val="9"/>
                <w:szCs w:val="9"/>
                <w:color w:val="auto"/>
              </w:rPr>
            </w:pPr>
          </w:p>
        </w:tc>
        <w:tc>
          <w:tcPr>
            <w:tcW w:w="1040" w:type="dxa"/>
            <w:vAlign w:val="bottom"/>
            <w:tcBorders>
              <w:right w:val="single" w:sz="8" w:color="auto"/>
            </w:tcBorders>
            <w:vMerge w:val="continue"/>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800" w:type="dxa"/>
            <w:vAlign w:val="bottom"/>
            <w:tcBorders>
              <w:right w:val="single" w:sz="8" w:color="auto"/>
            </w:tcBorders>
            <w:shd w:val="clear" w:color="auto" w:fill="CCEEFF"/>
          </w:tcPr>
          <w:p>
            <w:pPr>
              <w:spacing w:after="0"/>
              <w:rPr>
                <w:sz w:val="9"/>
                <w:szCs w:val="9"/>
                <w:color w:val="auto"/>
              </w:rPr>
            </w:pPr>
          </w:p>
        </w:tc>
        <w:tc>
          <w:tcPr>
            <w:tcW w:w="780" w:type="dxa"/>
            <w:vAlign w:val="bottom"/>
            <w:tcBorders>
              <w:right w:val="single" w:sz="8" w:color="auto"/>
            </w:tcBorders>
            <w:shd w:val="clear" w:color="auto" w:fill="CCEEFF"/>
          </w:tcPr>
          <w:p>
            <w:pPr>
              <w:spacing w:after="0"/>
              <w:rPr>
                <w:sz w:val="9"/>
                <w:szCs w:val="9"/>
                <w:color w:val="auto"/>
              </w:rPr>
            </w:pPr>
          </w:p>
        </w:tc>
        <w:tc>
          <w:tcPr>
            <w:tcW w:w="102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right w:val="single" w:sz="8" w:color="auto"/>
            </w:tcBorders>
            <w:shd w:val="clear" w:color="auto" w:fill="CCEEFF"/>
          </w:tcPr>
          <w:p>
            <w:pPr>
              <w:spacing w:after="0"/>
              <w:rPr>
                <w:sz w:val="2"/>
                <w:szCs w:val="2"/>
                <w:color w:val="auto"/>
              </w:rPr>
            </w:pPr>
          </w:p>
        </w:tc>
        <w:tc>
          <w:tcPr>
            <w:tcW w:w="740" w:type="dxa"/>
            <w:vAlign w:val="bottom"/>
            <w:tcBorders>
              <w:right w:val="single" w:sz="8" w:color="auto"/>
            </w:tcBorders>
            <w:shd w:val="clear" w:color="auto" w:fill="CCEEFF"/>
          </w:tcPr>
          <w:p>
            <w:pPr>
              <w:spacing w:after="0"/>
              <w:rPr>
                <w:sz w:val="2"/>
                <w:szCs w:val="2"/>
                <w:color w:val="auto"/>
              </w:rPr>
            </w:pPr>
          </w:p>
        </w:tc>
        <w:tc>
          <w:tcPr>
            <w:tcW w:w="740" w:type="dxa"/>
            <w:vAlign w:val="bottom"/>
            <w:tcBorders>
              <w:right w:val="single" w:sz="8" w:color="auto"/>
            </w:tcBorders>
            <w:vMerge w:val="continue"/>
            <w:shd w:val="clear" w:color="auto" w:fill="CCEEFF"/>
          </w:tcPr>
          <w:p>
            <w:pPr>
              <w:spacing w:after="0"/>
              <w:rPr>
                <w:sz w:val="2"/>
                <w:szCs w:val="2"/>
                <w:color w:val="auto"/>
              </w:rPr>
            </w:pPr>
          </w:p>
        </w:tc>
        <w:tc>
          <w:tcPr>
            <w:tcW w:w="960" w:type="dxa"/>
            <w:vAlign w:val="bottom"/>
            <w:tcBorders>
              <w:right w:val="single" w:sz="8" w:color="auto"/>
            </w:tcBorders>
            <w:shd w:val="clear" w:color="auto" w:fill="CCEEFF"/>
          </w:tcPr>
          <w:p>
            <w:pPr>
              <w:spacing w:after="0"/>
              <w:rPr>
                <w:sz w:val="2"/>
                <w:szCs w:val="2"/>
                <w:color w:val="auto"/>
              </w:rPr>
            </w:pPr>
          </w:p>
        </w:tc>
        <w:tc>
          <w:tcPr>
            <w:tcW w:w="900" w:type="dxa"/>
            <w:vAlign w:val="bottom"/>
            <w:tcBorders>
              <w:right w:val="single" w:sz="8" w:color="auto"/>
            </w:tcBorders>
            <w:shd w:val="clear" w:color="auto" w:fill="CCEEFF"/>
          </w:tcPr>
          <w:p>
            <w:pPr>
              <w:spacing w:after="0"/>
              <w:rPr>
                <w:sz w:val="2"/>
                <w:szCs w:val="2"/>
                <w:color w:val="auto"/>
              </w:rPr>
            </w:pPr>
          </w:p>
        </w:tc>
        <w:tc>
          <w:tcPr>
            <w:tcW w:w="900" w:type="dxa"/>
            <w:vAlign w:val="bottom"/>
            <w:tcBorders>
              <w:right w:val="single" w:sz="8" w:color="auto"/>
            </w:tcBorders>
            <w:shd w:val="clear" w:color="auto" w:fill="CCEEFF"/>
          </w:tcPr>
          <w:p>
            <w:pPr>
              <w:spacing w:after="0"/>
              <w:rPr>
                <w:sz w:val="2"/>
                <w:szCs w:val="2"/>
                <w:color w:val="auto"/>
              </w:rPr>
            </w:pPr>
          </w:p>
        </w:tc>
        <w:tc>
          <w:tcPr>
            <w:tcW w:w="880" w:type="dxa"/>
            <w:vAlign w:val="bottom"/>
            <w:tcBorders>
              <w:right w:val="single" w:sz="8" w:color="auto"/>
            </w:tcBorders>
            <w:shd w:val="clear" w:color="auto" w:fill="CCEEFF"/>
          </w:tcPr>
          <w:p>
            <w:pPr>
              <w:spacing w:after="0"/>
              <w:rPr>
                <w:sz w:val="2"/>
                <w:szCs w:val="2"/>
                <w:color w:val="auto"/>
              </w:rPr>
            </w:pPr>
          </w:p>
        </w:tc>
        <w:tc>
          <w:tcPr>
            <w:tcW w:w="800" w:type="dxa"/>
            <w:vAlign w:val="bottom"/>
            <w:tcBorders>
              <w:right w:val="single" w:sz="8" w:color="auto"/>
            </w:tcBorders>
            <w:shd w:val="clear" w:color="auto" w:fill="CCEEFF"/>
          </w:tcPr>
          <w:p>
            <w:pPr>
              <w:spacing w:after="0"/>
              <w:rPr>
                <w:sz w:val="2"/>
                <w:szCs w:val="2"/>
                <w:color w:val="auto"/>
              </w:rPr>
            </w:pPr>
          </w:p>
        </w:tc>
        <w:tc>
          <w:tcPr>
            <w:tcW w:w="1040" w:type="dxa"/>
            <w:vAlign w:val="bottom"/>
            <w:tcBorders>
              <w:right w:val="single" w:sz="8" w:color="auto"/>
            </w:tcBorders>
            <w:shd w:val="clear" w:color="auto" w:fill="CCEEFF"/>
          </w:tcPr>
          <w:p>
            <w:pPr>
              <w:spacing w:after="0"/>
              <w:rPr>
                <w:sz w:val="2"/>
                <w:szCs w:val="2"/>
                <w:color w:val="auto"/>
              </w:rPr>
            </w:pPr>
          </w:p>
        </w:tc>
        <w:tc>
          <w:tcPr>
            <w:tcW w:w="820" w:type="dxa"/>
            <w:vAlign w:val="bottom"/>
            <w:tcBorders>
              <w:right w:val="single" w:sz="8" w:color="auto"/>
            </w:tcBorders>
            <w:shd w:val="clear" w:color="auto" w:fill="CCEEFF"/>
          </w:tcPr>
          <w:p>
            <w:pPr>
              <w:spacing w:after="0"/>
              <w:rPr>
                <w:sz w:val="2"/>
                <w:szCs w:val="2"/>
                <w:color w:val="auto"/>
              </w:rPr>
            </w:pPr>
          </w:p>
        </w:tc>
        <w:tc>
          <w:tcPr>
            <w:tcW w:w="800" w:type="dxa"/>
            <w:vAlign w:val="bottom"/>
            <w:tcBorders>
              <w:right w:val="single" w:sz="8" w:color="auto"/>
            </w:tcBorders>
            <w:shd w:val="clear" w:color="auto" w:fill="CCEEFF"/>
          </w:tcPr>
          <w:p>
            <w:pPr>
              <w:spacing w:after="0"/>
              <w:rPr>
                <w:sz w:val="2"/>
                <w:szCs w:val="2"/>
                <w:color w:val="auto"/>
              </w:rPr>
            </w:pPr>
          </w:p>
        </w:tc>
        <w:tc>
          <w:tcPr>
            <w:tcW w:w="780" w:type="dxa"/>
            <w:vAlign w:val="bottom"/>
            <w:tcBorders>
              <w:right w:val="single" w:sz="8" w:color="auto"/>
            </w:tcBorders>
            <w:shd w:val="clear" w:color="auto" w:fill="CCEEFF"/>
          </w:tcPr>
          <w:p>
            <w:pPr>
              <w:spacing w:after="0"/>
              <w:rPr>
                <w:sz w:val="2"/>
                <w:szCs w:val="2"/>
                <w:color w:val="auto"/>
              </w:rPr>
            </w:pPr>
          </w:p>
        </w:tc>
        <w:tc>
          <w:tcPr>
            <w:tcW w:w="10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80" w:type="dxa"/>
            <w:vAlign w:val="bottom"/>
            <w:tcBorders>
              <w:left w:val="single" w:sz="8" w:color="auto"/>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$0.0001</w:t>
            </w:r>
          </w:p>
        </w:tc>
        <w:tc>
          <w:tcPr>
            <w:tcW w:w="960" w:type="dxa"/>
            <w:vAlign w:val="bottom"/>
            <w:tcBorders>
              <w:right w:val="single" w:sz="8" w:color="auto"/>
            </w:tcBorders>
            <w:shd w:val="clear" w:color="auto" w:fill="CCEEFF"/>
          </w:tcPr>
          <w:p>
            <w:pPr>
              <w:spacing w:after="0"/>
              <w:rPr>
                <w:sz w:val="12"/>
                <w:szCs w:val="12"/>
                <w:color w:val="auto"/>
              </w:rPr>
            </w:pPr>
          </w:p>
        </w:tc>
        <w:tc>
          <w:tcPr>
            <w:tcW w:w="900" w:type="dxa"/>
            <w:vAlign w:val="bottom"/>
            <w:tcBorders>
              <w:right w:val="single" w:sz="8" w:color="auto"/>
            </w:tcBorders>
            <w:shd w:val="clear" w:color="auto" w:fill="CCEEFF"/>
          </w:tcPr>
          <w:p>
            <w:pPr>
              <w:spacing w:after="0"/>
              <w:rPr>
                <w:sz w:val="12"/>
                <w:szCs w:val="12"/>
                <w:color w:val="auto"/>
              </w:rPr>
            </w:pPr>
          </w:p>
        </w:tc>
        <w:tc>
          <w:tcPr>
            <w:tcW w:w="9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7"/>
              </w:rPr>
              <w:t>per share</w:t>
            </w: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spacing w:after="0"/>
              <w:rPr>
                <w:sz w:val="15"/>
                <w:szCs w:val="15"/>
                <w:color w:val="auto"/>
              </w:rPr>
            </w:pPr>
          </w:p>
        </w:tc>
        <w:tc>
          <w:tcPr>
            <w:tcW w:w="800" w:type="dxa"/>
            <w:vAlign w:val="bottom"/>
            <w:tcBorders>
              <w:bottom w:val="single" w:sz="8" w:color="auto"/>
              <w:right w:val="single" w:sz="8" w:color="auto"/>
            </w:tcBorders>
            <w:shd w:val="clear" w:color="auto" w:fill="CCEEFF"/>
          </w:tcPr>
          <w:p>
            <w:pPr>
              <w:spacing w:after="0"/>
              <w:rPr>
                <w:sz w:val="15"/>
                <w:szCs w:val="15"/>
                <w:color w:val="auto"/>
              </w:rPr>
            </w:pPr>
          </w:p>
        </w:tc>
        <w:tc>
          <w:tcPr>
            <w:tcW w:w="1040" w:type="dxa"/>
            <w:vAlign w:val="bottom"/>
            <w:tcBorders>
              <w:bottom w:val="single" w:sz="8" w:color="auto"/>
              <w:right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800" w:type="dxa"/>
            <w:vAlign w:val="bottom"/>
            <w:tcBorders>
              <w:bottom w:val="single" w:sz="8" w:color="auto"/>
              <w:right w:val="single" w:sz="8" w:color="auto"/>
            </w:tcBorders>
            <w:shd w:val="clear" w:color="auto" w:fill="CCEEFF"/>
          </w:tcPr>
          <w:p>
            <w:pPr>
              <w:spacing w:after="0"/>
              <w:rPr>
                <w:sz w:val="15"/>
                <w:szCs w:val="15"/>
                <w:color w:val="auto"/>
              </w:rPr>
            </w:pPr>
          </w:p>
        </w:tc>
        <w:tc>
          <w:tcPr>
            <w:tcW w:w="780" w:type="dxa"/>
            <w:vAlign w:val="bottom"/>
            <w:tcBorders>
              <w:bottom w:val="single" w:sz="8" w:color="auto"/>
              <w:right w:val="single" w:sz="8" w:color="auto"/>
            </w:tcBorders>
            <w:shd w:val="clear" w:color="auto" w:fill="CCEEFF"/>
          </w:tcPr>
          <w:p>
            <w:pPr>
              <w:spacing w:after="0"/>
              <w:rPr>
                <w:sz w:val="15"/>
                <w:szCs w:val="15"/>
                <w:color w:val="auto"/>
              </w:rPr>
            </w:pPr>
          </w:p>
        </w:tc>
        <w:tc>
          <w:tcPr>
            <w:tcW w:w="102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4"/>
                <w:szCs w:val="14"/>
                <w:color w:val="auto"/>
              </w:rPr>
              <w:t>Fees</w:t>
            </w: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Previously</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w:t>
            </w:r>
          </w:p>
        </w:tc>
        <w:tc>
          <w:tcPr>
            <w:tcW w:w="8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Paid</w:t>
            </w:r>
          </w:p>
        </w:tc>
        <w:tc>
          <w:tcPr>
            <w:tcW w:w="74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tcBorders>
              <w:left w:val="single" w:sz="8" w:color="auto"/>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Carry Forward Securities</w:t>
            </w:r>
          </w:p>
        </w:tc>
        <w:tc>
          <w:tcPr>
            <w:tcW w:w="10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Carry</w:t>
            </w:r>
          </w:p>
        </w:tc>
        <w:tc>
          <w:tcPr>
            <w:tcW w:w="740" w:type="dxa"/>
            <w:vAlign w:val="bottom"/>
            <w:tcBorders>
              <w:right w:val="single" w:sz="8" w:color="auto"/>
            </w:tcBorders>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00" w:type="dxa"/>
            <w:vAlign w:val="bottom"/>
            <w:tcBorders>
              <w:right w:val="single" w:sz="8" w:color="auto"/>
            </w:tcBorders>
            <w:shd w:val="clear" w:color="auto" w:fill="CCEEFF"/>
          </w:tcPr>
          <w:p>
            <w:pPr>
              <w:spacing w:after="0"/>
              <w:rPr>
                <w:sz w:val="11"/>
                <w:szCs w:val="11"/>
                <w:color w:val="auto"/>
              </w:rPr>
            </w:pPr>
          </w:p>
        </w:tc>
        <w:tc>
          <w:tcPr>
            <w:tcW w:w="900" w:type="dxa"/>
            <w:vAlign w:val="bottom"/>
            <w:tcBorders>
              <w:right w:val="single" w:sz="8" w:color="auto"/>
            </w:tcBorders>
            <w:shd w:val="clear" w:color="auto" w:fill="CCEEFF"/>
          </w:tcPr>
          <w:p>
            <w:pPr>
              <w:spacing w:after="0"/>
              <w:rPr>
                <w:sz w:val="11"/>
                <w:szCs w:val="11"/>
                <w:color w:val="auto"/>
              </w:rPr>
            </w:pPr>
          </w:p>
        </w:tc>
        <w:tc>
          <w:tcPr>
            <w:tcW w:w="880" w:type="dxa"/>
            <w:vAlign w:val="bottom"/>
            <w:tcBorders>
              <w:right w:val="single" w:sz="8" w:color="auto"/>
            </w:tcBorders>
            <w:shd w:val="clear" w:color="auto" w:fill="CCEEFF"/>
          </w:tcPr>
          <w:p>
            <w:pPr>
              <w:spacing w:after="0"/>
              <w:rPr>
                <w:sz w:val="11"/>
                <w:szCs w:val="11"/>
                <w:color w:val="auto"/>
              </w:rPr>
            </w:pPr>
          </w:p>
        </w:tc>
        <w:tc>
          <w:tcPr>
            <w:tcW w:w="800" w:type="dxa"/>
            <w:vAlign w:val="bottom"/>
            <w:tcBorders>
              <w:right w:val="single" w:sz="8" w:color="auto"/>
            </w:tcBorders>
            <w:shd w:val="clear" w:color="auto" w:fill="CCEEFF"/>
          </w:tcPr>
          <w:p>
            <w:pPr>
              <w:spacing w:after="0"/>
              <w:rPr>
                <w:sz w:val="11"/>
                <w:szCs w:val="11"/>
                <w:color w:val="auto"/>
              </w:rPr>
            </w:pPr>
          </w:p>
        </w:tc>
        <w:tc>
          <w:tcPr>
            <w:tcW w:w="1040" w:type="dxa"/>
            <w:vAlign w:val="bottom"/>
            <w:tcBorders>
              <w:right w:val="single" w:sz="8" w:color="auto"/>
            </w:tcBorders>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0" w:type="dxa"/>
            <w:vAlign w:val="bottom"/>
            <w:tcBorders>
              <w:right w:val="single" w:sz="8" w:color="auto"/>
            </w:tcBorders>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right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Forward</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800" w:type="dxa"/>
            <w:vAlign w:val="bottom"/>
            <w:tcBorders>
              <w:right w:val="single" w:sz="8" w:color="auto"/>
            </w:tcBorders>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800" w:type="dxa"/>
            <w:vAlign w:val="bottom"/>
            <w:tcBorders>
              <w:right w:val="single" w:sz="8" w:color="auto"/>
            </w:tcBorders>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w w:val="84"/>
              </w:rPr>
              <w:t>-</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0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740" w:type="dxa"/>
            <w:vAlign w:val="bottom"/>
            <w:tcBorders>
              <w:bottom w:val="single" w:sz="8" w:color="auto"/>
              <w:right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900" w:type="dxa"/>
            <w:vAlign w:val="bottom"/>
            <w:tcBorders>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spacing w:after="0"/>
              <w:rPr>
                <w:sz w:val="15"/>
                <w:szCs w:val="15"/>
                <w:color w:val="auto"/>
              </w:rPr>
            </w:pPr>
          </w:p>
        </w:tc>
        <w:tc>
          <w:tcPr>
            <w:tcW w:w="800" w:type="dxa"/>
            <w:vAlign w:val="bottom"/>
            <w:tcBorders>
              <w:bottom w:val="single" w:sz="8" w:color="auto"/>
              <w:right w:val="single" w:sz="8" w:color="auto"/>
            </w:tcBorders>
            <w:shd w:val="clear" w:color="auto" w:fill="CCEEFF"/>
          </w:tcPr>
          <w:p>
            <w:pPr>
              <w:spacing w:after="0"/>
              <w:rPr>
                <w:sz w:val="15"/>
                <w:szCs w:val="15"/>
                <w:color w:val="auto"/>
              </w:rPr>
            </w:pPr>
          </w:p>
        </w:tc>
        <w:tc>
          <w:tcPr>
            <w:tcW w:w="1040" w:type="dxa"/>
            <w:vAlign w:val="bottom"/>
            <w:tcBorders>
              <w:bottom w:val="single" w:sz="8" w:color="auto"/>
              <w:right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800" w:type="dxa"/>
            <w:vAlign w:val="bottom"/>
            <w:tcBorders>
              <w:bottom w:val="single" w:sz="8" w:color="auto"/>
              <w:right w:val="single" w:sz="8" w:color="auto"/>
            </w:tcBorders>
            <w:shd w:val="clear" w:color="auto" w:fill="CCEEFF"/>
          </w:tcPr>
          <w:p>
            <w:pPr>
              <w:spacing w:after="0"/>
              <w:rPr>
                <w:sz w:val="15"/>
                <w:szCs w:val="15"/>
                <w:color w:val="auto"/>
              </w:rPr>
            </w:pPr>
          </w:p>
        </w:tc>
        <w:tc>
          <w:tcPr>
            <w:tcW w:w="780" w:type="dxa"/>
            <w:vAlign w:val="bottom"/>
            <w:tcBorders>
              <w:bottom w:val="single" w:sz="8" w:color="auto"/>
              <w:right w:val="single" w:sz="8" w:color="auto"/>
            </w:tcBorders>
            <w:shd w:val="clear" w:color="auto" w:fill="CCEEFF"/>
          </w:tcPr>
          <w:p>
            <w:pPr>
              <w:spacing w:after="0"/>
              <w:rPr>
                <w:sz w:val="15"/>
                <w:szCs w:val="15"/>
                <w:color w:val="auto"/>
              </w:rPr>
            </w:pPr>
          </w:p>
        </w:tc>
        <w:tc>
          <w:tcPr>
            <w:tcW w:w="102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80" w:type="dxa"/>
            <w:vAlign w:val="bottom"/>
            <w:tcBorders>
              <w:left w:val="single" w:sz="8" w:color="auto"/>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Offering Amounts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$6,304,443</w:t>
            </w:r>
          </w:p>
        </w:tc>
        <w:tc>
          <w:tcPr>
            <w:tcW w:w="8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$694.75</w:t>
            </w: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8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CCEEFF"/>
            </w:tcBorders>
            <w:shd w:val="clear" w:color="auto" w:fill="CCEEFF"/>
          </w:tcPr>
          <w:p>
            <w:pPr>
              <w:spacing w:after="0"/>
              <w:rPr>
                <w:sz w:val="19"/>
                <w:szCs w:val="19"/>
                <w:color w:val="auto"/>
              </w:rPr>
            </w:pPr>
          </w:p>
        </w:tc>
        <w:tc>
          <w:tcPr>
            <w:tcW w:w="180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Total Fees Previously Paid</w:t>
            </w: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780" w:type="dxa"/>
            <w:vAlign w:val="bottom"/>
            <w:tcBorders>
              <w:bottom w:val="single" w:sz="8" w:color="CCEEFF"/>
              <w:right w:val="single" w:sz="8" w:color="auto"/>
            </w:tcBorders>
            <w:shd w:val="clear" w:color="auto" w:fill="CCEEFF"/>
          </w:tcPr>
          <w:p>
            <w:pPr>
              <w:spacing w:after="0"/>
              <w:rPr>
                <w:sz w:val="19"/>
                <w:szCs w:val="19"/>
                <w:color w:val="auto"/>
              </w:rPr>
            </w:pPr>
          </w:p>
        </w:tc>
        <w:tc>
          <w:tcPr>
            <w:tcW w:w="102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Borders>
              <w:top w:val="single" w:sz="8" w:color="auto"/>
              <w:left w:val="single" w:sz="8" w:color="auto"/>
              <w:right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Fee Offsets</w:t>
            </w:r>
          </w:p>
        </w:tc>
        <w:tc>
          <w:tcPr>
            <w:tcW w:w="88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740" w:type="dxa"/>
            <w:vAlign w:val="bottom"/>
            <w:tcBorders>
              <w:bottom w:val="single" w:sz="8" w:color="CCEEFF"/>
              <w:right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CCEEFF"/>
            </w:tcBorders>
            <w:shd w:val="clear" w:color="auto" w:fill="CCEEFF"/>
          </w:tcPr>
          <w:p>
            <w:pPr>
              <w:spacing w:after="0"/>
              <w:rPr>
                <w:sz w:val="17"/>
                <w:szCs w:val="17"/>
                <w:color w:val="auto"/>
              </w:rPr>
            </w:pPr>
          </w:p>
        </w:tc>
        <w:tc>
          <w:tcPr>
            <w:tcW w:w="960" w:type="dxa"/>
            <w:vAlign w:val="bottom"/>
            <w:tcBorders>
              <w:bottom w:val="single" w:sz="8" w:color="CCEEFF"/>
              <w:right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Net Fee Due</w:t>
            </w:r>
          </w:p>
        </w:tc>
        <w:tc>
          <w:tcPr>
            <w:tcW w:w="88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$694.75</w:t>
            </w:r>
          </w:p>
        </w:tc>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800" w:type="dxa"/>
            <w:vAlign w:val="bottom"/>
            <w:tcBorders>
              <w:bottom w:val="single" w:sz="8" w:color="CCEEFF"/>
              <w:right w:val="single" w:sz="8" w:color="auto"/>
            </w:tcBorders>
            <w:shd w:val="clear" w:color="auto" w:fill="CCEEFF"/>
          </w:tcPr>
          <w:p>
            <w:pPr>
              <w:spacing w:after="0"/>
              <w:rPr>
                <w:sz w:val="17"/>
                <w:szCs w:val="17"/>
                <w:color w:val="auto"/>
              </w:rPr>
            </w:pPr>
          </w:p>
        </w:tc>
        <w:tc>
          <w:tcPr>
            <w:tcW w:w="780" w:type="dxa"/>
            <w:vAlign w:val="bottom"/>
            <w:tcBorders>
              <w:bottom w:val="single" w:sz="8" w:color="CCEEFF"/>
              <w:right w:val="single" w:sz="8" w:color="auto"/>
            </w:tcBorders>
            <w:shd w:val="clear" w:color="auto" w:fill="CCEEFF"/>
          </w:tcPr>
          <w:p>
            <w:pPr>
              <w:spacing w:after="0"/>
              <w:rPr>
                <w:sz w:val="17"/>
                <w:szCs w:val="17"/>
                <w:color w:val="auto"/>
              </w:rPr>
            </w:pPr>
          </w:p>
        </w:tc>
        <w:tc>
          <w:tcPr>
            <w:tcW w:w="102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right w:val="single" w:sz="8" w:color="auto"/>
            </w:tcBorders>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20" w:firstLine="8"/>
        <w:spacing w:after="0"/>
        <w:tabs>
          <w:tab w:leader="none" w:pos="306" w:val="left"/>
        </w:tabs>
        <w:numPr>
          <w:ilvl w:val="0"/>
          <w:numId w:val="39"/>
        </w:numPr>
        <w:rPr>
          <w:rFonts w:ascii="Arial" w:cs="Arial" w:eastAsia="Arial" w:hAnsi="Arial"/>
          <w:sz w:val="22"/>
          <w:szCs w:val="22"/>
          <w:color w:val="auto"/>
        </w:rPr>
      </w:pPr>
      <w:r>
        <w:rPr>
          <w:rFonts w:ascii="Arial" w:cs="Arial" w:eastAsia="Arial" w:hAnsi="Arial"/>
          <w:sz w:val="22"/>
          <w:szCs w:val="22"/>
          <w:color w:val="auto"/>
        </w:rPr>
        <w:t>Estimated solely for purposes of calculating the registration fee pursuant to Rule 457(c) under the Securities Act of 1933, as amended (the “Securities Act”), based upon the average of the high and low price per share of the Registrant’s Class 2 common stock as reported on the Nasdaq Global Select Market on November 3, 2022.</w:t>
      </w:r>
    </w:p>
    <w:p>
      <w:pPr>
        <w:spacing w:after="0" w:line="213" w:lineRule="exact"/>
        <w:rPr>
          <w:rFonts w:ascii="Arial" w:cs="Arial" w:eastAsia="Arial" w:hAnsi="Arial"/>
          <w:sz w:val="22"/>
          <w:szCs w:val="22"/>
          <w:color w:val="auto"/>
        </w:rPr>
      </w:pPr>
    </w:p>
    <w:p>
      <w:pPr>
        <w:ind w:right="140" w:firstLine="8"/>
        <w:spacing w:after="0"/>
        <w:tabs>
          <w:tab w:leader="none" w:pos="30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registration fee is calculated in accordance with Rule 457(r) under the Securities Act and represents deferred payment of the registration fee in connection with the Registrant’s Registration Statement on Form S-3ASR (Registration No. 333-267788)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6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844"/>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jpe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27" Type="http://schemas.openxmlformats.org/officeDocument/2006/relationships/hyperlink" Target="https://www.sec.gov/ix?doc=/Archives/edgar/data/1731348/000156459022026894/tlry-10k_20220531.htm" TargetMode="External"/><Relationship Id="rId28" Type="http://schemas.openxmlformats.org/officeDocument/2006/relationships/hyperlink" Target="https://www.sec.gov/ix?doc=/Archives/edgar/data/1731348/000156459022033766/tlry-10ka_20220531.htm" TargetMode="External"/><Relationship Id="rId29" Type="http://schemas.openxmlformats.org/officeDocument/2006/relationships/hyperlink" Target="https://www.sec.gov/Archives/edgar/data/1731348/000114036122035780/ny20005311x4_def14a.htm" TargetMode="External"/><Relationship Id="rId30" Type="http://schemas.openxmlformats.org/officeDocument/2006/relationships/hyperlink" Target="https://www.sec.gov/ix?doc=/Archives/edgar/data/1731348/000143774922023827/tlry20220831_10q.htm" TargetMode="External"/><Relationship Id="rId31" Type="http://schemas.openxmlformats.org/officeDocument/2006/relationships/hyperlink" Target="https://www.sec.gov/ix?doc=/Archives/edgar/data/1731348/000156459022023140/tlry-8k_20220614.htm" TargetMode="External"/><Relationship Id="rId32" Type="http://schemas.openxmlformats.org/officeDocument/2006/relationships/hyperlink" Target="https://www.sec.gov/ix?doc=/Archives/edgar/data/1731348/000156459022023453/tlry-8k_20220614.htm" TargetMode="External"/><Relationship Id="rId33" Type="http://schemas.openxmlformats.org/officeDocument/2006/relationships/hyperlink" Target="https://www.sec.gov/ix?doc=/Archives/edgar/data/1731348/000114036122024617/ny20004676x2_8k.htm" TargetMode="External"/><Relationship Id="rId34" Type="http://schemas.openxmlformats.org/officeDocument/2006/relationships/hyperlink" Target="https://www.sec.gov/ix?doc=/Archives/edgar/data/1731348/000114036122025850/brhc10039584_8k.htm" TargetMode="External"/><Relationship Id="rId35" Type="http://schemas.openxmlformats.org/officeDocument/2006/relationships/hyperlink" Target="https://www.sec.gov/ix?doc=/Archives/edgar/data/1731348/000156459022027682/tlry-8k_20220803.htm" TargetMode="External"/><Relationship Id="rId36" Type="http://schemas.openxmlformats.org/officeDocument/2006/relationships/hyperlink" Target="https://www.sec.gov/ix?doc=/Archives/edgar/data/1731348/000114036122031993/ny20005207x2_8k.htm" TargetMode="External"/><Relationship Id="rId37" Type="http://schemas.openxmlformats.org/officeDocument/2006/relationships/hyperlink" Target="https://www.sec.gov/ix?doc=/Archives/edgar/data/1731348/000143774922026113/tlry20221031_8k.htm" TargetMode="External"/><Relationship Id="rId38" Type="http://schemas.openxmlformats.org/officeDocument/2006/relationships/hyperlink" Target="https://www.sec.gov/Archives/edgar/data/1731348/000119312520261461/d89853d8a12ba.htm" TargetMode="External"/><Relationship Id="rId74" Type="http://schemas.openxmlformats.org/officeDocument/2006/relationships/hyperlink" Target="https://www.sec.gov/Archives/edgar/data/1731348/000156459022026894/tlry-10k_20220531.htm" TargetMode="External"/><Relationship Id="rId75" Type="http://schemas.openxmlformats.org/officeDocument/2006/relationships/hyperlink" Target="https://www.sec.gov/Archives/edgar/data/1731348/000156459022027682/tlry-8k_202208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2022-11-07T17:23:06Z</dcterms:created>
  <dcterms:modified xsi:type="dcterms:W3CDTF">2022-11-07T17:23:06Z</dcterms:modified>
</cp:coreProperties>
</file>