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34373x2_def14a_100-regcov_pg1"/>
      <w:bookmarkStart w:id="1" w:name="ny20034373x2_def14a.htm"/>
      <w:bookmarkStart w:id="2" w:name="ksny20034373x2_def14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(Rule 14a-101) </w:t>
      </w:r>
    </w:p>
    <w:p>
      <w:pPr>
        <w:pStyle w:val="TextBody"/>
        <w:bidi w:val="0"/>
        <w:spacing w:before="2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INFORMATION REQUIRED IN PROXY STATEMENT </w:t>
      </w:r>
    </w:p>
    <w:p>
      <w:pPr>
        <w:pStyle w:val="TextBody"/>
        <w:bidi w:val="0"/>
        <w:spacing w:before="21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SCHEDULE 14A INFORMATION </w:t>
      </w:r>
    </w:p>
    <w:p>
      <w:pPr>
        <w:pStyle w:val="TextBody"/>
        <w:bidi w:val="0"/>
        <w:spacing w:before="210" w:after="283"/>
        <w:jc w:val="center"/>
        <w:rPr>
          <w:rFonts w:ascii="Times New Roman;Times;serif" w:hAnsi="Times New Roman;Times;serif"/>
          <w:color w:val="000000"/>
          <w:sz w:val="24"/>
        </w:rPr>
      </w:pPr>
      <w:r>
        <w:rPr>
          <w:rFonts w:ascii="Times New Roman;Times;serif" w:hAnsi="Times New Roman;Times;serif"/>
          <w:color w:val="000000"/>
          <w:sz w:val="24"/>
        </w:rPr>
        <w:t xml:space="preserve">Proxy Statement Pursuant to Section 14(a) of </w:t>
      </w:r>
    </w:p>
    <w:p>
      <w:pPr>
        <w:pStyle w:val="TextBody"/>
        <w:bidi w:val="0"/>
        <w:spacing w:before="0" w:after="283"/>
        <w:jc w:val="center"/>
        <w:rPr>
          <w:rFonts w:ascii="Times New Roman;Times;serif" w:hAnsi="Times New Roman;Times;serif"/>
          <w:color w:val="000000"/>
          <w:sz w:val="24"/>
        </w:rPr>
      </w:pPr>
      <w:r>
        <w:rPr>
          <w:rFonts w:ascii="Times New Roman;Times;serif" w:hAnsi="Times New Roman;Times;serif"/>
          <w:color w:val="000000"/>
          <w:sz w:val="24"/>
        </w:rPr>
        <w:t xml:space="preserve">the 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50" w:type="dxa"/>
        <w:jc w:val="left"/>
        <w:tblInd w:w="0" w:type="dxa"/>
        <w:tblLayout w:type="fixed"/>
        <w:tblCellMar>
          <w:top w:w="0" w:type="dxa"/>
          <w:left w:w="0" w:type="dxa"/>
          <w:bottom w:w="0" w:type="dxa"/>
          <w:right w:w="0" w:type="dxa"/>
        </w:tblCellMar>
      </w:tblPr>
      <w:tblGrid>
        <w:gridCol w:w="275"/>
        <w:gridCol w:w="2675"/>
      </w:tblGrid>
      <w:tr>
        <w:trPr/>
        <w:tc>
          <w:tcPr>
            <w:tcW w:w="275" w:type="dxa"/>
            <w:tcBorders/>
            <w:vAlign w:val="center"/>
          </w:tcPr>
          <w:p>
            <w:pPr>
              <w:pStyle w:val="TableContents"/>
              <w:bidi w:val="0"/>
              <w:spacing w:before="0" w:after="0"/>
              <w:jc w:val="left"/>
              <w:rPr>
                <w:color w:val="000000"/>
              </w:rPr>
            </w:pPr>
            <w:r>
              <w:rPr>
                <w:color w:val="000000"/>
              </w:rPr>
              <w:t> ☐</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jc w:val="left"/>
              <w:rPr>
                <w:color w:val="000000"/>
              </w:rPr>
            </w:pPr>
            <w:r>
              <w:rPr>
                <w:color w:val="000000"/>
              </w:rPr>
              <w:t> ☐</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 240.14a-12 </w:t>
            </w:r>
          </w:p>
        </w:tc>
      </w:tr>
    </w:tbl>
    <w:tbl>
      <w:tblPr>
        <w:tblW w:w="6180" w:type="dxa"/>
        <w:jc w:val="left"/>
        <w:tblInd w:w="0" w:type="dxa"/>
        <w:tblLayout w:type="fixed"/>
        <w:tblCellMar>
          <w:top w:w="0" w:type="dxa"/>
          <w:left w:w="0" w:type="dxa"/>
          <w:bottom w:w="0" w:type="dxa"/>
          <w:right w:w="0" w:type="dxa"/>
        </w:tblCellMar>
      </w:tblPr>
      <w:tblGrid>
        <w:gridCol w:w="155"/>
        <w:gridCol w:w="5870"/>
        <w:gridCol w:w="155"/>
      </w:tblGrid>
      <w:tr>
        <w:trPr/>
        <w:tc>
          <w:tcPr>
            <w:tcW w:w="155" w:type="dxa"/>
            <w:tcBorders/>
            <w:vAlign w:val="center"/>
          </w:tcPr>
          <w:p>
            <w:pPr>
              <w:pStyle w:val="TableContents"/>
              <w:bidi w:val="0"/>
              <w:spacing w:before="0" w:after="0"/>
              <w:jc w:val="left"/>
              <w:rPr/>
            </w:pPr>
            <w:r>
              <w:rPr/>
              <w:t> </w:t>
            </w:r>
          </w:p>
        </w:tc>
        <w:tc>
          <w:tcPr>
            <w:tcW w:w="587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8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6"/>
                <w:u w:val="single"/>
              </w:rPr>
            </w:pPr>
            <w:r>
              <w:rPr>
                <w:rFonts w:ascii="Times New Roman;Times;serif" w:hAnsi="Times New Roman;Times;serif"/>
                <w:b/>
                <w:color w:val="000000"/>
                <w:sz w:val="36"/>
                <w:u w:val="single"/>
              </w:rPr>
              <w:t xml:space="preserve">Tilray Brands, Inc.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870" w:type="dxa"/>
            <w:tcBorders/>
            <w:vAlign w:val="center"/>
          </w:tcPr>
          <w:p>
            <w:pPr>
              <w:pStyle w:val="TableContents"/>
              <w:bidi w:val="0"/>
              <w:spacing w:before="0" w:after="283"/>
              <w:jc w:val="center"/>
              <w:rPr>
                <w:rFonts w:ascii="Times New Roman;Times;serif" w:hAnsi="Times New Roman;Times;serif"/>
                <w:color w:val="000000"/>
                <w:sz w:val="20"/>
                <w:u w:val="single"/>
              </w:rPr>
            </w:pPr>
            <w:r>
              <w:rPr>
                <w:rFonts w:ascii="Times New Roman;Times;serif" w:hAnsi="Times New Roman;Times;serif"/>
                <w:color w:val="000000"/>
                <w:sz w:val="20"/>
                <w:u w:val="single"/>
              </w:rPr>
              <w:t xml:space="preserve">(Name of Registrant as Specified in its Charter)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87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870" w:type="dxa"/>
            <w:tcBorders/>
            <w:vAlign w:val="center"/>
          </w:tcPr>
          <w:p>
            <w:pPr>
              <w:pStyle w:val="TableContents"/>
              <w:bidi w:val="0"/>
              <w:spacing w:before="0" w:after="283"/>
              <w:jc w:val="center"/>
              <w:rPr>
                <w:rFonts w:ascii="Times New Roman;Times;serif" w:hAnsi="Times New Roman;Times;serif"/>
                <w:color w:val="000000"/>
                <w:sz w:val="20"/>
                <w:u w:val="single"/>
              </w:rPr>
            </w:pPr>
            <w:r>
              <w:rPr>
                <w:rFonts w:ascii="Times New Roman;Times;serif" w:hAnsi="Times New Roman;Times;serif"/>
                <w:color w:val="000000"/>
                <w:sz w:val="20"/>
                <w:u w:val="single"/>
              </w:rPr>
              <w:t>(Name of Person(s) Filing Proxy Statement, if Other Than the Registrant)</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87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9150" w:type="dxa"/>
        <w:jc w:val="left"/>
        <w:tblInd w:w="0" w:type="dxa"/>
        <w:tblLayout w:type="fixed"/>
        <w:tblCellMar>
          <w:top w:w="0" w:type="dxa"/>
          <w:left w:w="0" w:type="dxa"/>
          <w:bottom w:w="0" w:type="dxa"/>
          <w:right w:w="0" w:type="dxa"/>
        </w:tblCellMar>
      </w:tblPr>
      <w:tblGrid>
        <w:gridCol w:w="155"/>
        <w:gridCol w:w="275"/>
        <w:gridCol w:w="140"/>
        <w:gridCol w:w="140"/>
        <w:gridCol w:w="8285"/>
        <w:gridCol w:w="155"/>
      </w:tblGrid>
      <w:tr>
        <w:trPr/>
        <w:tc>
          <w:tcPr>
            <w:tcW w:w="155"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3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3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8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3975" w:after="283"/>
        <w:ind w:left="0" w:right="0" w:hanging="0"/>
        <w:jc w:val="center"/>
        <w:rPr>
          <w:color w:val="000000"/>
        </w:rPr>
      </w:pPr>
      <w:bookmarkStart w:id="3" w:name="ny20034373x2_def14a_100a-cov_pg1"/>
      <w:bookmarkEnd w:id="3"/>
      <w:r>
        <w:rPr>
          <w:color w:val="000000"/>
        </w:rPr>
        <w:drawing>
          <wp:inline distT="0" distB="0" distL="0" distR="0">
            <wp:extent cx="33432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970" w:after="283"/>
        <w:jc w:val="center"/>
        <w:rPr>
          <w:rFonts w:ascii="Arial" w:hAnsi="Arial"/>
          <w:b/>
          <w:color w:val="00489A"/>
          <w:sz w:val="48"/>
        </w:rPr>
      </w:pPr>
      <w:r>
        <w:rPr>
          <w:rFonts w:ascii="Arial" w:hAnsi="Arial"/>
          <w:b/>
          <w:color w:val="00489A"/>
          <w:sz w:val="48"/>
        </w:rPr>
        <w:t xml:space="preserve">2024 PROXY STATEMENT </w:t>
      </w:r>
    </w:p>
    <w:p>
      <w:pPr>
        <w:pStyle w:val="TextBody"/>
        <w:bidi w:val="0"/>
        <w:spacing w:before="6250" w:after="283"/>
        <w:ind w:left="0" w:right="0" w:hanging="0"/>
        <w:jc w:val="left"/>
        <w:rPr>
          <w:color w:val="000000"/>
        </w:rPr>
      </w:pPr>
      <w:r>
        <w:rPr>
          <w:color w:val="000000"/>
        </w:rPr>
        <w:t xml:space="preserve">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4" w:name="ny20034373x2_def14a_101-letter_pg1"/>
      <w:bookmarkEnd w:id="4"/>
      <w:r>
        <w:rPr>
          <w:color w:val="000000"/>
        </w:rPr>
        <w:drawing>
          <wp:inline distT="0" distB="0" distL="0" distR="0">
            <wp:extent cx="28670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September 26, 2024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Fellow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You are cordially invited to attend the Annual Meeting of Stockholders (“</w:t>
      </w:r>
      <w:r>
        <w:rPr>
          <w:rFonts w:ascii="Times New Roman;Times;serif" w:hAnsi="Times New Roman;Times;serif"/>
          <w:b/>
          <w:i/>
          <w:color w:val="000000"/>
          <w:sz w:val="20"/>
        </w:rPr>
        <w:t>Annual Meeting</w:t>
      </w:r>
      <w:r>
        <w:rPr>
          <w:rFonts w:ascii="Times New Roman;Times;serif" w:hAnsi="Times New Roman;Times;serif"/>
          <w:color w:val="000000"/>
          <w:sz w:val="20"/>
        </w:rPr>
        <w:t>”) of Tilray Brands, Inc.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to be held on Thursday, November 21, 2024, at 11:00 a.m. EST. The Annual Meeting will be held in a virtual format, via live webcast over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Attached to this letter are a Notice of Annual Meeting of Stockholders and Proxy Statement, which describe the business to be conducted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urges you to read the accompanying Proxy Statement and recommends that you vote “</w:t>
      </w:r>
      <w:r>
        <w:rPr>
          <w:rFonts w:ascii="Times New Roman;Times;serif" w:hAnsi="Times New Roman;Times;serif"/>
          <w:b/>
          <w:color w:val="000000"/>
          <w:sz w:val="20"/>
        </w:rPr>
        <w:t>FOR</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election of each of David Hopkinson and Thomas Looney, as Class III director nominees, each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ratification of the appointment of PricewaterhouseCoopers LLP as our independent registered public accounting firm for the fiscal year ending May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to increase the number of shares of common stock the Company is authorized to issue from 1,208,000,000 shares of capital stock to 1,426,000,000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Approval of the governance changes to the Company’s Fourth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business properly brought before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to us. Whether or not you plan to attend the Annual Meeting virtually, we encourage you to vote your shares. Accordingly, we request that as soon as possible, you vote via the Internet or, if you have received printed proxy materials, you vote via the Internet, by telephone or by mailing your completed proxy card or voting instruction form.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If you have any questions, or need any assistance in voting your shares, please contact Morrow Sodali LLC at (800) 662-5200 toll-free in the U.S. and Canada, or (203) 658-9400 or by email at TLRY@info.morrowsodali.com.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WE ARE GRATEFUL FOR YOUR CONTINUED SUPPORT AND WILL WORK EVERYDAY TO TAKE FULL ADVANTAGE OF ALL OPPORTUNITIES TO ENHANCE LONG-TERM VALUE.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Thank you for your interest and investment in Tilray Brands, Inc.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Irwin D. Simon,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President, and Chief Executive Officer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5" w:name="ny20034373x2_def14a_102-notice_pg1"/>
      <w:bookmarkEnd w:id="5"/>
      <w:r>
        <w:rPr>
          <w:color w:val="000000"/>
        </w:rPr>
        <w:drawing>
          <wp:inline distT="0" distB="0" distL="0" distR="0">
            <wp:extent cx="2867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Arial" w:hAnsi="Arial"/>
          <w:b/>
          <w:color w:val="000000"/>
          <w:sz w:val="20"/>
        </w:rPr>
      </w:pPr>
      <w:r>
        <w:rPr>
          <w:rFonts w:ascii="Arial" w:hAnsi="Arial"/>
          <w:b/>
          <w:color w:val="000000"/>
          <w:sz w:val="20"/>
        </w:rPr>
        <w:t xml:space="preserve">NOTICE OF ANNUAL MEETING OF STOCKHOLDERS </w:t>
      </w:r>
    </w:p>
    <w:p>
      <w:pPr>
        <w:pStyle w:val="TextBody"/>
        <w:bidi w:val="0"/>
        <w:spacing w:before="140" w:after="283"/>
        <w:jc w:val="right"/>
        <w:rPr>
          <w:rFonts w:ascii="Times New Roman;Times;serif" w:hAnsi="Times New Roman;Times;serif"/>
          <w:color w:val="000000"/>
          <w:sz w:val="20"/>
        </w:rPr>
      </w:pPr>
      <w:r>
        <w:rPr>
          <w:rFonts w:ascii="Times New Roman;Times;serif" w:hAnsi="Times New Roman;Times;serif"/>
          <w:color w:val="000000"/>
          <w:sz w:val="20"/>
        </w:rPr>
        <w:t xml:space="preserve">September 26,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of Tilray Brands, Inc.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will be held on Thursday, November 21, 2024, at 11:00 a.m. EST. The Annual Meeting will be held in a virtual format via live webcast over the internet. You will be able to join the Annual Meeting and vote and submit your questions online during the Annual Meeting by visiting </w:t>
      </w:r>
      <w:r>
        <w:rPr>
          <w:rFonts w:ascii="Times New Roman;Times;serif" w:hAnsi="Times New Roman;Times;serif"/>
          <w:color w:val="000000"/>
          <w:sz w:val="20"/>
          <w:u w:val="single"/>
        </w:rPr>
        <w:t>www.virtualshareholdermeeting.com/TLRY2024</w:t>
      </w:r>
      <w:r>
        <w:rPr>
          <w:rFonts w:ascii="Times New Roman;Times;serif" w:hAnsi="Times New Roman;Times;serif"/>
          <w:color w:val="000000"/>
          <w:sz w:val="20"/>
        </w:rPr>
        <w:t xml:space="preserve">.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will take place for the following purposes: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David Hopkinson and Thomas Looney as Class III director nominees, each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appointment of PricewaterhouseCoopers LLP as our independent registered public accounting firm for the fiscal year ending May 31, 2025; </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an increase in the number of shares of common stock the Company is authorized to issue from 1,208,000,000 shares of capital stock to 1,426,000,000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approve the governance changes to the Company’s Fourth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act upon any other business that may properly come before the Annual Meeting or any adjournment or postponement of the Annual Meeting.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On or about September 26, 2024, we will mail to our stockholders of record at the close of business on September 26, 2024, the record date for our Annual Meeting, an Important Notice Regarding the Internet Availability of Proxy Materials (the “</w:t>
      </w:r>
      <w:r>
        <w:rPr>
          <w:rFonts w:ascii="Times New Roman;Times;serif" w:hAnsi="Times New Roman;Times;serif"/>
          <w:b/>
          <w:i/>
          <w:color w:val="000000"/>
          <w:sz w:val="20"/>
        </w:rPr>
        <w:t>Notice</w:t>
      </w:r>
      <w:r>
        <w:rPr>
          <w:rFonts w:ascii="Times New Roman;Times;serif" w:hAnsi="Times New Roman;Times;serif"/>
          <w:color w:val="000000"/>
          <w:sz w:val="20"/>
        </w:rPr>
        <w:t>”) containing instructions on how to access our Proxy Statement for the Annual Meeting (the “</w:t>
      </w:r>
      <w:r>
        <w:rPr>
          <w:rFonts w:ascii="Times New Roman;Times;serif" w:hAnsi="Times New Roman;Times;serif"/>
          <w:b/>
          <w:i/>
          <w:color w:val="000000"/>
          <w:sz w:val="20"/>
        </w:rPr>
        <w:t>Proxy Statement</w:t>
      </w:r>
      <w:r>
        <w:rPr>
          <w:rFonts w:ascii="Times New Roman;Times;serif" w:hAnsi="Times New Roman;Times;serif"/>
          <w:color w:val="000000"/>
          <w:sz w:val="20"/>
        </w:rPr>
        <w:t>”) and our Annual Report on Form 10-K for the year ended May 31, 2024 (the “</w:t>
      </w:r>
      <w:r>
        <w:rPr>
          <w:rFonts w:ascii="Times New Roman;Times;serif" w:hAnsi="Times New Roman;Times;serif"/>
          <w:b/>
          <w:i/>
          <w:color w:val="000000"/>
          <w:sz w:val="20"/>
        </w:rPr>
        <w:t>Annual Report</w:t>
      </w:r>
      <w:r>
        <w:rPr>
          <w:rFonts w:ascii="Times New Roman;Times;serif" w:hAnsi="Times New Roman;Times;serif"/>
          <w:color w:val="000000"/>
          <w:sz w:val="20"/>
        </w:rPr>
        <w:t xml:space="preserve">”) on the Internet and also how to vote their shares via the Internet. If you received a Notice by mail, you will not receive printed proxy materials unless you specifically request them. Both the Notice and the Proxy Statement contain instructions on how you can request a paper copy of the Proxy Statement and Annual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September 26, 2024, are entitled to notice of and to vote at the Annual Meeting or any adjournments or postponements. At the Annual Meeting, you will be provided with the opportunity to ask questions. </w:t>
      </w:r>
    </w:p>
    <w:p>
      <w:pPr>
        <w:pStyle w:val="TextBody"/>
        <w:bidi w:val="0"/>
        <w:spacing w:before="120" w:after="283"/>
        <w:ind w:left="0" w:right="0" w:firstLine="400"/>
        <w:jc w:val="left"/>
        <w:rPr/>
      </w:pPr>
      <w:r>
        <w:rPr>
          <w:rFonts w:ascii="Times New Roman;Times;serif" w:hAnsi="Times New Roman;Times;serif"/>
          <w:color w:val="000000"/>
          <w:sz w:val="20"/>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HOWDOI">
        <w:r>
          <w:rPr>
            <w:rStyle w:val="InternetLink"/>
          </w:rPr>
          <w:t>3</w:t>
        </w:r>
      </w:hyperlink>
      <w:r>
        <w:rPr>
          <w:rFonts w:ascii="Times New Roman;Times;serif" w:hAnsi="Times New Roman;Times;serif"/>
          <w:color w:val="000000"/>
          <w:sz w:val="20"/>
        </w:rPr>
        <w:t xml:space="preserve"> of the accompanying Proxy Statement entitled “</w:t>
      </w:r>
      <w:r>
        <w:rPr>
          <w:rFonts w:ascii="Times New Roman;Times;serif" w:hAnsi="Times New Roman;Times;serif"/>
          <w:i/>
          <w:color w:val="000000"/>
          <w:sz w:val="20"/>
        </w:rPr>
        <w:t>How do I vote?</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the direction of the Board,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Mitchell Gendel,</w:t>
      </w:r>
      <w:r>
        <w:rPr>
          <w:rFonts w:ascii="Times New Roman;Times;serif" w:hAnsi="Times New Roman;Times;serif"/>
          <w:b/>
          <w:i/>
          <w:caps w:val="false"/>
          <w:smallCaps w:val="false"/>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Global General Counsel and Corporate Secretary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6" w:name="ny20034373x2_def14a_103-proxy_pg1"/>
      <w:bookmarkEnd w:id="6"/>
      <w:r>
        <w:rPr>
          <w:color w:val="000000"/>
        </w:rPr>
        <w:drawing>
          <wp:inline distT="0" distB="0" distL="0" distR="0">
            <wp:extent cx="28670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50" w:after="283"/>
        <w:jc w:val="center"/>
        <w:rPr>
          <w:color w:val="000000"/>
        </w:rPr>
      </w:pPr>
      <w:r>
        <w:rPr>
          <w:color w:val="000000"/>
        </w:rPr>
        <w:t> </w:t>
      </w:r>
      <w:r>
        <w:rPr>
          <w:rFonts w:ascii="Arial" w:hAnsi="Arial"/>
          <w:b/>
          <w:color w:val="000000"/>
          <w:sz w:val="20"/>
        </w:rPr>
        <w:t xml:space="preserve">265 Talbot Street West </w:t>
      </w:r>
    </w:p>
    <w:p>
      <w:pPr>
        <w:pStyle w:val="TextBody"/>
        <w:bidi w:val="0"/>
        <w:spacing w:before="0" w:after="283"/>
        <w:jc w:val="center"/>
        <w:rPr>
          <w:rFonts w:ascii="Arial" w:hAnsi="Arial"/>
          <w:b/>
          <w:color w:val="000000"/>
          <w:sz w:val="20"/>
        </w:rPr>
      </w:pPr>
      <w:r>
        <w:rPr>
          <w:rFonts w:ascii="Arial" w:hAnsi="Arial"/>
          <w:b/>
          <w:color w:val="000000"/>
          <w:sz w:val="20"/>
        </w:rPr>
        <w:t xml:space="preserve">Leamington, Ontario N8H 4H3, Canada </w:t>
      </w:r>
    </w:p>
    <w:p>
      <w:pPr>
        <w:pStyle w:val="TextBody"/>
        <w:bidi w:val="0"/>
        <w:spacing w:before="230" w:after="283"/>
        <w:jc w:val="center"/>
        <w:rPr>
          <w:rFonts w:ascii="Arial" w:hAnsi="Arial"/>
          <w:b/>
          <w:color w:val="000000"/>
          <w:sz w:val="20"/>
        </w:rPr>
      </w:pPr>
      <w:r>
        <w:rPr>
          <w:rFonts w:ascii="Arial" w:hAnsi="Arial"/>
          <w:b/>
          <w:color w:val="000000"/>
          <w:sz w:val="20"/>
        </w:rPr>
        <w:t xml:space="preserve">September 26, 2024 </w:t>
      </w:r>
    </w:p>
    <w:p>
      <w:pPr>
        <w:pStyle w:val="TextBody"/>
        <w:bidi w:val="0"/>
        <w:spacing w:before="230" w:after="283"/>
        <w:jc w:val="center"/>
        <w:rPr>
          <w:rFonts w:ascii="Arial" w:hAnsi="Arial"/>
          <w:b/>
          <w:color w:val="00489A"/>
          <w:sz w:val="20"/>
        </w:rPr>
      </w:pPr>
      <w:bookmarkStart w:id="7" w:name="tPS"/>
      <w:bookmarkEnd w:id="7"/>
      <w:r>
        <w:rPr>
          <w:rFonts w:ascii="Arial" w:hAnsi="Arial"/>
          <w:b/>
          <w:color w:val="00489A"/>
          <w:sz w:val="20"/>
        </w:rPr>
        <w:t xml:space="preserve">PROXY STATEMENT </w:t>
      </w:r>
    </w:p>
    <w:p>
      <w:pPr>
        <w:pStyle w:val="TextBody"/>
        <w:bidi w:val="0"/>
        <w:spacing w:before="230" w:after="283"/>
        <w:jc w:val="center"/>
        <w:rPr>
          <w:rFonts w:ascii="Arial" w:hAnsi="Arial"/>
          <w:b/>
          <w:color w:val="00489A"/>
          <w:sz w:val="20"/>
        </w:rPr>
      </w:pPr>
      <w:r>
        <w:rPr>
          <w:rFonts w:ascii="Arial" w:hAnsi="Arial"/>
          <w:b/>
          <w:color w:val="00489A"/>
          <w:sz w:val="20"/>
        </w:rPr>
        <w:t xml:space="preserve">Information About the Annual Meeting and Voting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The Annual Meeting – Background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Annual Meeting of Stockholders (“</w:t>
      </w:r>
      <w:r>
        <w:rPr>
          <w:rFonts w:ascii="Times New Roman;Times;serif" w:hAnsi="Times New Roman;Times;serif"/>
          <w:b/>
          <w:i/>
          <w:color w:val="000000"/>
          <w:sz w:val="20"/>
        </w:rPr>
        <w:t>Annual Meeting</w:t>
      </w:r>
      <w:r>
        <w:rPr>
          <w:rFonts w:ascii="Times New Roman;Times;serif" w:hAnsi="Times New Roman;Times;serif"/>
          <w:color w:val="000000"/>
          <w:sz w:val="20"/>
        </w:rPr>
        <w:t>”) of Tilray Brands, Inc. (the “</w:t>
      </w:r>
      <w:r>
        <w:rPr>
          <w:rFonts w:ascii="Times New Roman;Times;serif" w:hAnsi="Times New Roman;Times;serif"/>
          <w:b/>
          <w:i/>
          <w:color w:val="000000"/>
          <w:sz w:val="20"/>
        </w:rPr>
        <w:t>Company</w:t>
      </w:r>
      <w:r>
        <w:rPr>
          <w:rFonts w:ascii="Times New Roman;Times;serif" w:hAnsi="Times New Roman;Times;serif"/>
          <w:color w:val="000000"/>
          <w:sz w:val="20"/>
        </w:rPr>
        <w:t xml:space="preserve">”) will be held on Thursday, November 21, 2024, at 11:00 a.m. EST. The Annual Meeting will be held in a virtual format only, via live webcast over the internet. You will be able to join the Annual Meeting and vote and submit your questions online during the Annual Meeting by visiting www.virtualshareholdermeeting.com/TLRY2024.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stockholders will be asked to elect the Class III nominees as directors, ratify the appointment of PricewaterhouseCoopers LLP as our independent registered public accounting firm for the fiscal year ending May 31, 2025, approve the Authorized Shares Proposal and approve the Governance Proposal. Management will also respond to questions from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principal executive offices are located at 265 Talbot Street West, Leamington, Ontario N8H 4H3, Canada, and our telephone number is (844) 845-7291. When used in this Proxy Statement, the terms “Tilray,” “we,” “us,” “our,” and “the Company” mean Tilray Brands, Inc. and its businesses and subsidiaries.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divided into three classes (I, II, and III) of directors. </w:t>
      </w:r>
    </w:p>
    <w:tbl>
      <w:tblPr>
        <w:tblW w:w="10205" w:type="dxa"/>
        <w:jc w:val="left"/>
        <w:tblInd w:w="0" w:type="dxa"/>
        <w:tblLayout w:type="fixed"/>
        <w:tblCellMar>
          <w:top w:w="0" w:type="dxa"/>
          <w:left w:w="0" w:type="dxa"/>
          <w:bottom w:w="0" w:type="dxa"/>
          <w:right w:w="0" w:type="dxa"/>
        </w:tblCellMar>
      </w:tblPr>
      <w:tblGrid>
        <w:gridCol w:w="155"/>
        <w:gridCol w:w="1214"/>
        <w:gridCol w:w="140"/>
        <w:gridCol w:w="140"/>
        <w:gridCol w:w="5085"/>
        <w:gridCol w:w="140"/>
        <w:gridCol w:w="140"/>
        <w:gridCol w:w="680"/>
        <w:gridCol w:w="140"/>
        <w:gridCol w:w="140"/>
        <w:gridCol w:w="2074"/>
        <w:gridCol w:w="157"/>
      </w:tblGrid>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4"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Expires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4"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Jodi Butts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&amp; Governance Committee Member;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Clanachan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4"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John M. Herhalt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Hopkinson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&amp; Compensation Committee Member;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4"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Thomas Looney</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5"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Chair of the Compensation Committee and Audit Committee Member;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4"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Renah Persofsky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Vice-Chair (Lead Director) and Chair of the Nominating and Governance Committee;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4"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 President and Chief Executive Officer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annual meeting of stockholders</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4"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4" w:type="dxa"/>
            <w:tcBorders/>
            <w:shd w:fill="C7CDE8" w:val="clear"/>
            <w:vAlign w:val="center"/>
          </w:tcPr>
          <w:p>
            <w:pPr>
              <w:pStyle w:val="TableContents"/>
              <w:bidi w:val="0"/>
              <w:spacing w:before="0" w:after="0"/>
              <w:jc w:val="left"/>
              <w:rPr/>
            </w:pPr>
            <w:r>
              <w:rPr/>
              <w:t> </w:t>
            </w:r>
          </w:p>
        </w:tc>
        <w:tc>
          <w:tcPr>
            <w:tcW w:w="157" w:type="dxa"/>
            <w:tcBorders/>
            <w:shd w:fill="C7CDE8" w:val="clear"/>
            <w:vAlign w:val="center"/>
          </w:tcPr>
          <w:p>
            <w:pPr>
              <w:pStyle w:val="TableContents"/>
              <w:bidi w:val="0"/>
              <w:spacing w:before="0" w:after="0"/>
              <w:jc w:val="left"/>
              <w:rPr/>
            </w:pPr>
            <w:r>
              <w:rPr/>
              <w:t> </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 w:name="ny20034373x2_def14a_103-proxy_pg2"/>
      <w:bookmarkEnd w:id="8"/>
      <w:r>
        <w:rPr>
          <w:rFonts w:ascii="Arial" w:hAnsi="Arial"/>
          <w:b/>
          <w:color w:val="00489A"/>
          <w:sz w:val="20"/>
        </w:rPr>
        <w:t xml:space="preserve">The Annual Meeting – Thursday, November 21, 2024, at 11:00 a.m. EST. </w:t>
      </w:r>
    </w:p>
    <w:p>
      <w:pPr>
        <w:pStyle w:val="TextBody"/>
        <w:bidi w:val="0"/>
        <w:spacing w:before="150" w:after="283"/>
        <w:ind w:left="0" w:right="0" w:hanging="0"/>
        <w:jc w:val="left"/>
        <w:rPr>
          <w:rFonts w:ascii="Arial" w:hAnsi="Arial"/>
          <w:b/>
          <w:color w:val="00489A"/>
          <w:sz w:val="20"/>
        </w:rPr>
      </w:pPr>
      <w:r>
        <w:rPr>
          <w:rFonts w:ascii="Arial" w:hAnsi="Arial"/>
          <w:b/>
          <w:color w:val="00489A"/>
          <w:sz w:val="20"/>
        </w:rPr>
        <w:t xml:space="preserve">Why am I receiving these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26, 2024 (the “</w:t>
      </w:r>
      <w:r>
        <w:rPr>
          <w:rFonts w:ascii="Times New Roman;Times;serif" w:hAnsi="Times New Roman;Times;serif"/>
          <w:b/>
          <w:i/>
          <w:color w:val="000000"/>
          <w:sz w:val="20"/>
        </w:rPr>
        <w:t>Record Date</w:t>
      </w:r>
      <w:r>
        <w:rPr>
          <w:rFonts w:ascii="Times New Roman;Times;serif" w:hAnsi="Times New Roman;Times;serif"/>
          <w:color w:val="000000"/>
          <w:sz w:val="20"/>
        </w:rPr>
        <w:t>”) will be entitled to vote at the Annual Meeting. On this record date, there were 875,444,828 shares of common stock (the “</w:t>
      </w:r>
      <w:r>
        <w:rPr>
          <w:rFonts w:ascii="Times New Roman;Times;serif" w:hAnsi="Times New Roman;Times;serif"/>
          <w:b/>
          <w:i/>
          <w:color w:val="000000"/>
          <w:sz w:val="20"/>
        </w:rPr>
        <w:t>Common Stock</w:t>
      </w:r>
      <w:r>
        <w:rPr>
          <w:rFonts w:ascii="Times New Roman;Times;serif" w:hAnsi="Times New Roman;Times;serif"/>
          <w:color w:val="000000"/>
          <w:sz w:val="20"/>
        </w:rPr>
        <w:t xml:space="preserve">”)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Why is the meeting being held virtually this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was the case with our 2023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ww.virtualshareholdermeeting.com/TLRY2024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Why did I receive a notice in the mail regarding the Internet availability of proxy materials instead of a full set of printed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Pursuant to rules adopted by the Securities and Exchange Commission (“</w:t>
      </w:r>
      <w:r>
        <w:rPr>
          <w:rFonts w:ascii="Times New Roman;Times;serif" w:hAnsi="Times New Roman;Times;serif"/>
          <w:b/>
          <w:i/>
          <w:color w:val="000000"/>
          <w:sz w:val="20"/>
        </w:rPr>
        <w:t>SEC</w:t>
      </w:r>
      <w:r>
        <w:rPr>
          <w:rFonts w:ascii="Times New Roman;Times;serif" w:hAnsi="Times New Roman;Times;serif"/>
          <w:color w:val="000000"/>
          <w:sz w:val="20"/>
        </w:rPr>
        <w:t>”), we are making this Proxy Statement for the Annual Meeting (the “</w:t>
      </w:r>
      <w:r>
        <w:rPr>
          <w:rFonts w:ascii="Times New Roman;Times;serif" w:hAnsi="Times New Roman;Times;serif"/>
          <w:b/>
          <w:i/>
          <w:color w:val="000000"/>
          <w:sz w:val="20"/>
        </w:rPr>
        <w:t>Proxy Statement</w:t>
      </w:r>
      <w:r>
        <w:rPr>
          <w:rFonts w:ascii="Times New Roman;Times;serif" w:hAnsi="Times New Roman;Times;serif"/>
          <w:color w:val="000000"/>
          <w:sz w:val="20"/>
        </w:rPr>
        <w:t>”) and our Annual Report for the fiscal year ended May 31, 2024 (the “</w:t>
      </w:r>
      <w:r>
        <w:rPr>
          <w:rFonts w:ascii="Times New Roman;Times;serif" w:hAnsi="Times New Roman;Times;serif"/>
          <w:b/>
          <w:i/>
          <w:color w:val="000000"/>
          <w:sz w:val="20"/>
        </w:rPr>
        <w:t>Annual Report</w:t>
      </w:r>
      <w:r>
        <w:rPr>
          <w:rFonts w:ascii="Times New Roman;Times;serif" w:hAnsi="Times New Roman;Times;serif"/>
          <w:color w:val="000000"/>
          <w:sz w:val="20"/>
        </w:rPr>
        <w:t>,” and, together with this Proxy Statement, the “</w:t>
      </w:r>
      <w:r>
        <w:rPr>
          <w:rFonts w:ascii="Times New Roman;Times;serif" w:hAnsi="Times New Roman;Times;serif"/>
          <w:b/>
          <w:i/>
          <w:color w:val="000000"/>
          <w:sz w:val="20"/>
        </w:rPr>
        <w:t>Proxy Materials</w:t>
      </w:r>
      <w:r>
        <w:rPr>
          <w:rFonts w:ascii="Times New Roman;Times;serif" w:hAnsi="Times New Roman;Times;serif"/>
          <w:color w:val="000000"/>
          <w:sz w:val="20"/>
        </w:rPr>
        <w:t xml:space="preserve">”)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or about September 26, 2024,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27, 2024.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electronically access the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September 27, 2024, you can access the Proxy Materials and vote your shares online at </w:t>
      </w:r>
      <w:r>
        <w:rPr>
          <w:rFonts w:ascii="Times New Roman;Times;serif" w:hAnsi="Times New Roman;Times;serif"/>
          <w:i/>
          <w:color w:val="000000"/>
          <w:sz w:val="20"/>
        </w:rPr>
        <w:t>www.proxyvote.com</w:t>
      </w:r>
      <w:r>
        <w:rPr>
          <w:rFonts w:ascii="Times New Roman;Times;serif" w:hAnsi="Times New Roman;Times;serif"/>
          <w:color w:val="000000"/>
          <w:sz w:val="20"/>
        </w:rPr>
        <w:t>. The Proxy Materials are also available on our own website (</w:t>
      </w:r>
      <w:r>
        <w:rPr>
          <w:rFonts w:ascii="Times New Roman;Times;serif" w:hAnsi="Times New Roman;Times;serif"/>
          <w:i/>
          <w:color w:val="000000"/>
          <w:sz w:val="20"/>
        </w:rPr>
        <w:t>https:www.tilray.com).</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obtain a full set of printed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using the credentials provided on your Notice or proxy card.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How many shares are eligible to be voted and how many shares are required to hold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875,444,828 shares of our Common Stock outstanding – each entitled to one vote at the Annual Meeting – meaning that 291,814,943 shares of Common Stock must be represented in person or by proxy to have a quorum. Our Common Stock is our only outstanding class of voting securities. For purposes of determining whether a quorum exists, broker non-votes and proxies received but marked “ABSTAIN” will be counted.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9" w:name="ny20034373x2_def14a_103-proxy_pg3"/>
      <w:bookmarkEnd w:id="9"/>
      <w:r>
        <w:rPr>
          <w:rFonts w:ascii="Arial" w:hAnsi="Arial"/>
          <w:b/>
          <w:color w:val="00489A"/>
          <w:sz w:val="20"/>
        </w:rPr>
        <w:t xml:space="preserve">What am I voting on?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voting on proposals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 Mr. Hopkinson and Mr. Looney, the two (2) Class III director nominees, each to serve a term of three years expiring at the 2027 Annual Meeting of Stockholders, to our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ratify the appointment of PricewaterhouseCoopers LLP as our independent registered public accounting firm for the fiscal year ending May 31,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approve an increase the number of shares of common stock the Company is authorized to issue from 1,208,000,000 shares of capital stock to 1,426,000,000 shares of capital stock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approve the governance changes to the Company’s Fourth Amended and Restated Certificate of Incorporation (the “</w:t>
            </w:r>
            <w:r>
              <w:rPr>
                <w:rFonts w:ascii="Times New Roman;Times;serif" w:hAnsi="Times New Roman;Times;serif"/>
                <w:b/>
                <w:i/>
                <w:color w:val="000000"/>
                <w:sz w:val="20"/>
              </w:rPr>
              <w:t>Charter</w:t>
            </w:r>
            <w:r>
              <w:rPr>
                <w:rFonts w:ascii="Times New Roman;Times;serif" w:hAnsi="Times New Roman;Times;serif"/>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Times;serif" w:hAnsi="Times New Roman;Times;serif"/>
                <w:b/>
                <w:i/>
                <w:color w:val="000000"/>
                <w:sz w:val="20"/>
              </w:rPr>
              <w:t>Governance Proposal</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consider and act upon any other business that may properly come before the Annual Meeting or any adjournment or postponement of the Annual Meeting. </w:t>
            </w:r>
          </w:p>
        </w:tc>
      </w:tr>
    </w:tbl>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does the Board recommend that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that you vote: </w:t>
      </w:r>
    </w:p>
    <w:tbl>
      <w:tblPr>
        <w:tblW w:w="5035" w:type="dxa"/>
        <w:jc w:val="left"/>
        <w:tblInd w:w="0" w:type="dxa"/>
        <w:tblLayout w:type="fixed"/>
        <w:tblCellMar>
          <w:top w:w="0" w:type="dxa"/>
          <w:left w:w="0" w:type="dxa"/>
          <w:bottom w:w="0" w:type="dxa"/>
          <w:right w:w="0" w:type="dxa"/>
        </w:tblCellMar>
      </w:tblPr>
      <w:tblGrid>
        <w:gridCol w:w="170"/>
        <w:gridCol w:w="48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election of the two (2) Class III director nominees; </w:t>
            </w:r>
          </w:p>
        </w:tc>
      </w:tr>
    </w:tbl>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ratification of the appointment of PricewaterhouseCoopers LLP as our independent registered public accounting firm for the fiscal year ending May 31, 2025; </w:t>
            </w:r>
          </w:p>
        </w:tc>
      </w:tr>
    </w:tbl>
    <w:tbl>
      <w:tblPr>
        <w:tblW w:w="4555" w:type="dxa"/>
        <w:jc w:val="left"/>
        <w:tblInd w:w="0" w:type="dxa"/>
        <w:tblLayout w:type="fixed"/>
        <w:tblCellMar>
          <w:top w:w="0" w:type="dxa"/>
          <w:left w:w="0" w:type="dxa"/>
          <w:bottom w:w="0" w:type="dxa"/>
          <w:right w:w="0" w:type="dxa"/>
        </w:tblCellMar>
      </w:tblPr>
      <w:tblGrid>
        <w:gridCol w:w="170"/>
        <w:gridCol w:w="438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4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approval of the Authorized Shares Proposal: </w:t>
            </w:r>
          </w:p>
        </w:tc>
      </w:tr>
    </w:tbl>
    <w:tbl>
      <w:tblPr>
        <w:tblW w:w="4030" w:type="dxa"/>
        <w:jc w:val="left"/>
        <w:tblInd w:w="0" w:type="dxa"/>
        <w:tblLayout w:type="fixed"/>
        <w:tblCellMar>
          <w:top w:w="0" w:type="dxa"/>
          <w:left w:w="0" w:type="dxa"/>
          <w:bottom w:w="0" w:type="dxa"/>
          <w:right w:w="0" w:type="dxa"/>
        </w:tblCellMar>
      </w:tblPr>
      <w:tblGrid>
        <w:gridCol w:w="170"/>
        <w:gridCol w:w="386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3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Governance Proposal. </w:t>
            </w:r>
          </w:p>
        </w:tc>
      </w:tr>
    </w:tbl>
    <w:p>
      <w:pPr>
        <w:pStyle w:val="TextBody"/>
        <w:bidi w:val="0"/>
        <w:spacing w:before="240" w:after="283"/>
        <w:ind w:left="0" w:right="0" w:hanging="0"/>
        <w:jc w:val="left"/>
        <w:rPr>
          <w:rFonts w:ascii="Arial" w:hAnsi="Arial"/>
          <w:b/>
          <w:color w:val="00489A"/>
          <w:sz w:val="20"/>
        </w:rPr>
      </w:pPr>
      <w:bookmarkStart w:id="10" w:name="tHOWDOI"/>
      <w:bookmarkEnd w:id="10"/>
      <w:r>
        <w:rPr>
          <w:rFonts w:ascii="Arial" w:hAnsi="Arial"/>
          <w:b/>
          <w:color w:val="00489A"/>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vote “For” or “Withhold” for the nominees to the Board. For the Authorized Shares Proposal, the Governance Proposal and for the ratification of the selection of PricewaterhouseCoopers LLP as the Company’s independent registered public accounting firm, you may vote “For” or “Against”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as follows: </w:t>
      </w:r>
    </w:p>
    <w:p>
      <w:pPr>
        <w:pStyle w:val="TextBody"/>
        <w:bidi w:val="0"/>
        <w:spacing w:before="240" w:after="283"/>
        <w:ind w:left="400" w:right="0" w:hanging="0"/>
        <w:jc w:val="left"/>
        <w:rPr>
          <w:rFonts w:ascii="Arial" w:hAnsi="Arial"/>
          <w:i/>
          <w:color w:val="000000"/>
          <w:sz w:val="20"/>
        </w:rPr>
      </w:pPr>
      <w:r>
        <w:rPr>
          <w:rFonts w:ascii="Arial" w:hAnsi="Arial"/>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by “virtually” attending the Annual Meeting (via the following link: www.virtualshareholdermeeting.com/TLRY2024), vote by proxy through the internet or vote by proxy using the enclosed proxy card. Whether or not you plan to attend the meeting, we urge you to vote by proxy to ensure your vote is counted. You may still attend the meeting and vote even if you have already voted by proxy.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by “virtually” attending the Annual Meeting, login to the link: www.virtualshareholdermeeting.com/TLRY2024, and follow the instructions provided.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using the enclosed proxy card, simply complete, sign and date the enclosed proxy card that may be delivered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through the internet, go to www.proxyvote.com to complete an electronic proxy card. You will be asked to provide the company number and control number from the enclosed proxy cards. Your internet vote must be received by 11:59 PM EST, on November 21, 2024 to be counted. </w:t>
            </w:r>
          </w:p>
        </w:tc>
      </w:tr>
    </w:tbl>
    <w:p>
      <w:pPr>
        <w:pStyle w:val="TextBody"/>
        <w:bidi w:val="0"/>
        <w:spacing w:before="240" w:after="283"/>
        <w:ind w:left="400" w:right="0" w:hanging="0"/>
        <w:jc w:val="left"/>
        <w:rPr>
          <w:rFonts w:ascii="Arial" w:hAnsi="Arial"/>
          <w:i/>
          <w:color w:val="000000"/>
          <w:sz w:val="20"/>
        </w:rPr>
      </w:pPr>
      <w:r>
        <w:rPr>
          <w:rFonts w:ascii="Arial" w:hAnsi="Arial"/>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11" w:name="ny20034373x2_def14a_103-proxy_pg4"/>
      <w:bookmarkEnd w:id="11"/>
      <w:r>
        <w:rPr>
          <w:rFonts w:ascii="Times New Roman;Times;serif" w:hAnsi="Times New Roman;Times;serif"/>
          <w:color w:val="000000"/>
          <w:sz w:val="20"/>
        </w:rPr>
        <w:t xml:space="preserve">attending the Annual Meeting, you must obtain a valid proxy from your broker, bank or other agent. Follow the instructions from your broker, bank or other agent included with these proxy materials, or contact that organization to request a proxy form.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through the internet or by “virtually” attending the Annual Meeting, your shares will not be voted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your voting selections, your shares will be voted as recommended by the Board. Specifically, your shares will be voted, as applicable, “For” the election of the nominees for Class III director, “For” the Authorized Shares Proposal, “For” the Governance Proposal, and “For” the ratification of selection by the Audit Committee of the Board of PricewaterhouseCoopers LLP as independent registered public accounting firm of the Company for its fiscal year ending May 31, 2025. </w:t>
      </w:r>
      <w:r>
        <w:rPr>
          <w:rFonts w:ascii="Times New Roman;Times;serif" w:hAnsi="Times New Roman;Times;serif"/>
          <w:b/>
          <w:color w:val="000000"/>
          <w:sz w:val="20"/>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r>
        <w:rPr>
          <w:rFonts w:ascii="Times New Roman;Times;serif" w:hAnsi="Times New Roman;Times;serif"/>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participate and ask questions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ensuring that our stockholders have substantially the same opportunities to participate in the Annual Meeting as they would at an in-person meeting. To vote or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I need assistance with voting or have technical problems regarding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another matter is properly brought before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2" w:name="ny20034373x2_def14a_103-proxy_pg5"/>
      <w:bookmarkEnd w:id="12"/>
      <w:r>
        <w:rPr>
          <w:rFonts w:ascii="Arial" w:hAnsi="Arial"/>
          <w:b/>
          <w:color w:val="00489A"/>
          <w:sz w:val="20"/>
        </w:rPr>
        <w:t xml:space="preserve">How many votes are required to approve each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proposals that will be voted on, the vote required to approve each item and how votes are counted. </w:t>
      </w:r>
    </w:p>
    <w:tbl>
      <w:tblPr>
        <w:tblW w:w="10205" w:type="dxa"/>
        <w:jc w:val="left"/>
        <w:tblInd w:w="0" w:type="dxa"/>
        <w:tblLayout w:type="fixed"/>
        <w:tblCellMar>
          <w:top w:w="0" w:type="dxa"/>
          <w:left w:w="0" w:type="dxa"/>
          <w:bottom w:w="0" w:type="dxa"/>
          <w:right w:w="0" w:type="dxa"/>
        </w:tblCellMar>
      </w:tblPr>
      <w:tblGrid>
        <w:gridCol w:w="155"/>
        <w:gridCol w:w="1678"/>
        <w:gridCol w:w="140"/>
        <w:gridCol w:w="140"/>
        <w:gridCol w:w="3886"/>
        <w:gridCol w:w="140"/>
        <w:gridCol w:w="140"/>
        <w:gridCol w:w="1207"/>
        <w:gridCol w:w="140"/>
        <w:gridCol w:w="140"/>
        <w:gridCol w:w="974"/>
        <w:gridCol w:w="140"/>
        <w:gridCol w:w="140"/>
        <w:gridCol w:w="1028"/>
        <w:gridCol w:w="157"/>
      </w:tblGrid>
      <w:tr>
        <w:trPr/>
        <w:tc>
          <w:tcPr>
            <w:tcW w:w="15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78"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Votes Required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Voting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Impact of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16"/>
              </w:rPr>
              <w:t xml:space="preserve">Withhold” or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b/>
                <w:color w:val="000000"/>
                <w:sz w:val="16"/>
              </w:rPr>
              <w:t>Abstain” Votes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Discretionary </w:t>
            </w:r>
          </w:p>
          <w:p>
            <w:pPr>
              <w:pStyle w:val="TableContents"/>
              <w:bidi w:val="0"/>
              <w:spacing w:before="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Voting Allowed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78"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1</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88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plurality of the votes of shares of the voting power present or represented by proxy. This means that the two nominees receiving the highest number of affirmative “FOR” votes will be elected.</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07"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WITHHOLD”</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r>
              <w:rPr>
                <w:rFonts w:ascii="Times New Roman;Times;serif" w:hAnsi="Times New Roman;Times;serif"/>
                <w:color w:val="000000"/>
                <w:position w:val="7"/>
                <w:sz w:val="16"/>
                <w:sz w:val="20"/>
              </w:rPr>
              <w:t>(1)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2</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Ratification of Appointment of Independent Registered Public Accounting Firm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shares of the voting power present or represented by proxy.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AGAINST”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count as a vote “against”</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78"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3</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the Authorized Shares Proposal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88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voting power casting votes in person (online during the virtual meeting) or by proxy at the Annual Meeting by the holders entitled to vote thereon. This means that the Authorized Shares Proposal will be approved if the votes cast “FOR” the proposal exceed the votes cast “AGAINST” the proposal.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07"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FOR” “AGAINST” </w:t>
            </w:r>
          </w:p>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ABSTAIN”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7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w:t>
            </w:r>
            <w:r>
              <w:rPr>
                <w:rFonts w:ascii="Times New Roman;Times;serif" w:hAnsi="Times New Roman;Times;serif"/>
                <w:color w:val="000000"/>
                <w:position w:val="7"/>
                <w:sz w:val="16"/>
                <w:sz w:val="20"/>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Yes</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Proposal No. 4</w:t>
            </w:r>
            <w:r>
              <w:rPr>
                <w:rFonts w:ascii="Times New Roman;Times;serif" w:hAnsi="Times New Roman;Times;serif"/>
                <w:b/>
                <w:color w:val="000000"/>
                <w:sz w:val="20"/>
              </w:rPr>
              <w:t xml:space="preserve">: </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Approval of Governance Proposal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affirmative vote of the holders of 66 2/3% of the outstanding shares of our common stock entitled to vote generally at an 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“AGAINST” “ABSTAIN”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 count as a vote “against”</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w:t>
            </w:r>
            <w:r>
              <w:rPr>
                <w:rFonts w:ascii="Times New Roman;Times;serif" w:hAnsi="Times New Roman;Times;serif"/>
                <w:color w:val="000000"/>
                <w:position w:val="7"/>
                <w:sz w:val="16"/>
                <w:sz w:val="20"/>
              </w:rPr>
              <w:t>(2)</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Votes that are “withheld” will have the same effect as an abstention and will not count as a vote “FOR” or “AGAINST” a director, because directors are elected by plurality voting.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Abstentions and votes withheld will not be included in the numerator (since they are not affirmative votes) but will be included in the denominator (since they are shares “entitled to vote”). Therefore, abstentions and votes withheld will have the same effect as a vote “against” the proposal.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this proposal is considered a discretionary matter, brokers are permitted to exercise their discretion to vote uninstructed shares on this proposal.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Abstentions, and in the case of the Election of Directors proposal, “broker non-votes” are not counted as votes cast and will have no effect on the vote on this proposal.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What happens if I don’t specify how I want my shares voted on one or all of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3" w:name="ny20034373x2_def14a_103-proxy_pg6"/>
      <w:bookmarkEnd w:id="13"/>
      <w:r>
        <w:rPr>
          <w:rFonts w:ascii="Arial" w:hAnsi="Arial"/>
          <w:b/>
          <w:color w:val="00489A"/>
          <w:sz w:val="20"/>
        </w:rPr>
        <w:t xml:space="preserve">Can I change my vote or revoke my proxy after I have already voted or given my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If you are a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you may change your vote or revoke your proxy at any time before the proxy is voted at the Annual Meeting. To change your vote, you may: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mail a written notice “revoking” your earlier vote to Broadridge Financial Solutions, Inc. (Broadridge), 51 Mercedes Way, Edgewood, NY 11717;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 to Broadridge a properly completed and signed proxy card with a later date;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again telephonically or electronically (available until 11:59 p.m. EST on November 20, 2024);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vote in person at the Annual Meeting; however, your virtual attendance at the Annual Meeting alone will not revoke your proxy.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last dated proxy, properly completed and timely received prior to, or vote cast at, the Annual Meeting will be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own your shares in </w:t>
      </w:r>
      <w:r>
        <w:rPr>
          <w:rFonts w:ascii="Times New Roman;Times;serif" w:hAnsi="Times New Roman;Times;serif"/>
          <w:i/>
          <w:color w:val="000000"/>
          <w:sz w:val="20"/>
        </w:rPr>
        <w:t>street name</w:t>
      </w:r>
      <w:r>
        <w:rPr>
          <w:rFonts w:ascii="Times New Roman;Times;serif" w:hAnsi="Times New Roman;Times;serif"/>
          <w:color w:val="000000"/>
          <w:sz w:val="20"/>
        </w:rPr>
        <w:t xml:space="preserve">, please contact your broker or other intermediary for instructions on changing your vote or revoking your proxy.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Can I vote at the virtual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If you are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of the shares, you will have the opportunity to vote in person when you attend the virtual Annual Meeting online by visiting </w:t>
      </w:r>
      <w:r>
        <w:rPr>
          <w:rFonts w:ascii="Times New Roman;Times;serif" w:hAnsi="Times New Roman;Times;serif"/>
          <w:i/>
          <w:color w:val="000000"/>
          <w:sz w:val="20"/>
        </w:rPr>
        <w:t xml:space="preserve">www.virtualshareholdermeeting.com/TLRY2024. </w:t>
      </w:r>
      <w:r>
        <w:rPr>
          <w:rFonts w:ascii="Times New Roman;Times;serif" w:hAnsi="Times New Roman;Times;serif"/>
          <w:color w:val="000000"/>
          <w:sz w:val="20"/>
        </w:rPr>
        <w:t xml:space="preserve">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Times;serif" w:hAnsi="Times New Roman;Times;serif"/>
          <w:i/>
          <w:color w:val="000000"/>
          <w:sz w:val="20"/>
        </w:rPr>
        <w:t>street name</w:t>
      </w:r>
      <w:r>
        <w:rPr>
          <w:rFonts w:ascii="Times New Roman;Times;serif" w:hAnsi="Times New Roman;Times;serif"/>
          <w:color w:val="000000"/>
          <w:sz w:val="20"/>
        </w:rPr>
        <w:t xml:space="preserve"> is not the </w:t>
      </w:r>
      <w:r>
        <w:rPr>
          <w:rFonts w:ascii="Times New Roman;Times;serif" w:hAnsi="Times New Roman;Times;serif"/>
          <w:i/>
          <w:color w:val="000000"/>
          <w:sz w:val="20"/>
        </w:rPr>
        <w:t>stockholder of record</w:t>
      </w:r>
      <w:r>
        <w:rPr>
          <w:rFonts w:ascii="Times New Roman;Times;serif" w:hAnsi="Times New Roman;Times;serif"/>
          <w:color w:val="000000"/>
          <w:sz w:val="20"/>
        </w:rPr>
        <w:t xml:space="preserve">,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Who will count the 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Broadridge has been engaged as our independent agent to tabulate stockholder votes and act as Inspector of Election for the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Is voting confidential?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Proxy instructions, ballots and voting tabulations that identify individual stockholders are handled in a manner that protects your voting privacy. Your vote will not be disclosed either within the Company or to third parties, except: </w:t>
      </w:r>
    </w:p>
    <w:tbl>
      <w:tblPr>
        <w:tblW w:w="4315" w:type="dxa"/>
        <w:jc w:val="left"/>
        <w:tblInd w:w="0" w:type="dxa"/>
        <w:tblLayout w:type="fixed"/>
        <w:tblCellMar>
          <w:top w:w="0" w:type="dxa"/>
          <w:left w:w="0" w:type="dxa"/>
          <w:bottom w:w="0" w:type="dxa"/>
          <w:right w:w="0" w:type="dxa"/>
        </w:tblCellMar>
      </w:tblPr>
      <w:tblGrid>
        <w:gridCol w:w="110"/>
        <w:gridCol w:w="4205"/>
      </w:tblGrid>
      <w:tr>
        <w:trPr/>
        <w:tc>
          <w:tcPr>
            <w:tcW w:w="110" w:type="dxa"/>
            <w:tcBorders/>
            <w:vAlign w:val="center"/>
          </w:tcPr>
          <w:p>
            <w:pPr>
              <w:pStyle w:val="TableContents"/>
              <w:bidi w:val="0"/>
              <w:spacing w:before="0" w:after="0"/>
              <w:jc w:val="left"/>
              <w:rPr>
                <w:color w:val="000000"/>
              </w:rPr>
            </w:pPr>
            <w:r>
              <w:rPr>
                <w:color w:val="000000"/>
              </w:rPr>
              <w:t>•</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necessary to meet applicable legal requirements;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allow for the tabulation and certification of votes; and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facilitate a successful proxy solicitation.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Occasionally, stockholders provide written comments on their proxy cards, which may be forwarded to the Company’s management and the Board.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What happens if the Annual Meeting is adjourned or postponed?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proxy will still be effective and will be voted at the adjourned or postponed Annual Meeting. You will still be able to change or revoke your proxy until it is voted, provided such new proxy or revocation is properly completed and timely received.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How can I find the results of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will report the final voting results on a Current Report on Form 8-K filed with the Securities and Exchange Commission (the “</w:t>
      </w:r>
      <w:r>
        <w:rPr>
          <w:rFonts w:ascii="Times New Roman;Times;serif" w:hAnsi="Times New Roman;Times;serif"/>
          <w:b/>
          <w:i/>
          <w:color w:val="000000"/>
          <w:sz w:val="20"/>
        </w:rPr>
        <w:t>SEC</w:t>
      </w:r>
      <w:r>
        <w:rPr>
          <w:rFonts w:ascii="Times New Roman;Times;serif" w:hAnsi="Times New Roman;Times;serif"/>
          <w:color w:val="000000"/>
          <w:sz w:val="20"/>
        </w:rPr>
        <w:t xml:space="preserve">”) within four business days of the Annual Meeting. The Form 8-K will be available on the SEC’s website, </w:t>
      </w:r>
      <w:r>
        <w:rPr>
          <w:rFonts w:ascii="Times New Roman;Times;serif" w:hAnsi="Times New Roman;Times;serif"/>
          <w:i/>
          <w:color w:val="000000"/>
          <w:sz w:val="20"/>
        </w:rPr>
        <w:t>www.sec.gov</w:t>
      </w:r>
      <w:r>
        <w:rPr>
          <w:rFonts w:ascii="Times New Roman;Times;serif" w:hAnsi="Times New Roman;Times;serif"/>
          <w:color w:val="000000"/>
          <w:sz w:val="20"/>
        </w:rPr>
        <w:t xml:space="preserve">, as well as on our own website, </w:t>
      </w:r>
      <w:r>
        <w:rPr>
          <w:rFonts w:ascii="Times New Roman;Times;serif" w:hAnsi="Times New Roman;Times;serif"/>
          <w:i/>
          <w:color w:val="000000"/>
          <w:sz w:val="20"/>
        </w:rPr>
        <w:t>https://ir.tilray.com/financial-information/sec-filings</w:t>
      </w:r>
      <w:r>
        <w:rPr>
          <w:rFonts w:ascii="Times New Roman;Times;serif" w:hAnsi="Times New Roman;Times;serif"/>
          <w:color w:val="000000"/>
          <w:sz w:val="20"/>
        </w:rPr>
        <w:t xml:space="preserve">.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Who is soliciting my vote pursuant to this Proxy Statement?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is soliciting your vote.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4" w:name="ny20034373x2_def14a_104-fls_pg1"/>
      <w:bookmarkEnd w:id="14"/>
      <w:r>
        <w:rPr>
          <w:rFonts w:ascii="Arial" w:hAnsi="Arial"/>
          <w:b/>
          <w:color w:val="00489A"/>
          <w:sz w:val="20"/>
        </w:rPr>
        <w:t xml:space="preserve">Internet Availability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rules adopted by the SEC, we are furnishing Proxy Materials to our stockholders primarily via the Internet instead of mailing printed copies of those materials to each stockholder. On or about September 26, 2024,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 </w:t>
      </w:r>
    </w:p>
    <w:p>
      <w:pPr>
        <w:pStyle w:val="TextBody"/>
        <w:bidi w:val="0"/>
        <w:spacing w:before="240" w:after="283"/>
        <w:jc w:val="center"/>
        <w:rPr>
          <w:rFonts w:ascii="Arial" w:hAnsi="Arial"/>
          <w:b/>
          <w:color w:val="00489A"/>
          <w:sz w:val="20"/>
        </w:rPr>
      </w:pPr>
      <w:r>
        <w:rPr>
          <w:rFonts w:ascii="Arial" w:hAnsi="Arial"/>
          <w:b/>
          <w:color w:val="00489A"/>
          <w:sz w:val="20"/>
        </w:rPr>
        <w:t xml:space="preserve">Cautionary Statement Regarding Forward-Looking and Other Statements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r>
        <w:rPr>
          <w:rFonts w:ascii="Times New Roman;Times;serif" w:hAnsi="Times New Roman;Times;serif"/>
          <w:i/>
          <w:caps w:val="false"/>
          <w:smallCaps w:val="false"/>
          <w:color w:val="000000"/>
          <w:sz w:val="20"/>
        </w:rPr>
        <w:t xml:space="preserv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5" w:name="ny20034373x2_def14a_105-prop1_pg1"/>
      <w:bookmarkEnd w:id="15"/>
      <w:r>
        <w:rPr>
          <w:rFonts w:ascii="Arial" w:hAnsi="Arial"/>
          <w:b/>
          <w:color w:val="00489A"/>
          <w:sz w:val="20"/>
        </w:rPr>
        <w:t>PROPOSAL 1</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ELECTION OF DIRECTORS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Tilray’s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presently has seven members and is divided into three classes (I, II, and III) of directors. Each of our directors currently serves until either the 2024 (current), 2025 or 2026 annual meeting of our stockholders and until her or his successor has been duly elected and qualified, or, if sooner, until the director’s death, resignation or removal. It is the Company’s policy to invite directors and nominees for director to attend the Annual Meeting. All of our Board members, who were then-current members of Tilray’s Board, attended our 2023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David Hopkinson and Thomas Looney are Class III directors and each of them is willing and able to stand for election at the Annual Meeting. Jodi Butts has determined not to stand for re-election as a Class III director, but will continue to serve as a Board member through the end of her current term expiring at the 2024 Annual Meeting. Any vacancies not filled at the Annual Meeting may be filled by the Board.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David Hopkinson and Thomas Looney, the Class III Director Nominees for Election for a Three-Year Term Expiring at the 2027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biography of each of Mr. Hopkinson and Mr. Looney as Class III director nominees is listed below and contains information regarding the person’s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Each Class III director nominee listed below exemplifies how our Board values professional experience in business, education, policy and governmental fields as well as strong moral character and diversity in terms of viewpoint as well as age, ethnicity and gender. Our Board believes that each of these director nominee’s strong background and sets of skills provide the Board, as a whole, with a strong foundation of technical expertise and diverse experience in a variety of areas.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6" w:name="ny20034373x2_def14a_105-prop1_pg2"/>
      <w:bookmarkStart w:id="17" w:name="ny20034373x2_def14a_105-prop1_pg2"/>
      <w:bookmarkEnd w:id="17"/>
    </w:p>
    <w:tbl>
      <w:tblPr>
        <w:tblW w:w="10205" w:type="dxa"/>
        <w:jc w:val="left"/>
        <w:tblInd w:w="0" w:type="dxa"/>
        <w:tblLayout w:type="fixed"/>
        <w:tblCellMar>
          <w:top w:w="0" w:type="dxa"/>
          <w:left w:w="0" w:type="dxa"/>
          <w:bottom w:w="0" w:type="dxa"/>
          <w:right w:w="0" w:type="dxa"/>
        </w:tblCellMar>
      </w:tblPr>
      <w:tblGrid>
        <w:gridCol w:w="155"/>
        <w:gridCol w:w="5232"/>
        <w:gridCol w:w="209"/>
        <w:gridCol w:w="209"/>
        <w:gridCol w:w="4243"/>
        <w:gridCol w:w="157"/>
      </w:tblGrid>
      <w:tr>
        <w:trPr/>
        <w:tc>
          <w:tcPr>
            <w:tcW w:w="155" w:type="dxa"/>
            <w:tcBorders/>
            <w:shd w:fill="00489A" w:val="clear"/>
            <w:vAlign w:val="center"/>
          </w:tcPr>
          <w:p>
            <w:pPr>
              <w:pStyle w:val="TableContents"/>
              <w:bidi w:val="0"/>
              <w:spacing w:before="0" w:after="0"/>
              <w:jc w:val="left"/>
              <w:rPr/>
            </w:pPr>
            <w:r>
              <w:rPr/>
              <w:t> </w:t>
            </w:r>
          </w:p>
        </w:tc>
        <w:tc>
          <w:tcPr>
            <w:tcW w:w="5232" w:type="dxa"/>
            <w:tcBorders/>
            <w:shd w:fill="00489A" w:val="clear"/>
            <w:vAlign w:val="center"/>
          </w:tcPr>
          <w:p>
            <w:pPr>
              <w:pStyle w:val="TableContents"/>
              <w:bidi w:val="0"/>
              <w:spacing w:before="0" w:after="0"/>
              <w:jc w:val="left"/>
              <w:rPr/>
            </w:pPr>
            <w:r>
              <w:rPr/>
              <w:t> </w:t>
            </w:r>
          </w:p>
        </w:tc>
        <w:tc>
          <w:tcPr>
            <w:tcW w:w="209" w:type="dxa"/>
            <w:tcBorders/>
            <w:shd w:fill="00489A" w:val="clear"/>
            <w:vAlign w:val="center"/>
          </w:tcPr>
          <w:p>
            <w:pPr>
              <w:pStyle w:val="TableContents"/>
              <w:bidi w:val="0"/>
              <w:spacing w:before="0" w:after="0"/>
              <w:jc w:val="left"/>
              <w:rPr/>
            </w:pPr>
            <w:r>
              <w:rPr/>
              <w:t> </w:t>
            </w:r>
          </w:p>
        </w:tc>
        <w:tc>
          <w:tcPr>
            <w:tcW w:w="209" w:type="dxa"/>
            <w:tcBorders/>
            <w:shd w:fill="00489A" w:val="clear"/>
            <w:vAlign w:val="center"/>
          </w:tcPr>
          <w:p>
            <w:pPr>
              <w:pStyle w:val="TableContents"/>
              <w:bidi w:val="0"/>
              <w:spacing w:before="0" w:after="0"/>
              <w:jc w:val="left"/>
              <w:rPr/>
            </w:pPr>
            <w:r>
              <w:rPr/>
              <w:t> </w:t>
            </w:r>
          </w:p>
        </w:tc>
        <w:tc>
          <w:tcPr>
            <w:tcW w:w="4243" w:type="dxa"/>
            <w:tcBorders/>
            <w:shd w:fill="00489A" w:val="clear"/>
            <w:vAlign w:val="center"/>
          </w:tcPr>
          <w:p>
            <w:pPr>
              <w:pStyle w:val="TableContents"/>
              <w:bidi w:val="0"/>
              <w:spacing w:before="0" w:after="0"/>
              <w:jc w:val="left"/>
              <w:rPr/>
            </w:pPr>
            <w:r>
              <w:rPr/>
              <w:t> </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5232"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David Hopkinson</w:t>
            </w:r>
          </w:p>
        </w:tc>
        <w:tc>
          <w:tcPr>
            <w:tcW w:w="209" w:type="dxa"/>
            <w:tcBorders/>
            <w:shd w:fill="00489A" w:val="clear"/>
            <w:vAlign w:val="center"/>
          </w:tcPr>
          <w:p>
            <w:pPr>
              <w:pStyle w:val="TableContents"/>
              <w:bidi w:val="0"/>
              <w:spacing w:before="0" w:after="0"/>
              <w:jc w:val="left"/>
              <w:rPr/>
            </w:pPr>
            <w:r>
              <w:rPr/>
              <w:t> </w:t>
            </w:r>
          </w:p>
        </w:tc>
        <w:tc>
          <w:tcPr>
            <w:tcW w:w="209" w:type="dxa"/>
            <w:tcBorders/>
            <w:shd w:fill="00489A" w:val="clear"/>
            <w:vAlign w:val="center"/>
          </w:tcPr>
          <w:p>
            <w:pPr>
              <w:pStyle w:val="TableContents"/>
              <w:bidi w:val="0"/>
              <w:spacing w:before="0" w:after="0"/>
              <w:jc w:val="left"/>
              <w:rPr/>
            </w:pPr>
            <w:r>
              <w:rPr/>
              <w:t> </w:t>
            </w:r>
          </w:p>
        </w:tc>
        <w:tc>
          <w:tcPr>
            <w:tcW w:w="4243"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Independent Director</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32"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xml:space="preserve">: 53 </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Nominating and Governance Committee &amp; Compensation Committee</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424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 xml:space="preserve">: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Hopkinson is not a director of any other public company board.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Hopkinson is an accomplished executive with more than 25 years of diverse sports and entertainment industry experience. Most recently Mr. Hopkinson served as the President and Chief Operating Officer at Madison Square Garden Sports Corp. (MSG Sports) from 2020 to 2024, where he was responsible for setting the business strategy and overseeing all aspects of business operations across MSG Sports’ portfolio of assets, which includes the New York Knicks (NBA) and New York Rangers (NHL). Prior to MSG Sports, he served as Global Head of Partnerships for Real Madrid Club de Futbol, one of the world’s top revenue-generating football clubs, where he was responsible for all aspects of global partnerships. Before joining Real Madrid in 2018, Mr. Hopkinson spent over 20 years with Maple Leaf Sports and Entertainment (MLSE) in roles of increasing responsibility. In his last role with the Company, Mr. Hopkinson served as Chief Commercial Officer, where he was responsible for all revenue generation across MLSE’s portfolio of teams, which includes the Toronto Maple Leafs (NHL), Toronto Raptors (NBA) and Toronto FC (MLS). Mr. Hopkinson has served on the Chancellor’s Advisory Committee at McGill University in Montreal, in addition to the Boards of Canada Basketball, Canada’s Walk of Fame, and Women’s College Hospital Foundation in Toronto. In 2013, he was awarded the Queen Elizabeth II Diamond Jubilee Medal in recognition of Service to Canada.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32" w:type="dxa"/>
            <w:tcBorders/>
            <w:vAlign w:val="center"/>
          </w:tcPr>
          <w:p>
            <w:pPr>
              <w:pStyle w:val="TableContents"/>
              <w:bidi w:val="0"/>
              <w:spacing w:before="0" w:after="0"/>
              <w:jc w:val="left"/>
              <w:rPr>
                <w:color w:val="000000"/>
              </w:rPr>
            </w:pPr>
            <w:r>
              <w:rPr>
                <w:color w:val="000000"/>
              </w:rPr>
              <w:t> </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4243"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Extensive operational, management and revenue generation experience.</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4362"/>
        <w:gridCol w:w="224"/>
        <w:gridCol w:w="224"/>
        <w:gridCol w:w="5084"/>
        <w:gridCol w:w="156"/>
      </w:tblGrid>
      <w:tr>
        <w:trPr/>
        <w:tc>
          <w:tcPr>
            <w:tcW w:w="155" w:type="dxa"/>
            <w:tcBorders/>
            <w:shd w:fill="00489A" w:val="clear"/>
            <w:vAlign w:val="center"/>
          </w:tcPr>
          <w:p>
            <w:pPr>
              <w:pStyle w:val="TableContents"/>
              <w:bidi w:val="0"/>
              <w:spacing w:before="0" w:after="0"/>
              <w:jc w:val="left"/>
              <w:rPr/>
            </w:pPr>
            <w:r>
              <w:rPr/>
              <w:t> </w:t>
            </w:r>
          </w:p>
        </w:tc>
        <w:tc>
          <w:tcPr>
            <w:tcW w:w="4362" w:type="dxa"/>
            <w:tcBorders/>
            <w:shd w:fill="00489A" w:val="clear"/>
            <w:vAlign w:val="center"/>
          </w:tcPr>
          <w:p>
            <w:pPr>
              <w:pStyle w:val="TableContents"/>
              <w:bidi w:val="0"/>
              <w:spacing w:before="0" w:after="0"/>
              <w:jc w:val="left"/>
              <w:rPr/>
            </w:pPr>
            <w:r>
              <w:rPr/>
              <w:t> </w:t>
            </w:r>
          </w:p>
        </w:tc>
        <w:tc>
          <w:tcPr>
            <w:tcW w:w="224" w:type="dxa"/>
            <w:tcBorders/>
            <w:shd w:fill="00489A" w:val="clear"/>
            <w:vAlign w:val="center"/>
          </w:tcPr>
          <w:p>
            <w:pPr>
              <w:pStyle w:val="TableContents"/>
              <w:bidi w:val="0"/>
              <w:spacing w:before="0" w:after="0"/>
              <w:jc w:val="left"/>
              <w:rPr/>
            </w:pPr>
            <w:r>
              <w:rPr/>
              <w:t> </w:t>
            </w:r>
          </w:p>
        </w:tc>
        <w:tc>
          <w:tcPr>
            <w:tcW w:w="224" w:type="dxa"/>
            <w:tcBorders/>
            <w:shd w:fill="00489A" w:val="clear"/>
            <w:vAlign w:val="center"/>
          </w:tcPr>
          <w:p>
            <w:pPr>
              <w:pStyle w:val="TableContents"/>
              <w:bidi w:val="0"/>
              <w:spacing w:before="0" w:after="0"/>
              <w:jc w:val="left"/>
              <w:rPr/>
            </w:pPr>
            <w:r>
              <w:rPr/>
              <w:t> </w:t>
            </w:r>
          </w:p>
        </w:tc>
        <w:tc>
          <w:tcPr>
            <w:tcW w:w="5084" w:type="dxa"/>
            <w:tcBorders/>
            <w:shd w:fill="00489A" w:val="clear"/>
            <w:vAlign w:val="center"/>
          </w:tcPr>
          <w:p>
            <w:pPr>
              <w:pStyle w:val="TableContents"/>
              <w:bidi w:val="0"/>
              <w:spacing w:before="0" w:after="0"/>
              <w:jc w:val="left"/>
              <w:rPr/>
            </w:pPr>
            <w:r>
              <w:rPr/>
              <w:t> </w:t>
            </w:r>
          </w:p>
        </w:tc>
        <w:tc>
          <w:tcPr>
            <w:tcW w:w="156"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4362"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Thomas Looney</w:t>
            </w:r>
          </w:p>
        </w:tc>
        <w:tc>
          <w:tcPr>
            <w:tcW w:w="224" w:type="dxa"/>
            <w:tcBorders/>
            <w:shd w:fill="00489A" w:val="clear"/>
            <w:vAlign w:val="center"/>
          </w:tcPr>
          <w:p>
            <w:pPr>
              <w:pStyle w:val="TableContents"/>
              <w:bidi w:val="0"/>
              <w:spacing w:before="0" w:after="0"/>
              <w:jc w:val="left"/>
              <w:rPr/>
            </w:pPr>
            <w:r>
              <w:rPr/>
              <w:t> </w:t>
            </w:r>
          </w:p>
        </w:tc>
        <w:tc>
          <w:tcPr>
            <w:tcW w:w="224" w:type="dxa"/>
            <w:tcBorders/>
            <w:shd w:fill="00489A" w:val="clear"/>
            <w:vAlign w:val="center"/>
          </w:tcPr>
          <w:p>
            <w:pPr>
              <w:pStyle w:val="TableContents"/>
              <w:bidi w:val="0"/>
              <w:spacing w:before="0" w:after="0"/>
              <w:jc w:val="left"/>
              <w:rPr/>
            </w:pPr>
            <w:r>
              <w:rPr/>
              <w:t> </w:t>
            </w:r>
          </w:p>
        </w:tc>
        <w:tc>
          <w:tcPr>
            <w:tcW w:w="5084"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c>
          <w:tcPr>
            <w:tcW w:w="156"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362"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Audit Committee &amp;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Chair of the Compensation Committee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08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Looney is not a director of any other public company board.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362"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084"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362" w:type="dxa"/>
            <w:tcBorders/>
            <w:vAlign w:val="center"/>
          </w:tcPr>
          <w:p>
            <w:pPr>
              <w:pStyle w:val="TableContents"/>
              <w:bidi w:val="0"/>
              <w:spacing w:before="0" w:after="0"/>
              <w:jc w:val="left"/>
              <w:rPr>
                <w:color w:val="000000"/>
              </w:rPr>
            </w:pPr>
            <w:r>
              <w:rPr>
                <w:color w:val="000000"/>
              </w:rPr>
              <w:t> </w:t>
            </w:r>
          </w:p>
        </w:tc>
        <w:tc>
          <w:tcPr>
            <w:tcW w:w="224" w:type="dxa"/>
            <w:tcBorders/>
            <w:vAlign w:val="center"/>
          </w:tcPr>
          <w:p>
            <w:pPr>
              <w:pStyle w:val="TableContents"/>
              <w:bidi w:val="0"/>
              <w:spacing w:before="0" w:after="0"/>
              <w:jc w:val="left"/>
              <w:rPr/>
            </w:pPr>
            <w:r>
              <w:rPr/>
              <w:t> </w:t>
            </w:r>
          </w:p>
        </w:tc>
        <w:tc>
          <w:tcPr>
            <w:tcW w:w="224" w:type="dxa"/>
            <w:tcBorders/>
            <w:vAlign w:val="center"/>
          </w:tcPr>
          <w:p>
            <w:pPr>
              <w:pStyle w:val="TableContents"/>
              <w:bidi w:val="0"/>
              <w:spacing w:before="0" w:after="0"/>
              <w:jc w:val="left"/>
              <w:rPr/>
            </w:pPr>
            <w:r>
              <w:rPr/>
              <w:t> </w:t>
            </w:r>
          </w:p>
        </w:tc>
        <w:tc>
          <w:tcPr>
            <w:tcW w:w="5084"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Extensive innovation, sales, finance and marketing experience, especially in the beverage alcohol industry, and risk management.</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bl>
    <w:p>
      <w:pPr>
        <w:pStyle w:val="TextBody"/>
        <w:bidi w:val="0"/>
        <w:spacing w:before="200" w:after="283"/>
        <w:jc w:val="center"/>
        <w:rPr>
          <w:rFonts w:ascii="Arial" w:hAnsi="Arial"/>
          <w:b/>
          <w:color w:val="00489A"/>
          <w:sz w:val="20"/>
        </w:rPr>
      </w:pPr>
      <w:r>
        <w:rPr>
          <w:rFonts w:ascii="Arial" w:hAnsi="Arial"/>
          <w:b/>
          <w:color w:val="00489A"/>
          <w:sz w:val="20"/>
        </w:rPr>
        <w:t xml:space="preserve">OUR BOARD UNANIMOUSLY RECOMMENDS THAT YOU VOTE </w:t>
      </w:r>
    </w:p>
    <w:p>
      <w:pPr>
        <w:pStyle w:val="TextBody"/>
        <w:bidi w:val="0"/>
        <w:spacing w:before="0" w:after="283"/>
        <w:jc w:val="center"/>
        <w:rPr>
          <w:color w:val="00489A"/>
        </w:rPr>
      </w:pPr>
      <w:r>
        <w:rPr>
          <w:color w:val="00489A"/>
        </w:rPr>
        <w:t>“</w:t>
      </w:r>
      <w:r>
        <w:rPr>
          <w:rFonts w:ascii="Arial" w:hAnsi="Arial"/>
          <w:b/>
          <w:color w:val="00489A"/>
          <w:sz w:val="20"/>
        </w:rPr>
        <w:t xml:space="preserve">FOR” THE ELECTION OF THESE TWO (2) NOMINEES FOR DIRECTOR.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0"/>
              <w:jc w:val="left"/>
              <w:rPr/>
            </w:pPr>
            <w:r>
              <w:rPr/>
              <w:t> </w:t>
            </w:r>
          </w:p>
        </w:tc>
      </w:tr>
      <w:tr>
        <w:trPr/>
        <w:tc>
          <w:tcPr>
            <w:tcW w:w="1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w:t>
            </w:r>
          </w:p>
        </w:tc>
      </w:tr>
      <w:tr>
        <w:trPr/>
        <w:tc>
          <w:tcPr>
            <w:tcW w:w="1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8" w:name="ny20034373x2_def14a_105-prop1_pg3"/>
      <w:bookmarkEnd w:id="18"/>
      <w:r>
        <w:rPr>
          <w:rFonts w:ascii="Arial" w:hAnsi="Arial"/>
          <w:b/>
          <w:color w:val="00489A"/>
          <w:sz w:val="20"/>
        </w:rPr>
        <w:t>Class I and Class II Directors Continuing in Office Until the 2025 and 2026 Annual Meetings, Respectively</w:t>
      </w:r>
    </w:p>
    <w:tbl>
      <w:tblPr>
        <w:tblW w:w="10205" w:type="dxa"/>
        <w:jc w:val="left"/>
        <w:tblInd w:w="0" w:type="dxa"/>
        <w:tblLayout w:type="fixed"/>
        <w:tblCellMar>
          <w:top w:w="0" w:type="dxa"/>
          <w:left w:w="0" w:type="dxa"/>
          <w:bottom w:w="0" w:type="dxa"/>
          <w:right w:w="0" w:type="dxa"/>
        </w:tblCellMar>
      </w:tblPr>
      <w:tblGrid>
        <w:gridCol w:w="155"/>
        <w:gridCol w:w="3416"/>
        <w:gridCol w:w="283"/>
        <w:gridCol w:w="283"/>
        <w:gridCol w:w="5580"/>
        <w:gridCol w:w="283"/>
        <w:gridCol w:w="46"/>
        <w:gridCol w:w="159"/>
      </w:tblGrid>
      <w:tr>
        <w:trPr/>
        <w:tc>
          <w:tcPr>
            <w:tcW w:w="155" w:type="dxa"/>
            <w:tcBorders/>
            <w:shd w:fill="00489A" w:val="clear"/>
            <w:vAlign w:val="center"/>
          </w:tcPr>
          <w:p>
            <w:pPr>
              <w:pStyle w:val="TableContents"/>
              <w:bidi w:val="0"/>
              <w:spacing w:before="0" w:after="0"/>
              <w:jc w:val="left"/>
              <w:rPr/>
            </w:pPr>
            <w:r>
              <w:rPr/>
              <w:t> </w:t>
            </w:r>
          </w:p>
        </w:tc>
        <w:tc>
          <w:tcPr>
            <w:tcW w:w="3416" w:type="dxa"/>
            <w:tcBorders/>
            <w:shd w:fill="00489A" w:val="clear"/>
            <w:vAlign w:val="center"/>
          </w:tcPr>
          <w:p>
            <w:pPr>
              <w:pStyle w:val="TableContents"/>
              <w:bidi w:val="0"/>
              <w:spacing w:before="0" w:after="0"/>
              <w:jc w:val="left"/>
              <w:rPr/>
            </w:pPr>
            <w:r>
              <w:rPr/>
              <w:t> </w:t>
            </w:r>
          </w:p>
        </w:tc>
        <w:tc>
          <w:tcPr>
            <w:tcW w:w="283" w:type="dxa"/>
            <w:tcBorders/>
            <w:shd w:fill="00489A" w:val="clear"/>
            <w:vAlign w:val="center"/>
          </w:tcPr>
          <w:p>
            <w:pPr>
              <w:pStyle w:val="TableContents"/>
              <w:bidi w:val="0"/>
              <w:spacing w:before="0" w:after="0"/>
              <w:jc w:val="left"/>
              <w:rPr/>
            </w:pPr>
            <w:r>
              <w:rPr/>
              <w:t> </w:t>
            </w:r>
          </w:p>
        </w:tc>
        <w:tc>
          <w:tcPr>
            <w:tcW w:w="283" w:type="dxa"/>
            <w:tcBorders/>
            <w:shd w:fill="00489A" w:val="clear"/>
            <w:vAlign w:val="center"/>
          </w:tcPr>
          <w:p>
            <w:pPr>
              <w:pStyle w:val="TableContents"/>
              <w:bidi w:val="0"/>
              <w:spacing w:before="0" w:after="0"/>
              <w:jc w:val="left"/>
              <w:rPr/>
            </w:pPr>
            <w:r>
              <w:rPr/>
              <w:t> </w:t>
            </w:r>
          </w:p>
        </w:tc>
        <w:tc>
          <w:tcPr>
            <w:tcW w:w="5580" w:type="dxa"/>
            <w:tcBorders/>
            <w:shd w:fill="00489A" w:val="clear"/>
            <w:vAlign w:val="center"/>
          </w:tcPr>
          <w:p>
            <w:pPr>
              <w:pStyle w:val="TableContents"/>
              <w:bidi w:val="0"/>
              <w:spacing w:before="0" w:after="0"/>
              <w:jc w:val="left"/>
              <w:rPr/>
            </w:pPr>
            <w:r>
              <w:rPr/>
              <w:t> </w:t>
            </w:r>
          </w:p>
        </w:tc>
        <w:tc>
          <w:tcPr>
            <w:tcW w:w="283" w:type="dxa"/>
            <w:tcBorders/>
            <w:shd w:fill="00489A" w:val="clear"/>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shd w:fill="00489A" w:val="clear"/>
            <w:vAlign w:val="center"/>
          </w:tcPr>
          <w:p>
            <w:pPr>
              <w:pStyle w:val="TableContents"/>
              <w:bidi w:val="0"/>
              <w:spacing w:before="0" w:after="0"/>
              <w:jc w:val="left"/>
              <w:rPr/>
            </w:pPr>
            <w:r>
              <w:rPr/>
              <w:t> </w:t>
            </w:r>
          </w:p>
        </w:tc>
        <w:tc>
          <w:tcPr>
            <w:tcW w:w="3416"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Irwin D. Simon</w:t>
            </w:r>
          </w:p>
        </w:tc>
        <w:tc>
          <w:tcPr>
            <w:tcW w:w="283" w:type="dxa"/>
            <w:tcBorders/>
            <w:shd w:fill="00489A" w:val="clear"/>
            <w:vAlign w:val="center"/>
          </w:tcPr>
          <w:p>
            <w:pPr>
              <w:pStyle w:val="TableContents"/>
              <w:bidi w:val="0"/>
              <w:spacing w:before="0" w:after="0"/>
              <w:jc w:val="left"/>
              <w:rPr/>
            </w:pPr>
            <w:r>
              <w:rPr/>
              <w:t> </w:t>
            </w:r>
          </w:p>
        </w:tc>
        <w:tc>
          <w:tcPr>
            <w:tcW w:w="283" w:type="dxa"/>
            <w:tcBorders/>
            <w:shd w:fill="00489A" w:val="clear"/>
            <w:vAlign w:val="center"/>
          </w:tcPr>
          <w:p>
            <w:pPr>
              <w:pStyle w:val="TableContents"/>
              <w:bidi w:val="0"/>
              <w:spacing w:before="0" w:after="0"/>
              <w:jc w:val="left"/>
              <w:rPr/>
            </w:pPr>
            <w:r>
              <w:rPr/>
              <w:t> </w:t>
            </w:r>
          </w:p>
        </w:tc>
        <w:tc>
          <w:tcPr>
            <w:tcW w:w="5580"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Chairman, President, and Chief Executive Officer </w:t>
            </w:r>
          </w:p>
        </w:tc>
        <w:tc>
          <w:tcPr>
            <w:tcW w:w="283" w:type="dxa"/>
            <w:tcBorders/>
            <w:shd w:fill="00489A" w:val="clear"/>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66</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None</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Simon is currently a director of Stagwell Inc. </w:t>
            </w:r>
          </w:p>
        </w:tc>
        <w:tc>
          <w:tcPr>
            <w:tcW w:w="283" w:type="dxa"/>
            <w:tcBorders/>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4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891" w:type="dxa"/>
            <w:gridSpan w:val="6"/>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Irwin D. Simon is a Canadian American businessman and visionary leader who serves as Chairman and Chief Executive Officer at Tilray Brands, Inc, the world’s leading lifestyle consumer packaged goods company with a diversified portfolio of consumer brands across medical and adult-use cannabis, wellness foods, and beverages including craft beer, spirits, and cannabis drinks. Tilray’s unprecedented platform operates in over 20 countries and leads across markets as the #1 medical and adult-use cannabis company in Canada, the largest federally legal cannabis market in the world, the leader in medical cannabis across Europe, and 5th largest craft brewer in the United States. Mr. Simon was until August 2024, the Executive Chairman of Whole Earth Brands, Inc., a global industry-leading platform focused on the “better for you” consumer packaged goods and ingredients space. Mr. Simon continues to serve as Lead Director at Stagwell Inc., a digital-first global marketing network that delivers scalable, seamless solutions through a unique combination of culture-moving creativity and leading-edge technology. </w:t>
            </w:r>
          </w:p>
        </w:tc>
        <w:tc>
          <w:tcPr>
            <w:tcW w:w="15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transformative entrepreneur for over four decades, Mr. Simon is recognized as a forefather of the organic and natural products industry. In 1993, he founded and served as the Chairman and CEO of The Hain Celestial Group, Inc., a leading organic and natural products company, providing consumers with A Healthier Way of Life™. During his 25 year tenure, he grew Hain Celestial to a $3 billion business with operations in North America, Europe, Asia and the Middle East.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Simon also serves on the board of directors at Tulane University and the Board of Trustees at Poly Prep Country Day School.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3416"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5580" w:type="dxa"/>
            <w:tcBorders/>
            <w:vAlign w:val="center"/>
          </w:tcPr>
          <w:p>
            <w:pPr>
              <w:pStyle w:val="TableContents"/>
              <w:bidi w:val="0"/>
              <w:spacing w:before="0" w:after="0"/>
              <w:jc w:val="left"/>
              <w:rPr>
                <w:color w:val="000000"/>
              </w:rPr>
            </w:pPr>
            <w:r>
              <w:rPr>
                <w:color w:val="000000"/>
              </w:rPr>
              <w:t>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leadership, entrepreneurship, extensive global consumer-packaged goods business and brand development experience, as well as in-depth knowledge of our industry.</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0"/>
              <w:jc w:val="left"/>
              <w:rPr/>
            </w:pPr>
            <w:r>
              <w:rPr/>
              <w:t> </w:t>
            </w:r>
          </w:p>
        </w:tc>
        <w:tc>
          <w:tcPr>
            <w:tcW w:w="9562" w:type="dxa"/>
            <w:gridSpan w:val="4"/>
            <w:tcBorders/>
            <w:vAlign w:val="center"/>
          </w:tcPr>
          <w:p>
            <w:pPr>
              <w:pStyle w:val="TableContents"/>
              <w:bidi w:val="0"/>
              <w:spacing w:before="0" w:after="0"/>
              <w:jc w:val="left"/>
              <w:rPr/>
            </w:pPr>
            <w:r>
              <w:rPr/>
              <w:t> </w:t>
            </w:r>
          </w:p>
        </w:tc>
        <w:tc>
          <w:tcPr>
            <w:tcW w:w="283" w:type="dxa"/>
            <w:tcBorders/>
            <w:vAlign w:val="center"/>
          </w:tcPr>
          <w:p>
            <w:pPr>
              <w:pStyle w:val="TableContents"/>
              <w:bidi w:val="0"/>
              <w:spacing w:before="0" w:after="0"/>
              <w:jc w:val="left"/>
              <w:rPr/>
            </w:pPr>
            <w:r>
              <w:rPr/>
              <w:t> </w:t>
            </w:r>
          </w:p>
        </w:tc>
        <w:tc>
          <w:tcPr>
            <w:tcW w:w="205" w:type="dxa"/>
            <w:gridSpan w:val="2"/>
            <w:tcBorders/>
          </w:tcPr>
          <w:p>
            <w:pPr>
              <w:pStyle w:val="TableContents"/>
              <w:bidi w:val="0"/>
              <w:spacing w:before="0" w:after="283"/>
              <w:jc w:val="left"/>
              <w:rPr>
                <w:sz w:val="4"/>
                <w:szCs w:val="4"/>
              </w:rPr>
            </w:pPr>
            <w:r>
              <w:rPr>
                <w:sz w:val="4"/>
                <w:szCs w:val="4"/>
              </w:rPr>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9" w:name="ny20034373x2_def14a_105-prop1_pg4"/>
      <w:bookmarkStart w:id="20" w:name="ny20034373x2_def14a_105-prop1_pg4"/>
      <w:bookmarkEnd w:id="20"/>
    </w:p>
    <w:tbl>
      <w:tblPr>
        <w:tblW w:w="10205" w:type="dxa"/>
        <w:jc w:val="left"/>
        <w:tblInd w:w="0" w:type="dxa"/>
        <w:tblLayout w:type="fixed"/>
        <w:tblCellMar>
          <w:top w:w="0" w:type="dxa"/>
          <w:left w:w="0" w:type="dxa"/>
          <w:bottom w:w="0" w:type="dxa"/>
          <w:right w:w="0" w:type="dxa"/>
        </w:tblCellMar>
      </w:tblPr>
      <w:tblGrid>
        <w:gridCol w:w="155"/>
        <w:gridCol w:w="5223"/>
        <w:gridCol w:w="175"/>
        <w:gridCol w:w="175"/>
        <w:gridCol w:w="4319"/>
        <w:gridCol w:w="158"/>
      </w:tblGrid>
      <w:tr>
        <w:trPr/>
        <w:tc>
          <w:tcPr>
            <w:tcW w:w="155" w:type="dxa"/>
            <w:tcBorders/>
            <w:shd w:fill="00489A" w:val="clear"/>
            <w:vAlign w:val="center"/>
          </w:tcPr>
          <w:p>
            <w:pPr>
              <w:pStyle w:val="TableContents"/>
              <w:bidi w:val="0"/>
              <w:spacing w:before="0" w:after="0"/>
              <w:jc w:val="left"/>
              <w:rPr/>
            </w:pPr>
            <w:r>
              <w:rPr/>
              <w:t> </w:t>
            </w:r>
          </w:p>
        </w:tc>
        <w:tc>
          <w:tcPr>
            <w:tcW w:w="5223" w:type="dxa"/>
            <w:tcBorders/>
            <w:shd w:fill="00489A" w:val="clear"/>
            <w:vAlign w:val="center"/>
          </w:tcPr>
          <w:p>
            <w:pPr>
              <w:pStyle w:val="TableContents"/>
              <w:bidi w:val="0"/>
              <w:spacing w:before="0" w:after="0"/>
              <w:jc w:val="left"/>
              <w:rPr/>
            </w:pPr>
            <w:r>
              <w:rPr/>
              <w:t> </w:t>
            </w:r>
          </w:p>
        </w:tc>
        <w:tc>
          <w:tcPr>
            <w:tcW w:w="175" w:type="dxa"/>
            <w:tcBorders/>
            <w:shd w:fill="00489A" w:val="clear"/>
            <w:vAlign w:val="center"/>
          </w:tcPr>
          <w:p>
            <w:pPr>
              <w:pStyle w:val="TableContents"/>
              <w:bidi w:val="0"/>
              <w:spacing w:before="0" w:after="0"/>
              <w:jc w:val="left"/>
              <w:rPr/>
            </w:pPr>
            <w:r>
              <w:rPr/>
              <w:t> </w:t>
            </w:r>
          </w:p>
        </w:tc>
        <w:tc>
          <w:tcPr>
            <w:tcW w:w="175" w:type="dxa"/>
            <w:tcBorders/>
            <w:shd w:fill="00489A" w:val="clear"/>
            <w:vAlign w:val="center"/>
          </w:tcPr>
          <w:p>
            <w:pPr>
              <w:pStyle w:val="TableContents"/>
              <w:bidi w:val="0"/>
              <w:spacing w:before="0" w:after="0"/>
              <w:jc w:val="left"/>
              <w:rPr/>
            </w:pPr>
            <w:r>
              <w:rPr/>
              <w:t> </w:t>
            </w:r>
          </w:p>
        </w:tc>
        <w:tc>
          <w:tcPr>
            <w:tcW w:w="4319" w:type="dxa"/>
            <w:tcBorders/>
            <w:shd w:fill="00489A" w:val="clear"/>
            <w:vAlign w:val="center"/>
          </w:tcPr>
          <w:p>
            <w:pPr>
              <w:pStyle w:val="TableContents"/>
              <w:bidi w:val="0"/>
              <w:spacing w:before="0" w:after="0"/>
              <w:jc w:val="left"/>
              <w:rPr/>
            </w:pPr>
            <w:r>
              <w:rPr/>
              <w:t> </w:t>
            </w:r>
          </w:p>
        </w:tc>
        <w:tc>
          <w:tcPr>
            <w:tcW w:w="158"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5223"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Renah Persofsky</w:t>
            </w:r>
          </w:p>
        </w:tc>
        <w:tc>
          <w:tcPr>
            <w:tcW w:w="175" w:type="dxa"/>
            <w:tcBorders/>
            <w:shd w:fill="00489A" w:val="clear"/>
            <w:vAlign w:val="center"/>
          </w:tcPr>
          <w:p>
            <w:pPr>
              <w:pStyle w:val="TableContents"/>
              <w:bidi w:val="0"/>
              <w:spacing w:before="0" w:after="0"/>
              <w:jc w:val="left"/>
              <w:rPr/>
            </w:pPr>
            <w:r>
              <w:rPr/>
              <w:t> </w:t>
            </w:r>
          </w:p>
        </w:tc>
        <w:tc>
          <w:tcPr>
            <w:tcW w:w="175" w:type="dxa"/>
            <w:tcBorders/>
            <w:shd w:fill="00489A" w:val="clear"/>
            <w:vAlign w:val="center"/>
          </w:tcPr>
          <w:p>
            <w:pPr>
              <w:pStyle w:val="TableContents"/>
              <w:bidi w:val="0"/>
              <w:spacing w:before="0" w:after="0"/>
              <w:jc w:val="left"/>
              <w:rPr/>
            </w:pPr>
            <w:r>
              <w:rPr/>
              <w:t> </w:t>
            </w:r>
          </w:p>
        </w:tc>
        <w:tc>
          <w:tcPr>
            <w:tcW w:w="4319"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c>
          <w:tcPr>
            <w:tcW w:w="158"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23"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color w:val="000000"/>
              </w:rPr>
            </w:pPr>
            <w:r>
              <w:rPr>
                <w:color w:val="000000"/>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23"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66</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Vice-Chair (Lead Director) and Chair of the Nominating and Governance Committee, Independent Director</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Ms. Persofsky is currently a director of Hydrofarm Holdings Group, Inc. and GreenLane Holdings.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2" w:type="dxa"/>
            <w:gridSpan w:val="4"/>
            <w:tcBorders/>
            <w:vAlign w:val="center"/>
          </w:tcPr>
          <w:p>
            <w:pPr>
              <w:pStyle w:val="TableContents"/>
              <w:bidi w:val="0"/>
              <w:spacing w:before="0" w:after="0"/>
              <w:jc w:val="left"/>
              <w:rPr>
                <w:color w:val="000000"/>
              </w:rPr>
            </w:pPr>
            <w:r>
              <w:rPr>
                <w:color w:val="000000"/>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23"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color w:val="000000"/>
              </w:rPr>
            </w:pPr>
            <w:r>
              <w:rPr>
                <w:color w:val="000000"/>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2"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Renah Persofsky , ICD.D, Vice-Chair (Lead Director) and Chair of the Nominating and Governance Committee, Independent Director. With a remarkable career spanning over four decades, Renah Persofsky is a seasoned business leader and a trailblazer in various industries. Currently, she is the executive chairman of Green Gruff, a pioneering dog wellness company committed to producing organic and sustainable dog supplements and treats. </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her role at Green Gruff, Ms. Persofsky serves as a distinguished member of the board of Hydrofarm Holdings Group, America’s oldest and largest independent wholesaler and manufacturer of hydroponics equipment and grow lights. She also serves on the board of Oceansix, an Israeli founded forward-thinking technology and manufacturing company in the renewable plastic industry. Ms. Persofsky’s experience in the cannabis industry is further solidified through her role on the Board of Greenlane Holdings, one of the largest global sellers of cannabis accessories.</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Her extensive experience includes serving as an executive consultant to many brands, including Tim Hortons, Canadian Tire, CIBC, Canada Post, and Interac. She also held an executive officer position at the Bank of Montreal. Ms. Persofsky’s expertise in e-commerce is globally recognized. She has co-chaired the Canadian Minister’s Advisory Committee on Electronic Commerce and served as a special advisor to the Minister of Foreign Affairs and Trade. Her contributions to these roles underscore her commitment to innovation and her vision for a digitally connected world.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223" w:type="dxa"/>
            <w:tcBorders/>
            <w:vAlign w:val="center"/>
          </w:tcPr>
          <w:p>
            <w:pPr>
              <w:pStyle w:val="TableContents"/>
              <w:bidi w:val="0"/>
              <w:spacing w:before="0" w:after="0"/>
              <w:jc w:val="left"/>
              <w:rPr>
                <w:color w:val="000000"/>
              </w:rPr>
            </w:pPr>
            <w:r>
              <w:rPr>
                <w:color w:val="000000"/>
              </w:rPr>
              <w:t> </w:t>
            </w:r>
          </w:p>
        </w:tc>
        <w:tc>
          <w:tcPr>
            <w:tcW w:w="175" w:type="dxa"/>
            <w:tcBorders/>
            <w:vAlign w:val="center"/>
          </w:tcPr>
          <w:p>
            <w:pPr>
              <w:pStyle w:val="TableContents"/>
              <w:bidi w:val="0"/>
              <w:spacing w:before="0" w:after="0"/>
              <w:jc w:val="left"/>
              <w:rPr/>
            </w:pPr>
            <w:r>
              <w:rPr/>
              <w:t> </w:t>
            </w:r>
          </w:p>
        </w:tc>
        <w:tc>
          <w:tcPr>
            <w:tcW w:w="175" w:type="dxa"/>
            <w:tcBorders/>
            <w:vAlign w:val="center"/>
          </w:tcPr>
          <w:p>
            <w:pPr>
              <w:pStyle w:val="TableContents"/>
              <w:bidi w:val="0"/>
              <w:spacing w:before="0" w:after="0"/>
              <w:jc w:val="left"/>
              <w:rPr/>
            </w:pPr>
            <w:r>
              <w:rPr/>
              <w:t> </w:t>
            </w:r>
          </w:p>
        </w:tc>
        <w:tc>
          <w:tcPr>
            <w:tcW w:w="4319" w:type="dxa"/>
            <w:tcBorders/>
            <w:vAlign w:val="center"/>
          </w:tcPr>
          <w:p>
            <w:pPr>
              <w:pStyle w:val="TableContents"/>
              <w:bidi w:val="0"/>
              <w:spacing w:before="0" w:after="0"/>
              <w:jc w:val="left"/>
              <w:rPr>
                <w:color w:val="000000"/>
              </w:rPr>
            </w:pPr>
            <w:r>
              <w:rPr>
                <w:color w:val="000000"/>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2"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2"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Public company board experience, extensive governance and management experience.</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2" w:type="dxa"/>
            <w:gridSpan w:val="4"/>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55"/>
        <w:gridCol w:w="3763"/>
        <w:gridCol w:w="239"/>
        <w:gridCol w:w="239"/>
        <w:gridCol w:w="5652"/>
        <w:gridCol w:w="157"/>
      </w:tblGrid>
      <w:tr>
        <w:trPr/>
        <w:tc>
          <w:tcPr>
            <w:tcW w:w="155" w:type="dxa"/>
            <w:tcBorders/>
            <w:shd w:fill="00489A" w:val="clear"/>
            <w:vAlign w:val="center"/>
          </w:tcPr>
          <w:p>
            <w:pPr>
              <w:pStyle w:val="TableContents"/>
              <w:bidi w:val="0"/>
              <w:spacing w:before="0" w:after="0"/>
              <w:jc w:val="left"/>
              <w:rPr/>
            </w:pPr>
            <w:r>
              <w:rPr/>
              <w:t> </w:t>
            </w:r>
          </w:p>
        </w:tc>
        <w:tc>
          <w:tcPr>
            <w:tcW w:w="3763"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5652" w:type="dxa"/>
            <w:tcBorders/>
            <w:shd w:fill="00489A" w:val="clear"/>
            <w:vAlign w:val="center"/>
          </w:tcPr>
          <w:p>
            <w:pPr>
              <w:pStyle w:val="TableContents"/>
              <w:bidi w:val="0"/>
              <w:spacing w:before="0" w:after="0"/>
              <w:jc w:val="left"/>
              <w:rPr/>
            </w:pPr>
            <w:r>
              <w:rPr/>
              <w:t> </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3763"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David Clanachan</w:t>
            </w:r>
          </w:p>
        </w:tc>
        <w:tc>
          <w:tcPr>
            <w:tcW w:w="239"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5652"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763" w:type="dxa"/>
            <w:tcBorders/>
            <w:vAlign w:val="center"/>
          </w:tcPr>
          <w:p>
            <w:pPr>
              <w:pStyle w:val="TableContents"/>
              <w:bidi w:val="0"/>
              <w:spacing w:before="0" w:after="0"/>
              <w:jc w:val="left"/>
              <w:rPr>
                <w:color w:val="000000"/>
              </w:rPr>
            </w:pPr>
            <w:r>
              <w:rPr>
                <w:color w:val="000000"/>
              </w:rPr>
              <w:t> </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652"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763"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62</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Audit Committee Member </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65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Clanachan is not a director of any other public company board.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763"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652"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F. Clanachan is the current Chair of the Board of Directors for SteamWhistle brewery in Canada, while serving as a consultant to a number of food service companies throughout Canada. He was the past Commissioner of the Canadian Premier League, a post he held from 2018 until 2021. Mr. Clanachan was also the Chairman of Restaurant Brands International, Canada until 2018. He was named President and Chief Operating Officer of Tim Hortons from 2014 to 2018, and had more than 35 years of service for that brand. Mr. Clanachan holds a Bachelor of Commerce degree from the University of Windsor. Mr. Clanachan brings to the Board significant experience in consumer products and services, as well as financial, international growth, and general management experience.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763" w:type="dxa"/>
            <w:tcBorders/>
            <w:vAlign w:val="center"/>
          </w:tcPr>
          <w:p>
            <w:pPr>
              <w:pStyle w:val="TableContents"/>
              <w:bidi w:val="0"/>
              <w:spacing w:before="0" w:after="0"/>
              <w:jc w:val="left"/>
              <w:rPr>
                <w:color w:val="000000"/>
              </w:rPr>
            </w:pPr>
            <w:r>
              <w:rPr>
                <w:color w:val="000000"/>
              </w:rPr>
              <w:t> </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652"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Extensive consumer products and services, financial, international growth, and general management experience.</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1" w:name="ny20034373x2_def14a_105-prop1_pg5"/>
      <w:bookmarkStart w:id="22" w:name="ny20034373x2_def14a_105-prop1_pg5"/>
      <w:bookmarkEnd w:id="22"/>
    </w:p>
    <w:tbl>
      <w:tblPr>
        <w:tblW w:w="10205" w:type="dxa"/>
        <w:jc w:val="left"/>
        <w:tblInd w:w="0" w:type="dxa"/>
        <w:tblLayout w:type="fixed"/>
        <w:tblCellMar>
          <w:top w:w="0" w:type="dxa"/>
          <w:left w:w="0" w:type="dxa"/>
          <w:bottom w:w="0" w:type="dxa"/>
          <w:right w:w="0" w:type="dxa"/>
        </w:tblCellMar>
      </w:tblPr>
      <w:tblGrid>
        <w:gridCol w:w="155"/>
        <w:gridCol w:w="3936"/>
        <w:gridCol w:w="239"/>
        <w:gridCol w:w="239"/>
        <w:gridCol w:w="5480"/>
        <w:gridCol w:w="156"/>
      </w:tblGrid>
      <w:tr>
        <w:trPr/>
        <w:tc>
          <w:tcPr>
            <w:tcW w:w="155" w:type="dxa"/>
            <w:tcBorders/>
            <w:shd w:fill="00489A" w:val="clear"/>
            <w:vAlign w:val="center"/>
          </w:tcPr>
          <w:p>
            <w:pPr>
              <w:pStyle w:val="TableContents"/>
              <w:bidi w:val="0"/>
              <w:spacing w:before="0" w:after="0"/>
              <w:jc w:val="left"/>
              <w:rPr/>
            </w:pPr>
            <w:r>
              <w:rPr/>
              <w:t> </w:t>
            </w:r>
          </w:p>
        </w:tc>
        <w:tc>
          <w:tcPr>
            <w:tcW w:w="3936"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5480" w:type="dxa"/>
            <w:tcBorders/>
            <w:shd w:fill="00489A" w:val="clear"/>
            <w:vAlign w:val="center"/>
          </w:tcPr>
          <w:p>
            <w:pPr>
              <w:pStyle w:val="TableContents"/>
              <w:bidi w:val="0"/>
              <w:spacing w:before="0" w:after="0"/>
              <w:jc w:val="left"/>
              <w:rPr/>
            </w:pPr>
            <w:r>
              <w:rPr/>
              <w:t> </w:t>
            </w:r>
          </w:p>
        </w:tc>
        <w:tc>
          <w:tcPr>
            <w:tcW w:w="156"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3936"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John M. Herhalt </w:t>
            </w:r>
          </w:p>
        </w:tc>
        <w:tc>
          <w:tcPr>
            <w:tcW w:w="239" w:type="dxa"/>
            <w:tcBorders/>
            <w:shd w:fill="00489A" w:val="clear"/>
            <w:vAlign w:val="center"/>
          </w:tcPr>
          <w:p>
            <w:pPr>
              <w:pStyle w:val="TableContents"/>
              <w:bidi w:val="0"/>
              <w:spacing w:before="0" w:after="0"/>
              <w:jc w:val="left"/>
              <w:rPr/>
            </w:pPr>
            <w:r>
              <w:rPr/>
              <w:t> </w:t>
            </w:r>
          </w:p>
        </w:tc>
        <w:tc>
          <w:tcPr>
            <w:tcW w:w="239" w:type="dxa"/>
            <w:tcBorders/>
            <w:shd w:fill="00489A" w:val="clear"/>
            <w:vAlign w:val="center"/>
          </w:tcPr>
          <w:p>
            <w:pPr>
              <w:pStyle w:val="TableContents"/>
              <w:bidi w:val="0"/>
              <w:spacing w:before="0" w:after="0"/>
              <w:jc w:val="left"/>
              <w:rPr/>
            </w:pPr>
            <w:r>
              <w:rPr/>
              <w:t> </w:t>
            </w:r>
          </w:p>
        </w:tc>
        <w:tc>
          <w:tcPr>
            <w:tcW w:w="5480"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c>
          <w:tcPr>
            <w:tcW w:w="156"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36" w:type="dxa"/>
            <w:tcBorders/>
            <w:vAlign w:val="center"/>
          </w:tcPr>
          <w:p>
            <w:pPr>
              <w:pStyle w:val="TableContents"/>
              <w:bidi w:val="0"/>
              <w:spacing w:before="0" w:after="0"/>
              <w:jc w:val="left"/>
              <w:rPr>
                <w:color w:val="000000"/>
              </w:rPr>
            </w:pPr>
            <w:r>
              <w:rPr>
                <w:color w:val="000000"/>
              </w:rPr>
              <w:t> </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36"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67</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Chair of the Audit Committee</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Mr. Herhalt is not a director of any other public company board.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36"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M. Herhalt is a FCPA (FCA) and a retired partner from KPMG and has over 45 years of experience. He has worked across several industry sectors including automotive manufacturing, consumer products, infrastructure, power and utilities, and the public sector. During his time with KPMG, Mr. Herhalt served as Canada’s national advisory services business leader, national public sector leader, and KPMG International’s global head of infrastructure, government, and health care sectors providing subject matter advice and support to various KPMG member ﬁrms and their clients on a variety of projects in the Americas, Europe, Middle East, and Asia. After retiring from KPMG, Mr. Herhalt has continued to provide management consulting services on a part-time basis and serves as a director on several boards.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936" w:type="dxa"/>
            <w:tcBorders/>
            <w:vAlign w:val="center"/>
          </w:tcPr>
          <w:p>
            <w:pPr>
              <w:pStyle w:val="TableContents"/>
              <w:bidi w:val="0"/>
              <w:spacing w:before="0" w:after="0"/>
              <w:jc w:val="left"/>
              <w:rPr>
                <w:color w:val="000000"/>
              </w:rPr>
            </w:pPr>
            <w:r>
              <w:rPr>
                <w:color w:val="000000"/>
              </w:rPr>
              <w:t> </w:t>
            </w:r>
          </w:p>
        </w:tc>
        <w:tc>
          <w:tcPr>
            <w:tcW w:w="239" w:type="dxa"/>
            <w:tcBorders/>
            <w:vAlign w:val="center"/>
          </w:tcPr>
          <w:p>
            <w:pPr>
              <w:pStyle w:val="TableContents"/>
              <w:bidi w:val="0"/>
              <w:spacing w:before="0" w:after="0"/>
              <w:jc w:val="left"/>
              <w:rPr/>
            </w:pPr>
            <w:r>
              <w:rPr/>
              <w:t> </w:t>
            </w:r>
          </w:p>
        </w:tc>
        <w:tc>
          <w:tcPr>
            <w:tcW w:w="239" w:type="dxa"/>
            <w:tcBorders/>
            <w:vAlign w:val="center"/>
          </w:tcPr>
          <w:p>
            <w:pPr>
              <w:pStyle w:val="TableContents"/>
              <w:bidi w:val="0"/>
              <w:spacing w:before="0" w:after="0"/>
              <w:jc w:val="left"/>
              <w:rPr/>
            </w:pPr>
            <w:r>
              <w:rPr/>
              <w:t> </w:t>
            </w:r>
          </w:p>
        </w:tc>
        <w:tc>
          <w:tcPr>
            <w:tcW w:w="5480"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Extensive accounting, financial, governance, risk management and information systems audits, and global business experience.</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4" w:type="dxa"/>
            <w:gridSpan w:val="4"/>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bl>
    <w:p>
      <w:pPr>
        <w:pStyle w:val="TextBody"/>
        <w:bidi w:val="0"/>
        <w:spacing w:before="265" w:after="283"/>
        <w:ind w:left="0" w:right="0" w:hanging="0"/>
        <w:jc w:val="left"/>
        <w:rPr>
          <w:rFonts w:ascii="Arial" w:hAnsi="Arial"/>
          <w:b/>
          <w:color w:val="00489A"/>
          <w:sz w:val="20"/>
        </w:rPr>
      </w:pPr>
      <w:r>
        <w:rPr>
          <w:rFonts w:ascii="Arial" w:hAnsi="Arial"/>
          <w:b/>
          <w:color w:val="00489A"/>
          <w:sz w:val="20"/>
        </w:rPr>
        <w:t>Class III Director, Continuing in Office Until the End of Current Term on November 21, 2024</w:t>
      </w:r>
    </w:p>
    <w:tbl>
      <w:tblPr>
        <w:tblW w:w="10205" w:type="dxa"/>
        <w:jc w:val="left"/>
        <w:tblInd w:w="0" w:type="dxa"/>
        <w:tblLayout w:type="fixed"/>
        <w:tblCellMar>
          <w:top w:w="0" w:type="dxa"/>
          <w:left w:w="0" w:type="dxa"/>
          <w:bottom w:w="0" w:type="dxa"/>
          <w:right w:w="0" w:type="dxa"/>
        </w:tblCellMar>
      </w:tblPr>
      <w:tblGrid>
        <w:gridCol w:w="155"/>
        <w:gridCol w:w="4811"/>
        <w:gridCol w:w="228"/>
        <w:gridCol w:w="228"/>
        <w:gridCol w:w="4626"/>
        <w:gridCol w:w="157"/>
      </w:tblGrid>
      <w:tr>
        <w:trPr/>
        <w:tc>
          <w:tcPr>
            <w:tcW w:w="155" w:type="dxa"/>
            <w:tcBorders/>
            <w:shd w:fill="00489A" w:val="clear"/>
            <w:vAlign w:val="center"/>
          </w:tcPr>
          <w:p>
            <w:pPr>
              <w:pStyle w:val="TableContents"/>
              <w:bidi w:val="0"/>
              <w:spacing w:before="0" w:after="0"/>
              <w:jc w:val="left"/>
              <w:rPr/>
            </w:pPr>
            <w:r>
              <w:rPr/>
              <w:t> </w:t>
            </w:r>
          </w:p>
        </w:tc>
        <w:tc>
          <w:tcPr>
            <w:tcW w:w="4811" w:type="dxa"/>
            <w:tcBorders/>
            <w:shd w:fill="00489A" w:val="clear"/>
            <w:vAlign w:val="center"/>
          </w:tcPr>
          <w:p>
            <w:pPr>
              <w:pStyle w:val="TableContents"/>
              <w:bidi w:val="0"/>
              <w:spacing w:before="0" w:after="0"/>
              <w:jc w:val="left"/>
              <w:rPr/>
            </w:pPr>
            <w:r>
              <w:rPr/>
              <w:t> </w:t>
            </w:r>
          </w:p>
        </w:tc>
        <w:tc>
          <w:tcPr>
            <w:tcW w:w="228" w:type="dxa"/>
            <w:tcBorders/>
            <w:shd w:fill="00489A" w:val="clear"/>
            <w:vAlign w:val="center"/>
          </w:tcPr>
          <w:p>
            <w:pPr>
              <w:pStyle w:val="TableContents"/>
              <w:bidi w:val="0"/>
              <w:spacing w:before="0" w:after="0"/>
              <w:jc w:val="left"/>
              <w:rPr/>
            </w:pPr>
            <w:r>
              <w:rPr/>
              <w:t> </w:t>
            </w:r>
          </w:p>
        </w:tc>
        <w:tc>
          <w:tcPr>
            <w:tcW w:w="228" w:type="dxa"/>
            <w:tcBorders/>
            <w:shd w:fill="00489A" w:val="clear"/>
            <w:vAlign w:val="center"/>
          </w:tcPr>
          <w:p>
            <w:pPr>
              <w:pStyle w:val="TableContents"/>
              <w:bidi w:val="0"/>
              <w:spacing w:before="0" w:after="0"/>
              <w:jc w:val="left"/>
              <w:rPr/>
            </w:pPr>
            <w:r>
              <w:rPr/>
              <w:t> </w:t>
            </w:r>
          </w:p>
        </w:tc>
        <w:tc>
          <w:tcPr>
            <w:tcW w:w="4626" w:type="dxa"/>
            <w:tcBorders/>
            <w:shd w:fill="00489A" w:val="clear"/>
            <w:vAlign w:val="center"/>
          </w:tcPr>
          <w:p>
            <w:pPr>
              <w:pStyle w:val="TableContents"/>
              <w:bidi w:val="0"/>
              <w:spacing w:before="0" w:after="0"/>
              <w:jc w:val="left"/>
              <w:rPr/>
            </w:pPr>
            <w:r>
              <w:rPr/>
              <w:t> </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shd w:fill="00489A" w:val="clear"/>
            <w:vAlign w:val="center"/>
          </w:tcPr>
          <w:p>
            <w:pPr>
              <w:pStyle w:val="TableContents"/>
              <w:bidi w:val="0"/>
              <w:spacing w:before="0" w:after="0"/>
              <w:jc w:val="left"/>
              <w:rPr/>
            </w:pPr>
            <w:r>
              <w:rPr/>
              <w:t> </w:t>
            </w:r>
          </w:p>
        </w:tc>
        <w:tc>
          <w:tcPr>
            <w:tcW w:w="4811" w:type="dxa"/>
            <w:tcBorders/>
            <w:shd w:fill="00489A" w:val="clear"/>
            <w:vAlign w:val="center"/>
          </w:tcPr>
          <w:p>
            <w:pPr>
              <w:pStyle w:val="TableContents"/>
              <w:bidi w:val="0"/>
              <w:spacing w:before="0" w:after="283"/>
              <w:ind w:left="20" w:right="0" w:hanging="0"/>
              <w:jc w:val="left"/>
              <w:rPr>
                <w:rFonts w:ascii="Times New Roman;Times;serif" w:hAnsi="Times New Roman;Times;serif"/>
                <w:b/>
                <w:color w:val="FFFFFF"/>
                <w:sz w:val="20"/>
              </w:rPr>
            </w:pPr>
            <w:r>
              <w:rPr>
                <w:rFonts w:ascii="Times New Roman;Times;serif" w:hAnsi="Times New Roman;Times;serif"/>
                <w:b/>
                <w:color w:val="FFFFFF"/>
                <w:sz w:val="20"/>
              </w:rPr>
              <w:t>Jodi Butts</w:t>
            </w:r>
          </w:p>
        </w:tc>
        <w:tc>
          <w:tcPr>
            <w:tcW w:w="228" w:type="dxa"/>
            <w:tcBorders/>
            <w:shd w:fill="00489A" w:val="clear"/>
            <w:vAlign w:val="center"/>
          </w:tcPr>
          <w:p>
            <w:pPr>
              <w:pStyle w:val="TableContents"/>
              <w:bidi w:val="0"/>
              <w:spacing w:before="0" w:after="0"/>
              <w:jc w:val="left"/>
              <w:rPr/>
            </w:pPr>
            <w:r>
              <w:rPr/>
              <w:t> </w:t>
            </w:r>
          </w:p>
        </w:tc>
        <w:tc>
          <w:tcPr>
            <w:tcW w:w="228" w:type="dxa"/>
            <w:tcBorders/>
            <w:shd w:fill="00489A" w:val="clear"/>
            <w:vAlign w:val="center"/>
          </w:tcPr>
          <w:p>
            <w:pPr>
              <w:pStyle w:val="TableContents"/>
              <w:bidi w:val="0"/>
              <w:spacing w:before="0" w:after="0"/>
              <w:jc w:val="left"/>
              <w:rPr/>
            </w:pPr>
            <w:r>
              <w:rPr/>
              <w:t> </w:t>
            </w:r>
          </w:p>
        </w:tc>
        <w:tc>
          <w:tcPr>
            <w:tcW w:w="4626" w:type="dxa"/>
            <w:tcBorders/>
            <w:shd w:fill="00489A" w:val="clear"/>
            <w:vAlign w:val="center"/>
          </w:tcPr>
          <w:p>
            <w:pPr>
              <w:pStyle w:val="TableContents"/>
              <w:bidi w:val="0"/>
              <w:spacing w:before="0" w:after="283"/>
              <w:ind w:left="0" w:right="0" w:hanging="0"/>
              <w:jc w:val="left"/>
              <w:rPr>
                <w:rFonts w:ascii="Times New Roman;Times;serif" w:hAnsi="Times New Roman;Times;serif"/>
                <w:b/>
                <w:color w:val="FFFFFF"/>
                <w:sz w:val="20"/>
              </w:rPr>
            </w:pPr>
            <w:r>
              <w:rPr>
                <w:rFonts w:ascii="Times New Roman;Times;serif" w:hAnsi="Times New Roman;Times;serif"/>
                <w:b/>
                <w:color w:val="FFFFFF"/>
                <w:sz w:val="20"/>
              </w:rPr>
              <w:t xml:space="preserve">Independent Director </w:t>
            </w:r>
          </w:p>
        </w:tc>
        <w:tc>
          <w:tcPr>
            <w:tcW w:w="157" w:type="dxa"/>
            <w:tcBorders/>
            <w:shd w:fill="00489A"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811" w:type="dxa"/>
            <w:tcBorders/>
            <w:vAlign w:val="center"/>
          </w:tcPr>
          <w:p>
            <w:pPr>
              <w:pStyle w:val="TableContents"/>
              <w:bidi w:val="0"/>
              <w:spacing w:before="0" w:after="0"/>
              <w:jc w:val="left"/>
              <w:rPr>
                <w:color w:val="000000"/>
              </w:rPr>
            </w:pPr>
            <w:r>
              <w:rPr>
                <w:color w:val="000000"/>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4626"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811"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Since</w:t>
            </w:r>
            <w:r>
              <w:rPr>
                <w:rFonts w:ascii="Times New Roman;Times;serif" w:hAnsi="Times New Roman;Times;serif"/>
                <w:b w:val="false"/>
                <w:color w:val="000000"/>
                <w:sz w:val="20"/>
              </w:rPr>
              <w:t>: May 2021</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Age</w:t>
            </w:r>
            <w:r>
              <w:rPr>
                <w:rFonts w:ascii="Times New Roman;Times;serif" w:hAnsi="Times New Roman;Times;serif"/>
                <w:b w:val="false"/>
                <w:color w:val="000000"/>
                <w:sz w:val="20"/>
              </w:rPr>
              <w:t>: 52</w:t>
            </w:r>
          </w:p>
          <w:p>
            <w:pPr>
              <w:pStyle w:val="TableContents"/>
              <w:bidi w:val="0"/>
              <w:spacing w:before="0" w:after="283"/>
              <w:ind w:left="20" w:right="0" w:hanging="0"/>
              <w:jc w:val="left"/>
              <w:rPr>
                <w:color w:val="000000"/>
              </w:rPr>
            </w:pPr>
            <w:r>
              <w:rPr>
                <w:color w:val="000000"/>
              </w:rPr>
              <w:t xml:space="preserve">  </w:t>
            </w:r>
          </w:p>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Nominating &amp; Governance Committee Member</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462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Public Company Boards</w:t>
            </w:r>
            <w:r>
              <w:rPr>
                <w:rFonts w:ascii="Times New Roman;Times;serif" w:hAnsi="Times New Roman;Times;serif"/>
                <w:b w:val="false"/>
                <w:color w:val="000000"/>
                <w:sz w:val="20"/>
              </w:rPr>
              <w: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Ms. Butts is currently a director of Canada Goose Holdings Inc.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811" w:type="dxa"/>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Executive Highlights:</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4626"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Jodi Butts is a senior governance consultant at WATSON Advisors Inc., with more than 20 years’ experience in governance and law, working with public and private corporations, public sector entitles, member-based organizations, regulatory bodies, and not-for-proﬁt organizations. Ms. Butts brings deep governance expertise gained from her experience as a lawyer, CEO, senior executive, and as a director of public, private, and not-for-proﬁt corporations. Ms. Butts connects governance with people, strategy, and operations to bring a wealth of practical know-how to boards and executive teams. Ms. Butts currently serves as an independent director of Canada Goose Inc. and as chair of The Walrus Board of Directors. She also holds advisory roles with Bayshore Home Healthcare, and the Canadian Centre for the Purpose of the Corporation. Ms. Butts is a retired member of the University of Windsor Board of Governors. Previously, Ms. Butts served as CEO of Rise Asset Development, and Senior Vice-President Corporate Affairs and Operations for Mount Sinai Hospital. Ms. Butts holds a BA (English Literature and History) from the University of Windsor and a Bachelor of Laws from the University of Toronto where she also received her master’s degree in Canadian history.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811" w:type="dxa"/>
            <w:tcBorders/>
            <w:vAlign w:val="center"/>
          </w:tcPr>
          <w:p>
            <w:pPr>
              <w:pStyle w:val="TableContents"/>
              <w:bidi w:val="0"/>
              <w:spacing w:before="0" w:after="0"/>
              <w:jc w:val="left"/>
              <w:rPr>
                <w:color w:val="000000"/>
              </w:rPr>
            </w:pPr>
            <w:r>
              <w:rPr>
                <w:color w:val="000000"/>
              </w:rPr>
              <w:t> </w:t>
            </w:r>
          </w:p>
        </w:tc>
        <w:tc>
          <w:tcPr>
            <w:tcW w:w="228" w:type="dxa"/>
            <w:tcBorders/>
            <w:vAlign w:val="center"/>
          </w:tcPr>
          <w:p>
            <w:pPr>
              <w:pStyle w:val="TableContents"/>
              <w:bidi w:val="0"/>
              <w:spacing w:before="0" w:after="0"/>
              <w:jc w:val="left"/>
              <w:rPr/>
            </w:pPr>
            <w:r>
              <w:rPr/>
              <w:t> </w:t>
            </w:r>
          </w:p>
        </w:tc>
        <w:tc>
          <w:tcPr>
            <w:tcW w:w="228" w:type="dxa"/>
            <w:tcBorders/>
            <w:vAlign w:val="center"/>
          </w:tcPr>
          <w:p>
            <w:pPr>
              <w:pStyle w:val="TableContents"/>
              <w:bidi w:val="0"/>
              <w:spacing w:before="0" w:after="0"/>
              <w:jc w:val="left"/>
              <w:rPr/>
            </w:pPr>
            <w:r>
              <w:rPr/>
              <w:t> </w:t>
            </w:r>
          </w:p>
        </w:tc>
        <w:tc>
          <w:tcPr>
            <w:tcW w:w="4626" w:type="dxa"/>
            <w:tcBorders/>
            <w:vAlign w:val="center"/>
          </w:tcPr>
          <w:p>
            <w:pPr>
              <w:pStyle w:val="TableContents"/>
              <w:bidi w:val="0"/>
              <w:spacing w:before="0" w:after="0"/>
              <w:jc w:val="left"/>
              <w:rPr>
                <w:color w:val="000000"/>
              </w:rPr>
            </w:pPr>
            <w:r>
              <w:rPr>
                <w:color w:val="000000"/>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Select Skills and Qualifications: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Executive and public company board experience, entrepreneurship, operations and extensive corporate governance experience, including with respect to environmental and social matters.</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893" w:type="dxa"/>
            <w:gridSpan w:val="4"/>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3" w:name="ny20034373x2_def14a_105-prop1_pg6"/>
      <w:bookmarkEnd w:id="23"/>
      <w:r>
        <w:rPr>
          <w:rFonts w:ascii="Arial" w:hAnsi="Arial"/>
          <w:b/>
          <w:color w:val="00489A"/>
          <w:sz w:val="20"/>
        </w:rPr>
        <w:t xml:space="preserve">Overview of Board Skills and Qualifications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highlights our current director’s primary qualifications and tenure. This table is intended as a high-level summary and not an exhaustive list of each director’s skills or contributions to the Board. </w:t>
      </w:r>
    </w:p>
    <w:tbl>
      <w:tblPr>
        <w:tblW w:w="10205" w:type="dxa"/>
        <w:jc w:val="left"/>
        <w:tblInd w:w="0" w:type="dxa"/>
        <w:tblLayout w:type="fixed"/>
        <w:tblCellMar>
          <w:top w:w="0" w:type="dxa"/>
          <w:left w:w="0" w:type="dxa"/>
          <w:bottom w:w="0" w:type="dxa"/>
          <w:right w:w="0" w:type="dxa"/>
        </w:tblCellMar>
      </w:tblPr>
      <w:tblGrid>
        <w:gridCol w:w="155"/>
        <w:gridCol w:w="2916"/>
        <w:gridCol w:w="140"/>
        <w:gridCol w:w="140"/>
        <w:gridCol w:w="595"/>
        <w:gridCol w:w="140"/>
        <w:gridCol w:w="140"/>
        <w:gridCol w:w="725"/>
        <w:gridCol w:w="140"/>
        <w:gridCol w:w="140"/>
        <w:gridCol w:w="627"/>
        <w:gridCol w:w="140"/>
        <w:gridCol w:w="140"/>
        <w:gridCol w:w="800"/>
        <w:gridCol w:w="140"/>
        <w:gridCol w:w="140"/>
        <w:gridCol w:w="638"/>
        <w:gridCol w:w="140"/>
        <w:gridCol w:w="140"/>
        <w:gridCol w:w="800"/>
        <w:gridCol w:w="140"/>
        <w:gridCol w:w="140"/>
        <w:gridCol w:w="831"/>
        <w:gridCol w:w="158"/>
      </w:tblGrid>
      <w:tr>
        <w:trPr/>
        <w:tc>
          <w:tcPr>
            <w:tcW w:w="155" w:type="dxa"/>
            <w:tcBorders/>
            <w:vAlign w:val="center"/>
          </w:tcPr>
          <w:p>
            <w:pPr>
              <w:pStyle w:val="TableContents"/>
              <w:bidi w:val="0"/>
              <w:spacing w:before="0" w:after="0"/>
              <w:jc w:val="left"/>
              <w:rPr/>
            </w:pPr>
            <w:r>
              <w:rPr/>
              <w:t> </w:t>
            </w:r>
          </w:p>
        </w:tc>
        <w:tc>
          <w:tcPr>
            <w:tcW w:w="291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1"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Irwin 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Simon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Renah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Persofsky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Jodi Butts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Clanachan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John 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Herhalt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David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Hopkinson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Tom Looney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92" w:type="dxa"/>
            <w:gridSpan w:val="22"/>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Knowledge, Skills &amp; Experience </w:t>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Accounting / Financial Reporting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Business Operations</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Corporate Governance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Environmental / Social /Governance</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Financial Literacy / Expertise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Government / Regulatory</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Human Capital Management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Independence</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Consumer Packaged Goods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International Business (outside North America)</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Investor Relations Management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Mergers &amp; Acquisitions</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Public Company Executive Experience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Recent Public Company Board Experience</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Risk Management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43" w:type="dxa"/>
            </w:tcM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43" w:type="dxa"/>
            </w:tcMar>
            <w:vAlign w:val="center"/>
          </w:tcPr>
          <w:p>
            <w:pPr>
              <w:pStyle w:val="TableContents"/>
              <w:bidi w:val="0"/>
              <w:spacing w:before="0" w:after="283"/>
              <w:ind w:left="279"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7" w:type="dxa"/>
            <w:tcBorders>
              <w:bottom w:val="single" w:sz="8" w:space="0" w:color="000000"/>
            </w:tcBorders>
            <w:tcMar>
              <w:bottom w:w="43" w:type="dxa"/>
            </w:tcM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38" w:type="dxa"/>
            <w:tcBorders>
              <w:bottom w:val="single" w:sz="8" w:space="0" w:color="000000"/>
            </w:tcBorders>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1" w:type="dxa"/>
            <w:tcBorders>
              <w:bottom w:val="single" w:sz="8" w:space="0" w:color="000000"/>
            </w:tcBorders>
            <w:tcMar>
              <w:bottom w:w="43" w:type="dxa"/>
            </w:tcM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Times;serif" w:hAnsi="Times New Roman;Times;serif"/>
                <w:color w:val="000000"/>
                <w:sz w:val="20"/>
              </w:rPr>
            </w:pPr>
            <w:r>
              <w:rPr>
                <w:rFonts w:ascii="Times New Roman;Times;serif" w:hAnsi="Times New Roman;Times;serif"/>
                <w:color w:val="000000"/>
                <w:sz w:val="20"/>
              </w:rPr>
              <w:t>Technology / Cybersecurity</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43" w:type="dxa"/>
            </w:tcMar>
            <w:vAlign w:val="center"/>
          </w:tcPr>
          <w:p>
            <w:pPr>
              <w:pStyle w:val="TableContents"/>
              <w:bidi w:val="0"/>
              <w:spacing w:before="0" w:after="283"/>
              <w:ind w:left="2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43" w:type="dxa"/>
            </w:tcM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43" w:type="dxa"/>
            </w:tcMar>
            <w:vAlign w:val="center"/>
          </w:tcPr>
          <w:p>
            <w:pPr>
              <w:pStyle w:val="TableContents"/>
              <w:bidi w:val="0"/>
              <w:spacing w:before="0" w:after="283"/>
              <w:ind w:left="292"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43" w:type="dxa"/>
            </w:tcM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ind w:left="324"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43" w:type="dxa"/>
            </w:tcMar>
            <w:vAlign w:val="center"/>
          </w:tcPr>
          <w:p>
            <w:pPr>
              <w:pStyle w:val="TableContents"/>
              <w:bidi w:val="0"/>
              <w:spacing w:before="0" w:after="283"/>
              <w:ind w:left="377" w:right="0" w:hanging="0"/>
              <w:jc w:val="left"/>
              <w:rPr>
                <w:sz w:val="4"/>
                <w:szCs w:val="4"/>
              </w:rPr>
            </w:pPr>
            <w:r>
              <w:rPr>
                <w:sz w:val="4"/>
                <w:szCs w:val="4"/>
              </w:rPr>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892" w:type="dxa"/>
            <w:gridSpan w:val="22"/>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Tenure </w:t>
            </w:r>
          </w:p>
        </w:tc>
        <w:tc>
          <w:tcPr>
            <w:tcW w:w="15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916" w:type="dxa"/>
            <w:tcBorders/>
            <w:shd w:fill="C7CDE8"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Years</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95" w:type="dxa"/>
            <w:tcBorders/>
            <w:shd w:fill="C7CDE8" w:val="clear"/>
            <w:vAlign w:val="center"/>
          </w:tcPr>
          <w:p>
            <w:pPr>
              <w:pStyle w:val="TableContents"/>
              <w:bidi w:val="0"/>
              <w:spacing w:before="0" w:after="283"/>
              <w:ind w:left="22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279"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27" w:type="dxa"/>
            <w:tcBorders/>
            <w:shd w:fill="C7CDE8" w:val="clear"/>
            <w:vAlign w:val="center"/>
          </w:tcPr>
          <w:p>
            <w:pPr>
              <w:pStyle w:val="TableContents"/>
              <w:bidi w:val="0"/>
              <w:spacing w:before="0" w:after="283"/>
              <w:ind w:left="29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8" w:type="dxa"/>
            <w:tcBorders/>
            <w:shd w:fill="C7CDE8" w:val="clear"/>
            <w:vAlign w:val="center"/>
          </w:tcPr>
          <w:p>
            <w:pPr>
              <w:pStyle w:val="TableContents"/>
              <w:bidi w:val="0"/>
              <w:spacing w:before="0" w:after="283"/>
              <w:ind w:left="217"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324"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1" w:type="dxa"/>
            <w:tcBorders/>
            <w:shd w:fill="C7CDE8" w:val="clear"/>
            <w:vAlign w:val="center"/>
          </w:tcPr>
          <w:p>
            <w:pPr>
              <w:pStyle w:val="TableContents"/>
              <w:bidi w:val="0"/>
              <w:spacing w:before="0" w:after="283"/>
              <w:ind w:left="377"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916"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7"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1"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4" w:name="ny20034373x2_def14a_106-corp_pg1"/>
      <w:bookmarkEnd w:id="24"/>
      <w:r>
        <w:rPr>
          <w:rFonts w:ascii="Arial" w:hAnsi="Arial"/>
          <w:b/>
          <w:color w:val="00489A"/>
          <w:sz w:val="20"/>
        </w:rPr>
        <w:t xml:space="preserve">INFORMATION REGARDING THE BOARD AND CORPORATE GOVERNANCE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Global Select Market, the rules and regulations of the SEC and other legal requirements. These materials are available on our website – https://ir.tilray.com/corporate-governance/governance-overview.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These materials are also available in print free of charge to stockholders, upon written request to Tilray Brands, Inc., Investor Relations, 265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Global Select Market, the rules and regulations of the SEC, and the rules and regulations under the Internal Revenue Code of 1986, as amended (the “</w:t>
      </w:r>
      <w:r>
        <w:rPr>
          <w:rFonts w:ascii="Times New Roman;Times;serif" w:hAnsi="Times New Roman;Times;serif"/>
          <w:b/>
          <w:i/>
          <w:color w:val="000000"/>
          <w:sz w:val="20"/>
        </w:rPr>
        <w:t>Code</w:t>
      </w:r>
      <w:r>
        <w:rPr>
          <w:rFonts w:ascii="Times New Roman;Times;serif" w:hAnsi="Times New Roman;Times;serif"/>
          <w:color w:val="000000"/>
          <w:sz w:val="20"/>
        </w:rPr>
        <w:t xml:space="preserve">”), as well as best practices suggested by recognized governance authorities, and makes modifications to our corporate governance practices that it determines are warranted.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Diversity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Diversity Matrix below provides the diversity statistics for our Board. The Nominating and Corporate Governance Committee is committed to enhancing the Board’s diversity profile at such time as it evaluates any newly nominated directors. </w:t>
      </w:r>
    </w:p>
    <w:tbl>
      <w:tblPr>
        <w:tblW w:w="9270" w:type="dxa"/>
        <w:jc w:val="left"/>
        <w:tblInd w:w="0" w:type="dxa"/>
        <w:tblLayout w:type="fixed"/>
        <w:tblCellMar>
          <w:top w:w="0" w:type="dxa"/>
          <w:left w:w="0" w:type="dxa"/>
          <w:bottom w:w="0" w:type="dxa"/>
          <w:right w:w="0" w:type="dxa"/>
        </w:tblCellMar>
      </w:tblPr>
      <w:tblGrid>
        <w:gridCol w:w="155"/>
        <w:gridCol w:w="3590"/>
        <w:gridCol w:w="140"/>
        <w:gridCol w:w="140"/>
        <w:gridCol w:w="650"/>
        <w:gridCol w:w="140"/>
        <w:gridCol w:w="140"/>
        <w:gridCol w:w="455"/>
        <w:gridCol w:w="140"/>
        <w:gridCol w:w="140"/>
        <w:gridCol w:w="1025"/>
        <w:gridCol w:w="140"/>
        <w:gridCol w:w="140"/>
        <w:gridCol w:w="2120"/>
        <w:gridCol w:w="155"/>
      </w:tblGrid>
      <w:tr>
        <w:trPr/>
        <w:tc>
          <w:tcPr>
            <w:tcW w:w="155" w:type="dxa"/>
            <w:tcBorders/>
            <w:vAlign w:val="center"/>
          </w:tcPr>
          <w:p>
            <w:pPr>
              <w:pStyle w:val="TableContents"/>
              <w:bidi w:val="0"/>
              <w:spacing w:before="0" w:after="0"/>
              <w:jc w:val="left"/>
              <w:rPr/>
            </w:pPr>
            <w:r>
              <w:rPr/>
              <w:t> </w:t>
            </w:r>
          </w:p>
        </w:tc>
        <w:tc>
          <w:tcPr>
            <w:tcW w:w="8960" w:type="dxa"/>
            <w:gridSpan w:val="13"/>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960" w:type="dxa"/>
            <w:gridSpan w:val="13"/>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Board Diversity Matrix (As of September 19, 2024)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090" w:type="dxa"/>
            <w:gridSpan w:val="10"/>
            <w:tcBorders>
              <w:bottom w:val="single" w:sz="8" w:space="0" w:color="000000"/>
            </w:tcBorders>
            <w:shd w:fill="C7CDE8" w:val="clear"/>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Female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Male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Non-Binary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Did Not Disclose Gender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7CDE8" w:val="clear"/>
            <w:tcMar>
              <w:bottom w:w="28"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7CDE8"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Independence of The Board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under the Nasdaq Global Select Market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Global Select Market listing standards (including as independent is currently defined in Rule 4505(d)(2) of those listing standards).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Ms. Jodi Butts, Mr. David Clanachan, Mr. John M. Herhalt, Mr. David Hopkinson and Mr. Tom Looney is independent under the listing rules of the Nasdaq Global Select Market.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also determined that Mr. Simon is not independent under the listing rules of the Nasdaq Global Select Market.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5" w:name="ny20034373x2_def14a_106-corp_pg2"/>
      <w:bookmarkEnd w:id="25"/>
      <w:r>
        <w:rPr>
          <w:rFonts w:ascii="Arial" w:hAnsi="Arial"/>
          <w:b/>
          <w:color w:val="00489A"/>
          <w:sz w:val="20"/>
        </w:rPr>
        <w:t xml:space="preserve">Board Leadership Structure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is currently chaired by our President and Chief Executive Officer, Mr. Simon.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that it is best served by having a separate independent director (currently Ms. Persofsky) serve as the Company’s Vice Chair to facilitate strong communication and coordination between management and the independent members of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Role of the Board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Director Independence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Nasdaq Global Select Market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each of Renah Persofsky, Jodi Butts, David Clanachan, John Herhalt, David Hopkinson and Tom Looney qualifies as “independent” as defined under the applicable Nasdaq Global Select Market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monitors its compliance with Nasdaq Global Select Market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directors’ responses to a questionnaire asking about their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26" w:name="ny20034373x2_def14a_106-corp_pg3"/>
      <w:bookmarkEnd w:id="26"/>
      <w:r>
        <w:rPr>
          <w:rFonts w:ascii="Times New Roman;Times;serif" w:hAnsi="Times New Roman;Times;serif"/>
          <w:color w:val="000000"/>
          <w:sz w:val="20"/>
        </w:rPr>
        <w:t xml:space="preserve">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Communications with the Board</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No Related Party Transactions</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transactions for the fiscal year ended May 31, 2024, in which Tilray was a participant, in which: </w:t>
      </w:r>
    </w:p>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directors, executive officers or holders of more than 5% of capital stock of Tilray, or any member of the immediate family of the foregoing persons, had or will have a direct or indirect material interest. </w:t>
            </w:r>
          </w:p>
        </w:tc>
      </w:tr>
    </w:tbl>
    <w:p>
      <w:pPr>
        <w:pStyle w:val="TextBody"/>
        <w:bidi w:val="0"/>
        <w:spacing w:before="240" w:after="283"/>
        <w:ind w:left="0" w:right="0" w:hanging="0"/>
        <w:jc w:val="left"/>
        <w:rPr>
          <w:rFonts w:ascii="Arial" w:hAnsi="Arial"/>
          <w:b/>
          <w:color w:val="00489A"/>
          <w:sz w:val="20"/>
        </w:rPr>
      </w:pPr>
      <w:r>
        <w:rPr>
          <w:rFonts w:ascii="Arial" w:hAnsi="Arial"/>
          <w:b/>
          <w:color w:val="00489A"/>
          <w:sz w:val="20"/>
        </w:rPr>
        <w:t>Related-Person Transactions Policy</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Code of Conduct</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stockholder may request a copy of the Code of Conduct by contacting our Corporate Secretary at 265 Talbot Street West, Leamington, Ontario N8H 4H3, Canada. </w:t>
      </w:r>
    </w:p>
    <w:p>
      <w:pPr>
        <w:pStyle w:val="TextBody"/>
        <w:bidi w:val="0"/>
        <w:spacing w:lineRule="atLeast" w:line="22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waivers or substantive amendments of the Code of Conduct will be publicly disclosed in an appropriate filing.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7" w:name="ny20034373x2_def14a_107-board_pg1"/>
      <w:bookmarkEnd w:id="27"/>
      <w:r>
        <w:rPr>
          <w:rFonts w:ascii="Arial" w:hAnsi="Arial"/>
          <w:b/>
          <w:color w:val="00489A"/>
          <w:sz w:val="20"/>
        </w:rPr>
        <w:t xml:space="preserve">MEETINGS AND BOARD COMMITTEES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Board Meetings and Director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met 8 times in the 12-months ended May 31, 2024. In 2024,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Committees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currently has standing Audit, Compensation and Nominating and Corporate Governance Committees. All of the members of these committee meet the applicable independence requirements of the Nasdaq Global Select Market and the SEC. Our Board has the ability to establish special committees, if necessary.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standing committees is governed by a written charter, which is subject to annual review by each respective committee and approval by the Board. Committee charters are available on our website https://ir.tilray.com/corporate-governance/governance-overview.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Board Committee Membership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May 31, 2024, our committee membership was as follows: </w:t>
      </w:r>
    </w:p>
    <w:tbl>
      <w:tblPr>
        <w:tblW w:w="5880" w:type="dxa"/>
        <w:jc w:val="left"/>
        <w:tblInd w:w="0" w:type="dxa"/>
        <w:tblLayout w:type="fixed"/>
        <w:tblCellMar>
          <w:top w:w="0" w:type="dxa"/>
          <w:left w:w="0" w:type="dxa"/>
          <w:bottom w:w="0" w:type="dxa"/>
          <w:right w:w="0" w:type="dxa"/>
        </w:tblCellMar>
      </w:tblPr>
      <w:tblGrid>
        <w:gridCol w:w="155"/>
        <w:gridCol w:w="1580"/>
        <w:gridCol w:w="140"/>
        <w:gridCol w:w="140"/>
        <w:gridCol w:w="815"/>
        <w:gridCol w:w="140"/>
        <w:gridCol w:w="140"/>
        <w:gridCol w:w="1100"/>
        <w:gridCol w:w="140"/>
        <w:gridCol w:w="140"/>
        <w:gridCol w:w="1235"/>
        <w:gridCol w:w="155"/>
      </w:tblGrid>
      <w:tr>
        <w:trPr/>
        <w:tc>
          <w:tcPr>
            <w:tcW w:w="15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3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3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0"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35" w:type="dxa"/>
            <w:tcBorders/>
            <w:shd w:fill="C7CDE8" w:val="clear"/>
            <w:vAlign w:val="center"/>
          </w:tcPr>
          <w:p>
            <w:pPr>
              <w:pStyle w:val="TableContents"/>
              <w:bidi w:val="0"/>
              <w:spacing w:before="0" w:after="283"/>
              <w:jc w:val="left"/>
              <w:rPr>
                <w:sz w:val="4"/>
                <w:szCs w:val="4"/>
              </w:rPr>
            </w:pPr>
            <w:r>
              <w:rPr>
                <w:sz w:val="4"/>
                <w:szCs w:val="4"/>
              </w:rPr>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8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35" w:type="dxa"/>
            <w:tcBorders/>
            <w:shd w:fill="C7CDE8" w:val="clear"/>
            <w:vAlign w:val="center"/>
          </w:tcPr>
          <w:p>
            <w:pPr>
              <w:pStyle w:val="TableContents"/>
              <w:bidi w:val="0"/>
              <w:spacing w:before="0" w:after="283"/>
              <w:jc w:val="left"/>
              <w:rPr>
                <w:sz w:val="4"/>
                <w:szCs w:val="4"/>
              </w:rPr>
            </w:pPr>
            <w:r>
              <w:rPr>
                <w:sz w:val="4"/>
                <w:szCs w:val="4"/>
              </w:rPr>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8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3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tbl>
      <w:tblPr>
        <w:tblW w:w="1555" w:type="dxa"/>
        <w:jc w:val="left"/>
        <w:tblInd w:w="0" w:type="dxa"/>
        <w:tblLayout w:type="fixed"/>
        <w:tblCellMar>
          <w:top w:w="0" w:type="dxa"/>
          <w:left w:w="0" w:type="dxa"/>
          <w:bottom w:w="0" w:type="dxa"/>
          <w:right w:w="0" w:type="dxa"/>
        </w:tblCellMar>
      </w:tblPr>
      <w:tblGrid>
        <w:gridCol w:w="110"/>
        <w:gridCol w:w="144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4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Member </w:t>
            </w:r>
          </w:p>
        </w:tc>
      </w:tr>
    </w:tbl>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 </w:t>
            </w:r>
          </w:p>
        </w:tc>
      </w:tr>
    </w:tbl>
    <w:tbl>
      <w:tblPr>
        <w:tblW w:w="2125" w:type="dxa"/>
        <w:jc w:val="left"/>
        <w:tblInd w:w="0" w:type="dxa"/>
        <w:tblLayout w:type="fixed"/>
        <w:tblCellMar>
          <w:top w:w="0" w:type="dxa"/>
          <w:left w:w="0" w:type="dxa"/>
          <w:bottom w:w="0" w:type="dxa"/>
          <w:right w:w="0" w:type="dxa"/>
        </w:tblCellMar>
      </w:tblPr>
      <w:tblGrid>
        <w:gridCol w:w="200"/>
        <w:gridCol w:w="192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9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Vice Chair (Lead Director) </w:t>
            </w:r>
          </w:p>
        </w:tc>
      </w:tr>
    </w:tbl>
    <w:tbl>
      <w:tblPr>
        <w:tblW w:w="1795" w:type="dxa"/>
        <w:jc w:val="left"/>
        <w:tblInd w:w="0" w:type="dxa"/>
        <w:tblLayout w:type="fixed"/>
        <w:tblCellMar>
          <w:top w:w="0" w:type="dxa"/>
          <w:left w:w="0" w:type="dxa"/>
          <w:bottom w:w="0" w:type="dxa"/>
          <w:right w:w="0" w:type="dxa"/>
        </w:tblCellMar>
      </w:tblPr>
      <w:tblGrid>
        <w:gridCol w:w="140"/>
        <w:gridCol w:w="1655"/>
      </w:tblGrid>
      <w:tr>
        <w:trPr/>
        <w:tc>
          <w:tcPr>
            <w:tcW w:w="14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Chairman of the Board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met 4 times in the 12 months ended May 31, 2024. Our Audit Committee currently consists of Messrs. Clanachan, Herhalt, Hopkinson and Looney, with Mr. Herhalt serving as the Chair. Our Board has determined each member of our Audit Committee to be independent under the listing standards and Rule 10A-3(b)(1) of the Exchange Act. Our Board has determined that each of David Clanachan, John Herhalt, David Hopkinson and Tom Looney is an “Audit Committee financial expert” within the meaning of SEC regulations and has the requisite financial expertise required under the applicable requirements of the Nasdaq Global Select Market.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28" w:name="ny20034373x2_def14a_107-board_pg2"/>
      <w:bookmarkEnd w:id="28"/>
      <w:r>
        <w:rPr>
          <w:rFonts w:ascii="Times New Roman;Times;serif" w:hAnsi="Times New Roman;Times;serif"/>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retaining a qualified firm to serve as the independent registered public accounting firm to audit our financial statements and continuing to evaluate their performance and qualifications in accordance with the Audit Committee charter; </w:t>
            </w:r>
          </w:p>
        </w:tc>
      </w:tr>
    </w:tbl>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helping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procedures for employees to submit concerns anonymously about questionable accounting or audit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the results of the Company’s annual and quarterly audits and review of the Company’s financial statements, as appropriate, as well as the Company’s accounting principles and practices;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policies on financial risk assessment and risk management;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related-party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all audit and all permissible non-audit service to be performed by the independent registered public accounting firm. </w:t>
            </w:r>
          </w:p>
        </w:tc>
      </w:tr>
    </w:tbl>
    <w:p>
      <w:pPr>
        <w:pStyle w:val="TextBody"/>
        <w:bidi w:val="0"/>
        <w:spacing w:before="170" w:after="283"/>
        <w:ind w:left="0" w:right="0" w:firstLine="400"/>
        <w:jc w:val="left"/>
        <w:rPr/>
      </w:pPr>
      <w:r>
        <w:rPr>
          <w:rFonts w:ascii="Times New Roman;Times;serif" w:hAnsi="Times New Roman;Times;serif"/>
          <w:color w:val="000000"/>
          <w:sz w:val="20"/>
        </w:rPr>
        <w:t xml:space="preserve">The Audit Committee Report can be found on page </w:t>
      </w:r>
      <w:hyperlink w:anchor="AUD">
        <w:r>
          <w:rPr>
            <w:rStyle w:val="InternetLink"/>
          </w:rPr>
          <w:t>56</w:t>
        </w:r>
      </w:hyperlink>
      <w:r>
        <w:rPr>
          <w:rFonts w:ascii="Times New Roman;Times;serif" w:hAnsi="Times New Roman;Times;serif"/>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met 5 times in the 12-months ended May 31, 2024. Our Compensation Committee is comprised of Mr. Hopkinson, Ms. Persofsky and Mr. Looney, with Mr. Looney, serving as chair. We have affirmatively determined that each member of the Compensation Committee qualifies as independent under the Nasdaq Global Select Market rules, including the additional independence standards for members of a Compensation Committee, and that each qualifies as a “non-employee director” as defined in Rule 16b-3 of the Exchange Act and “outside directors” within the meaning of Section 162(m)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written Compensation Committee charter that is available to stockholders on the Company’s website at https://ir.tilray.com/.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 </w:t>
      </w:r>
    </w:p>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the terms of compensatory arrangements with our executive officers; </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selecting compensation advisors and assessing whether there are any conflicts of interest with any of the committee’s compensation advisors;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or recommending to our Board for approval of the incentive compensation and equity plans, severance agreements, change-of-control protections and any other compensatory arrangements for our executive officers and other senior management, as appropriate;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9" w:name="ny20034373x2_def14a_107-board_pg3"/>
      <w:bookmarkStart w:id="30" w:name="ny20034373x2_def14a_107-board_pg3"/>
      <w:bookmarkEnd w:id="30"/>
    </w:p>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general policies relating to compensation and benefits of our employees; and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our overall compensation philosophy.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Process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Typically, the Compensation Committee meets at least semiannually and with greater frequency if necessary and appropriate. The agenda for each meeting is usually developed by the Chair of the Compensation Committee, in consultation with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The Compensation Committee engaged Korn Ferry to provide current benchmarking analysis and to advise it on proposed compensation arrangements. </w:t>
      </w:r>
    </w:p>
    <w:p>
      <w:pPr>
        <w:pStyle w:val="TextBody"/>
        <w:bidi w:val="0"/>
        <w:spacing w:before="170" w:after="283"/>
        <w:ind w:left="0" w:right="0" w:firstLine="400"/>
        <w:jc w:val="left"/>
        <w:rPr/>
      </w:pPr>
      <w:r>
        <w:rPr>
          <w:rFonts w:ascii="Times New Roman;Times;serif" w:hAnsi="Times New Roman;Times;serif"/>
          <w:color w:val="000000"/>
          <w:sz w:val="20"/>
        </w:rPr>
        <w:t xml:space="preserve">The Compensation Committee Report can be found on page </w:t>
      </w:r>
      <w:hyperlink w:anchor="tCCR">
        <w:r>
          <w:rPr>
            <w:rStyle w:val="InternetLink"/>
          </w:rPr>
          <w:t>37</w:t>
        </w:r>
      </w:hyperlink>
      <w:r>
        <w:rPr>
          <w:rFonts w:ascii="Times New Roman;Times;serif" w:hAnsi="Times New Roman;Times;serif"/>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Nominating and Corporate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3 times in the 12 months ended May 31, 2024. Our Nominating and Corporate Governance Committee is comprised of Ms. Butts, Ms. Persofsky and Mr. Herhalt, with Ms. Persofsky serving as Chair. We have affirmatively determined that each member of the Nominating and Corporate Governance Committee qualifies as independent under the Nasdaq Global Select Market rules. The Board has adopted a written Nominating and Corporate Governance Committee charter that is available to stockholders on the Company’s website at https://ir.tilray.com/.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Nominating and Corporate Governance Committee include: </w:t>
      </w:r>
    </w:p>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for approval the compensation of our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periodically and evaluating director performance on our Board and its applicable committees and recommending to our Board and management areas for improvement;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interviewing, evaluating, nominating and recommending individuals for membership on our Board;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developments in corporate governance practices;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reviewing our processes and procedures to provide information to our Board and its committees;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any amendments to our corporate governance policies;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assessing, at least annually, the performance of the Nominating and Corporate Governance Committee and the adequacy of its charter.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19</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31" w:name="ny20034373x2_def14a_107-board_pg4"/>
      <w:bookmarkEnd w:id="31"/>
      <w:r>
        <w:rPr>
          <w:rFonts w:ascii="Times New Roman;Times;serif" w:hAnsi="Times New Roman;Times;serif"/>
          <w:color w:val="000000"/>
          <w:sz w:val="20"/>
        </w:rPr>
        <w:t xml:space="preserve">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Global Select Market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265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Compensation Committee Interlocks and Insider Participation</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Compensation Committee interlocks in respect of the fiscal year ended May 31, 2024.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2" w:name="ny20034373x2_def14a_108-director_pg1"/>
      <w:bookmarkEnd w:id="32"/>
      <w:r>
        <w:rPr>
          <w:rFonts w:ascii="Arial" w:hAnsi="Arial"/>
          <w:b/>
          <w:color w:val="00489A"/>
          <w:sz w:val="20"/>
        </w:rPr>
        <w:t xml:space="preserve">DIRECTOR COMPENSATION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NON-EMPLOYEE DIRECTOR COMPENSATION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non-employee directors are entitled to receive compensation for their service consisting of annual cash retainers and equity awards, as described below. Our Board may revise the policy as it deems necessary or appropriate.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Cash Compensation</w:t>
      </w:r>
      <w:r>
        <w:rPr>
          <w:rFonts w:ascii="Times New Roman;Times;serif" w:hAnsi="Times New Roman;Times;serif"/>
          <w:b w:val="false"/>
          <w:color w:val="000000"/>
          <w:sz w:val="20"/>
        </w:rPr>
        <w:t xml:space="preserve">. All non-employee directors are entitled to receive the following annual cash compensation: </w:t>
      </w:r>
    </w:p>
    <w:tbl>
      <w:tblPr>
        <w:tblW w:w="4650" w:type="dxa"/>
        <w:jc w:val="left"/>
        <w:tblInd w:w="0" w:type="dxa"/>
        <w:tblLayout w:type="fixed"/>
        <w:tblCellMar>
          <w:top w:w="0" w:type="dxa"/>
          <w:left w:w="0" w:type="dxa"/>
          <w:bottom w:w="0" w:type="dxa"/>
          <w:right w:w="0" w:type="dxa"/>
        </w:tblCellMar>
      </w:tblPr>
      <w:tblGrid>
        <w:gridCol w:w="155"/>
        <w:gridCol w:w="3215"/>
        <w:gridCol w:w="140"/>
        <w:gridCol w:w="140"/>
        <w:gridCol w:w="845"/>
        <w:gridCol w:w="155"/>
      </w:tblGrid>
      <w:tr>
        <w:trPr/>
        <w:tc>
          <w:tcPr>
            <w:tcW w:w="155" w:type="dxa"/>
            <w:tcBorders/>
            <w:shd w:fill="C7CDE8" w:val="clear"/>
            <w:vAlign w:val="center"/>
          </w:tcPr>
          <w:p>
            <w:pPr>
              <w:pStyle w:val="TableContents"/>
              <w:bidi w:val="0"/>
              <w:spacing w:before="0" w:after="0"/>
              <w:jc w:val="left"/>
              <w:rPr/>
            </w:pPr>
            <w:r>
              <w:rPr/>
              <w:t> </w:t>
            </w:r>
          </w:p>
        </w:tc>
        <w:tc>
          <w:tcPr>
            <w:tcW w:w="321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321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Chair of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sz w:val="4"/>
                <w:szCs w:val="4"/>
              </w:rPr>
            </w:pPr>
            <w:r>
              <w:rPr>
                <w:sz w:val="4"/>
                <w:szCs w:val="4"/>
              </w:rPr>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3215" w:type="dxa"/>
            <w:tcBorders/>
            <w:shd w:fill="C7CDE8"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Audit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3215" w:type="dxa"/>
            <w:tcBorders/>
            <w:shd w:fill="C7CDE8"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Lead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90,000</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Equity Compensation</w:t>
      </w:r>
      <w:r>
        <w:rPr>
          <w:rFonts w:ascii="Times New Roman;Times;serif" w:hAnsi="Times New Roman;Times;serif"/>
          <w:b w:val="false"/>
          <w:color w:val="000000"/>
          <w:sz w:val="20"/>
        </w:rPr>
        <w:t xml:space="preserve">. On an annual basis, each director is granted an annual RSU grant for Common Stock with a total value of $250,000, subject to 100% “cliff” vesting on the earlier of the (i) one (1) year anniversary of such grant date or (ii) next annual stockholder meeting, assuming continued Board service for such period. The Fiscal Year 2024 annual award was granted to each non-employee director on July 26, 2023.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DIRECTOR COMPENSATION FOR FISCAL YEAR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compensation earned by or paid to our non-employee directors during fiscal year 2024. </w:t>
      </w:r>
    </w:p>
    <w:tbl>
      <w:tblPr>
        <w:tblW w:w="5700" w:type="dxa"/>
        <w:jc w:val="left"/>
        <w:tblInd w:w="0" w:type="dxa"/>
        <w:tblLayout w:type="fixed"/>
        <w:tblCellMar>
          <w:top w:w="0" w:type="dxa"/>
          <w:left w:w="0" w:type="dxa"/>
          <w:bottom w:w="0" w:type="dxa"/>
          <w:right w:w="0" w:type="dxa"/>
        </w:tblCellMar>
      </w:tblPr>
      <w:tblGrid>
        <w:gridCol w:w="155"/>
        <w:gridCol w:w="1625"/>
        <w:gridCol w:w="140"/>
        <w:gridCol w:w="140"/>
        <w:gridCol w:w="1190"/>
        <w:gridCol w:w="140"/>
        <w:gridCol w:w="140"/>
        <w:gridCol w:w="995"/>
        <w:gridCol w:w="140"/>
        <w:gridCol w:w="140"/>
        <w:gridCol w:w="740"/>
        <w:gridCol w:w="155"/>
      </w:tblGrid>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 ($)</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90" w:type="dxa"/>
            <w:tcBorders/>
            <w:shd w:fill="C7CDE8"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90" w:type="dxa"/>
            <w:tcBorders/>
            <w:shd w:fill="C7CDE8"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390,000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90" w:type="dxa"/>
            <w:tcBorders/>
            <w:shd w:fill="C7CDE8" w:val="clear"/>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160,000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27"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22"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This includes FY 2024 RSU equity grants. Ms. Persofsky voluntarily waived her right to an annual RSU equity grant in respect of FY 2024. </w:t>
            </w:r>
          </w:p>
        </w:tc>
      </w:tr>
    </w:tbl>
    <w:tbl>
      <w:tblPr>
        <w:tblW w:w="6420" w:type="dxa"/>
        <w:jc w:val="left"/>
        <w:tblInd w:w="0" w:type="dxa"/>
        <w:tblLayout w:type="fixed"/>
        <w:tblCellMar>
          <w:top w:w="0" w:type="dxa"/>
          <w:left w:w="0" w:type="dxa"/>
          <w:bottom w:w="0" w:type="dxa"/>
          <w:right w:w="0" w:type="dxa"/>
        </w:tblCellMar>
      </w:tblPr>
      <w:tblGrid>
        <w:gridCol w:w="155"/>
        <w:gridCol w:w="1625"/>
        <w:gridCol w:w="140"/>
        <w:gridCol w:w="140"/>
        <w:gridCol w:w="2030"/>
        <w:gridCol w:w="140"/>
        <w:gridCol w:w="140"/>
        <w:gridCol w:w="1895"/>
        <w:gridCol w:w="155"/>
      </w:tblGrid>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as of May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RSUs as of May 31, 2024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30" w:type="dxa"/>
            <w:tcBorders/>
            <w:shd w:fill="C7CDE8" w:val="clear"/>
            <w:vAlign w:val="center"/>
          </w:tcPr>
          <w:p>
            <w:pPr>
              <w:pStyle w:val="TableContents"/>
              <w:bidi w:val="0"/>
              <w:spacing w:before="0" w:after="283"/>
              <w:ind w:left="65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95" w:type="dxa"/>
            <w:tcBorders/>
            <w:shd w:fill="C7CDE8"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166,668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F. Clanachan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133,392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30" w:type="dxa"/>
            <w:tcBorders/>
            <w:shd w:fill="C7CDE8" w:val="clear"/>
            <w:vAlign w:val="center"/>
          </w:tcPr>
          <w:p>
            <w:pPr>
              <w:pStyle w:val="TableContents"/>
              <w:bidi w:val="0"/>
              <w:spacing w:before="0" w:after="283"/>
              <w:ind w:left="65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95" w:type="dxa"/>
            <w:tcBorders/>
            <w:shd w:fill="C7CDE8"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178,581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176,143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62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Thomas Looney</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30" w:type="dxa"/>
            <w:tcBorders/>
            <w:shd w:fill="C7CDE8" w:val="clear"/>
            <w:vAlign w:val="center"/>
          </w:tcPr>
          <w:p>
            <w:pPr>
              <w:pStyle w:val="TableContents"/>
              <w:bidi w:val="0"/>
              <w:spacing w:before="0" w:after="283"/>
              <w:ind w:left="65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95" w:type="dxa"/>
            <w:tcBorders/>
            <w:shd w:fill="C7CDE8" w:val="clear"/>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178,581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283"/>
              <w:ind w:left="657" w:right="0" w:hanging="0"/>
              <w:jc w:val="left"/>
              <w:rPr>
                <w:rFonts w:ascii="Times New Roman;Times;serif" w:hAnsi="Times New Roman;Times;serif"/>
                <w:color w:val="000000"/>
                <w:sz w:val="20"/>
              </w:rPr>
            </w:pPr>
            <w:r>
              <w:rPr>
                <w:rFonts w:ascii="Times New Roman;Times;serif" w:hAnsi="Times New Roman;Times;serif"/>
                <w:color w:val="000000"/>
                <w:sz w:val="20"/>
              </w:rPr>
              <w:t>30,710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514" w:right="0" w:hanging="0"/>
              <w:jc w:val="left"/>
              <w:rPr>
                <w:rFonts w:ascii="Times New Roman;Times;serif" w:hAnsi="Times New Roman;Times;serif"/>
                <w:color w:val="000000"/>
                <w:sz w:val="20"/>
              </w:rPr>
            </w:pPr>
            <w:r>
              <w:rPr>
                <w:rFonts w:ascii="Times New Roman;Times;serif" w:hAnsi="Times New Roman;Times;serif"/>
                <w:color w:val="000000"/>
                <w:sz w:val="20"/>
              </w:rPr>
              <w:t>63,386</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3" w:name="ny20034373x2_def14a_109-certain_pg1"/>
      <w:bookmarkEnd w:id="33"/>
      <w:r>
        <w:rPr>
          <w:rFonts w:ascii="Arial" w:hAnsi="Arial"/>
          <w:b/>
          <w:color w:val="00489A"/>
          <w:sz w:val="20"/>
        </w:rPr>
        <w:t xml:space="preserve">CERTAIN BENEFICIAL OWNERSHIP MATTERS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Security Ownership of Principal Stockholders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with respect to the beneficial ownership of our capital stock as of September 14, 2024, by: </w:t>
      </w:r>
    </w:p>
    <w:tbl>
      <w:tblPr>
        <w:tblW w:w="9370" w:type="dxa"/>
        <w:jc w:val="left"/>
        <w:tblInd w:w="0" w:type="dxa"/>
        <w:tblLayout w:type="fixed"/>
        <w:tblCellMar>
          <w:top w:w="0" w:type="dxa"/>
          <w:left w:w="0" w:type="dxa"/>
          <w:bottom w:w="0" w:type="dxa"/>
          <w:right w:w="0" w:type="dxa"/>
        </w:tblCellMar>
      </w:tblPr>
      <w:tblGrid>
        <w:gridCol w:w="110"/>
        <w:gridCol w:w="9260"/>
      </w:tblGrid>
      <w:tr>
        <w:trPr/>
        <w:tc>
          <w:tcPr>
            <w:tcW w:w="11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of shares beneficially owned shown in the table is based on shares of Common Stock outstanding as of September 14, 2024.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14, 2024 or restricted stock units that will vest within 60 days of September 14, 2024.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of each beneficial owner listed in the table below is c/o Tilray Brands, Inc., 265 Talbot Street West, Leamington, Ontario N8H 4H3, Canada. </w:t>
      </w:r>
    </w:p>
    <w:tbl>
      <w:tblPr>
        <w:tblW w:w="8893" w:type="dxa"/>
        <w:jc w:val="left"/>
        <w:tblInd w:w="0" w:type="dxa"/>
        <w:tblLayout w:type="fixed"/>
        <w:tblCellMar>
          <w:top w:w="0" w:type="dxa"/>
          <w:left w:w="0" w:type="dxa"/>
          <w:bottom w:w="0" w:type="dxa"/>
          <w:right w:w="0" w:type="dxa"/>
        </w:tblCellMar>
      </w:tblPr>
      <w:tblGrid>
        <w:gridCol w:w="155"/>
        <w:gridCol w:w="5690"/>
        <w:gridCol w:w="140"/>
        <w:gridCol w:w="140"/>
        <w:gridCol w:w="1266"/>
        <w:gridCol w:w="209"/>
        <w:gridCol w:w="209"/>
        <w:gridCol w:w="929"/>
        <w:gridCol w:w="155"/>
      </w:tblGrid>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3"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Beneficially Owned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Greater than 5% stockholders: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sz w:val="4"/>
                <w:szCs w:val="4"/>
              </w:rPr>
            </w:pPr>
            <w:r>
              <w:rPr>
                <w:sz w:val="4"/>
                <w:szCs w:val="4"/>
              </w:rPr>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sz w:val="4"/>
                <w:szCs w:val="4"/>
              </w:rPr>
            </w:pPr>
            <w:r>
              <w:rPr>
                <w:sz w:val="4"/>
                <w:szCs w:val="4"/>
              </w:rPr>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w:t>
            </w:r>
            <w:r>
              <w:rPr>
                <w:rFonts w:ascii="Times New Roman;Times;serif" w:hAnsi="Times New Roman;Times;serif"/>
                <w:color w:val="000000"/>
                <w:position w:val="7"/>
                <w:sz w:val="16"/>
                <w:sz w:val="20"/>
              </w:rPr>
              <w:t>(1)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3,246,484</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Renah Persofsky</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153,628</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Jodi Butts</w:t>
            </w:r>
            <w:r>
              <w:rPr>
                <w:rFonts w:ascii="Times New Roman;Times;serif" w:hAnsi="Times New Roman;Times;serif"/>
                <w:color w:val="000000"/>
                <w:position w:val="7"/>
                <w:sz w:val="16"/>
                <w:sz w:val="20"/>
              </w:rPr>
              <w:t>(3)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145,778</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Clanachan</w:t>
            </w:r>
            <w:r>
              <w:rPr>
                <w:rFonts w:ascii="Times New Roman;Times;serif" w:hAnsi="Times New Roman;Times;serif"/>
                <w:color w:val="000000"/>
                <w:position w:val="7"/>
                <w:sz w:val="16"/>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112,502</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John M. Herhalt</w:t>
            </w:r>
            <w:r>
              <w:rPr>
                <w:rFonts w:ascii="Times New Roman;Times;serif" w:hAnsi="Times New Roman;Times;serif"/>
                <w:color w:val="000000"/>
                <w:position w:val="7"/>
                <w:sz w:val="16"/>
                <w:sz w:val="20"/>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160,741</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David Hopkinson</w:t>
            </w:r>
            <w:r>
              <w:rPr>
                <w:rFonts w:ascii="Times New Roman;Times;serif" w:hAnsi="Times New Roman;Times;serif"/>
                <w:color w:val="000000"/>
                <w:position w:val="7"/>
                <w:sz w:val="16"/>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253,936</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Tom Looney</w:t>
            </w:r>
            <w:r>
              <w:rPr>
                <w:rFonts w:ascii="Times New Roman;Times;serif" w:hAnsi="Times New Roman;Times;serif"/>
                <w:color w:val="000000"/>
                <w:position w:val="7"/>
                <w:sz w:val="16"/>
                <w:sz w:val="20"/>
              </w:rPr>
              <w:t>(7)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275,227</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r>
              <w:rPr>
                <w:rFonts w:ascii="Times New Roman;Times;serif" w:hAnsi="Times New Roman;Times;serif"/>
                <w:color w:val="000000"/>
                <w:position w:val="7"/>
                <w:sz w:val="16"/>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699,065</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r>
              <w:rPr>
                <w:rFonts w:ascii="Times New Roman;Times;serif" w:hAnsi="Times New Roman;Times;serif"/>
                <w:color w:val="000000"/>
                <w:position w:val="7"/>
                <w:sz w:val="16"/>
                <w:sz w:val="20"/>
              </w:rPr>
              <w:t>(9)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784,693</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r>
              <w:rPr>
                <w:rFonts w:ascii="Times New Roman;Times;serif" w:hAnsi="Times New Roman;Times;serif"/>
                <w:color w:val="000000"/>
                <w:position w:val="7"/>
                <w:sz w:val="16"/>
                <w:sz w:val="20"/>
              </w:rPr>
              <w:t>(10)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420,268</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569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r>
              <w:rPr>
                <w:rFonts w:ascii="Times New Roman;Times;serif" w:hAnsi="Times New Roman;Times;serif"/>
                <w:color w:val="000000"/>
                <w:position w:val="7"/>
                <w:sz w:val="16"/>
                <w:sz w:val="20"/>
              </w:rPr>
              <w:t>(11)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266" w:type="dxa"/>
            <w:tcBorders/>
            <w:shd w:fill="C7CDE8" w:val="clear"/>
            <w:vAlign w:val="center"/>
          </w:tcPr>
          <w:p>
            <w:pPr>
              <w:pStyle w:val="TableContents"/>
              <w:bidi w:val="0"/>
              <w:spacing w:before="0" w:after="283"/>
              <w:ind w:left="267" w:right="0" w:hanging="0"/>
              <w:jc w:val="left"/>
              <w:rPr>
                <w:rFonts w:ascii="Times New Roman;Times;serif" w:hAnsi="Times New Roman;Times;serif"/>
                <w:color w:val="000000"/>
                <w:sz w:val="20"/>
                <w:bdr w:val="single" w:sz="8" w:space="4" w:color="000000"/>
              </w:rPr>
            </w:pPr>
            <w:r>
              <w:rPr>
                <w:rFonts w:ascii="Times New Roman;Times;serif" w:hAnsi="Times New Roman;Times;serif"/>
                <w:color w:val="000000"/>
                <w:sz w:val="20"/>
                <w:bdr w:val="single" w:sz="8" w:space="4" w:color="000000"/>
              </w:rPr>
              <w:t>326,839</w:t>
            </w:r>
          </w:p>
        </w:tc>
        <w:tc>
          <w:tcPr>
            <w:tcW w:w="209" w:type="dxa"/>
            <w:tcBorders/>
            <w:shd w:fill="C7CDE8" w:val="clear"/>
            <w:vAlign w:val="center"/>
          </w:tcPr>
          <w:p>
            <w:pPr>
              <w:pStyle w:val="TableContents"/>
              <w:bidi w:val="0"/>
              <w:spacing w:before="0" w:after="0"/>
              <w:jc w:val="left"/>
              <w:rPr/>
            </w:pPr>
            <w:r>
              <w:rPr/>
              <w:t> </w:t>
            </w:r>
          </w:p>
        </w:tc>
        <w:tc>
          <w:tcPr>
            <w:tcW w:w="209" w:type="dxa"/>
            <w:tcBorders/>
            <w:shd w:fill="C7CDE8" w:val="clear"/>
            <w:vAlign w:val="center"/>
          </w:tcPr>
          <w:p>
            <w:pPr>
              <w:pStyle w:val="TableContents"/>
              <w:bidi w:val="0"/>
              <w:spacing w:before="0" w:after="0"/>
              <w:jc w:val="left"/>
              <w:rPr/>
            </w:pPr>
            <w:r>
              <w:rPr/>
              <w:t> </w:t>
            </w:r>
          </w:p>
        </w:tc>
        <w:tc>
          <w:tcPr>
            <w:tcW w:w="929" w:type="dxa"/>
            <w:tcBorders/>
            <w:shd w:fill="C7CDE8" w:val="clear"/>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(11 individuals)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283"/>
              <w:ind w:left="26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6,579,161</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283"/>
              <w:ind w:left="36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0.87</w:t>
            </w:r>
            <w:r>
              <w:rPr>
                <w:rFonts w:ascii="Times New Roman;Times;serif" w:hAnsi="Times New Roman;Times;serif"/>
                <w:color w:val="000000"/>
                <w:sz w:val="20"/>
              </w:rPr>
              <w:t>%</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6"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7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one percent of the outstanding Common Stock. </w:t>
            </w:r>
          </w:p>
        </w:tc>
      </w:tr>
    </w:tbl>
    <w:tbl>
      <w:tblPr>
        <w:tblW w:w="5560" w:type="dxa"/>
        <w:jc w:val="left"/>
        <w:tblInd w:w="0" w:type="dxa"/>
        <w:tblLayout w:type="fixed"/>
        <w:tblCellMar>
          <w:top w:w="0" w:type="dxa"/>
          <w:left w:w="0" w:type="dxa"/>
          <w:bottom w:w="0" w:type="dxa"/>
          <w:right w:w="0" w:type="dxa"/>
        </w:tblCellMar>
      </w:tblPr>
      <w:tblGrid>
        <w:gridCol w:w="230"/>
        <w:gridCol w:w="533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3,246,484 shares of Common Stock held directly by Mr. Simon.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63,390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4" w:name="ny20034373x2_def14a_109-certain_pg2"/>
      <w:bookmarkStart w:id="35" w:name="ny20034373x2_def14a_109-certain_pg2"/>
      <w:bookmarkEnd w:id="35"/>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112,502 shares of Common Stock held directly by Ms. Butts, and (b) 33,276 restricted (deferred) stock units that have fully vested, which will convert into an equivalent number of shares of Common Stock when Ms. Butts ceases to serve as a director of the Company. </w:t>
            </w:r>
          </w:p>
        </w:tc>
      </w:tr>
    </w:tbl>
    <w:tbl>
      <w:tblPr>
        <w:tblW w:w="5695" w:type="dxa"/>
        <w:jc w:val="left"/>
        <w:tblInd w:w="0" w:type="dxa"/>
        <w:tblLayout w:type="fixed"/>
        <w:tblCellMar>
          <w:top w:w="0" w:type="dxa"/>
          <w:left w:w="0" w:type="dxa"/>
          <w:bottom w:w="0" w:type="dxa"/>
          <w:right w:w="0" w:type="dxa"/>
        </w:tblCellMar>
      </w:tblPr>
      <w:tblGrid>
        <w:gridCol w:w="230"/>
        <w:gridCol w:w="54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4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112,502 shares of Common Stock held directly by Mr. Clanachan.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115,552 shares of Common Stock held directly by Mr. Herhalt, and (b) 45,189 restricted (deferred) stock units that have fully vested, which will convert into an equivalent number of shares of Common Stock when Mr. Herhalt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211,185 shares of Common Stock held directly by Mr. Hopkinson and (b) 42,751 restricted (deferred) stock units that have fully vested, which will convert into an equivalent number of shares of Common Stock when Mr. Hopkinson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230,038 shares of Common Stock held directly by Mr. Looney, and (b) 45,189 restricted (deferred) stock units that have fully vested, which will convert into an equivalent number of shares of Common Stock when Mr. Looney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660,055 shares of Common Stock held directly by Mr. Merton, (b) 20,750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 535,693 shares of Common Stock held directly by Ms. Faltischek and (b) 249,000 shares of Common Stock that are issuable upon the exercise of options held directly by Ms. Faltischek that have fully vested. </w:t>
            </w:r>
          </w:p>
        </w:tc>
      </w:tr>
    </w:tbl>
    <w:tbl>
      <w:tblPr>
        <w:tblW w:w="5560" w:type="dxa"/>
        <w:jc w:val="left"/>
        <w:tblInd w:w="0" w:type="dxa"/>
        <w:tblLayout w:type="fixed"/>
        <w:tblCellMar>
          <w:top w:w="0" w:type="dxa"/>
          <w:left w:w="0" w:type="dxa"/>
          <w:bottom w:w="0" w:type="dxa"/>
          <w:right w:w="0" w:type="dxa"/>
        </w:tblCellMar>
      </w:tblPr>
      <w:tblGrid>
        <w:gridCol w:w="320"/>
        <w:gridCol w:w="52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5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420,268 shares of Common Stock held directly by Mr. Gendel. </w:t>
            </w:r>
          </w:p>
        </w:tc>
      </w:tr>
    </w:tbl>
    <w:tbl>
      <w:tblPr>
        <w:tblW w:w="5485" w:type="dxa"/>
        <w:jc w:val="left"/>
        <w:tblInd w:w="0" w:type="dxa"/>
        <w:tblLayout w:type="fixed"/>
        <w:tblCellMar>
          <w:top w:w="0" w:type="dxa"/>
          <w:left w:w="0" w:type="dxa"/>
          <w:bottom w:w="0" w:type="dxa"/>
          <w:right w:w="0" w:type="dxa"/>
        </w:tblCellMar>
      </w:tblPr>
      <w:tblGrid>
        <w:gridCol w:w="320"/>
        <w:gridCol w:w="516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51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326,839 shares of Common Stock held directly by Mr. Savell.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Delinquent Section 16(a) Reports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2024. In making this statement, we have relied upon the written representations of our directors and executive officers and copies of reports that have been filed with the SEC.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6" w:name="ny20034373x2_def14a_110-comp_pg1"/>
      <w:bookmarkEnd w:id="36"/>
      <w:r>
        <w:rPr>
          <w:rFonts w:ascii="Arial" w:hAnsi="Arial"/>
          <w:b/>
          <w:color w:val="00489A"/>
          <w:sz w:val="20"/>
        </w:rPr>
        <w:t xml:space="preserve">COMPENSATION DISCUSSION &amp;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compensation discussion and analysis (“</w:t>
      </w:r>
      <w:r>
        <w:rPr>
          <w:rFonts w:ascii="Times New Roman;Times;serif" w:hAnsi="Times New Roman;Times;serif"/>
          <w:b/>
          <w:i/>
          <w:color w:val="000000"/>
          <w:sz w:val="20"/>
        </w:rPr>
        <w:t>CD&amp;A</w:t>
      </w:r>
      <w:r>
        <w:rPr>
          <w:rFonts w:ascii="Times New Roman;Times;serif" w:hAnsi="Times New Roman;Times;serif"/>
          <w:color w:val="000000"/>
          <w:sz w:val="20"/>
        </w:rPr>
        <w:t>”) describes our executive compensation philosophy and objectives and the decisions of the Compensation Committee from June 1, 2023, through May 31, 2024 (the “</w:t>
      </w:r>
      <w:r>
        <w:rPr>
          <w:rFonts w:ascii="Times New Roman;Times;serif" w:hAnsi="Times New Roman;Times;serif"/>
          <w:b/>
          <w:i/>
          <w:color w:val="000000"/>
          <w:sz w:val="20"/>
        </w:rPr>
        <w:t>Fiscal Year 2024</w:t>
      </w:r>
      <w:r>
        <w:rPr>
          <w:rFonts w:ascii="Times New Roman;Times;serif" w:hAnsi="Times New Roman;Times;serif"/>
          <w:color w:val="000000"/>
          <w:sz w:val="20"/>
        </w:rPr>
        <w:t xml:space="preserve">”). The purpose of the CD&amp;A is to provide stockholders with an understanding of the Company’s compensation philosophy and objectives as well as an overview of the analysis that the Compensation Committee performed in setting Tilray’s executive compensation.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Executive Summary: Compensation Program and FY 2024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our Board has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approach is tied to our key strategic initiatives. In particular, performance goals are set with the objectives of increasing our revenues and adjusted EBITDA; diversifying our revenue base with accretive and strategic acquisitions; strengthening the balance sheet through ongoing debt reductions; and advancing our product innovation and development. We have created a compensation program that combines short-term and long-term components, cash, equity, fixed compensation and performance-based contingent payments that we believe achieve the following four guiding principles: </w:t>
      </w:r>
    </w:p>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enhance stockholder value by aligning the financial interests of our NEOs with those of our stockholders;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enable us to attract, motivate and retain the people needed to support our long-term goal of being an industry leader;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integrate compensation closely with the achievement of our business and performance objectives; and </w:t>
            </w:r>
          </w:p>
        </w:tc>
      </w:tr>
    </w:tbl>
    <w:tbl>
      <w:tblPr>
        <w:tblW w:w="7720" w:type="dxa"/>
        <w:jc w:val="left"/>
        <w:tblInd w:w="0" w:type="dxa"/>
        <w:tblLayout w:type="fixed"/>
        <w:tblCellMar>
          <w:top w:w="0" w:type="dxa"/>
          <w:left w:w="0" w:type="dxa"/>
          <w:bottom w:w="0" w:type="dxa"/>
          <w:right w:w="0" w:type="dxa"/>
        </w:tblCellMar>
      </w:tblPr>
      <w:tblGrid>
        <w:gridCol w:w="110"/>
        <w:gridCol w:w="7610"/>
      </w:tblGrid>
      <w:tr>
        <w:trPr/>
        <w:tc>
          <w:tcPr>
            <w:tcW w:w="110" w:type="dxa"/>
            <w:tcBorders/>
            <w:vAlign w:val="center"/>
          </w:tcPr>
          <w:p>
            <w:pPr>
              <w:pStyle w:val="TableContents"/>
              <w:bidi w:val="0"/>
              <w:spacing w:before="0" w:after="0"/>
              <w:jc w:val="left"/>
              <w:rPr>
                <w:color w:val="000000"/>
              </w:rPr>
            </w:pPr>
            <w:r>
              <w:rPr>
                <w:color w:val="000000"/>
              </w:rPr>
              <w:t>•</w:t>
            </w:r>
          </w:p>
        </w:tc>
        <w:tc>
          <w:tcPr>
            <w:tcW w:w="7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Objectives of Fiscal Year 2024 Compensation Program </w:t>
      </w:r>
    </w:p>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program structure to attract, motivate and retain a highly qualified executive management team.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linking executive compensation to key corporate objectives, including near-term product development and business development goals, as well as to define individual management objectives established by the Compensation Committee;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compensate competitively with the practices of similarly staged companies; and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create management incentives designed to enhance stockholder value.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37" w:name="ny20034373x2_def14a_110-comp_pg2"/>
      <w:bookmarkEnd w:id="37"/>
      <w:r>
        <w:rPr>
          <w:rFonts w:ascii="Arial" w:hAnsi="Arial"/>
          <w:b/>
          <w:i/>
          <w:color w:val="000000"/>
          <w:sz w:val="20"/>
        </w:rPr>
        <w:t xml:space="preserve">Partial Achievement of Fiscal Year 2024 Performance Targets; Transaction Bonus Payments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Successfully identified, completed and integrated three (3) strategic acquisition targets, including HEXO Corp. in Canada (acquisition closed July 2023); eight (8) AB craft beverages in the U.S. (acquisition closed in October 2023); and Truss beverages in Canada (acquisition of controlling interest closed in September 2023 and subsequent sale closed in May 2024). Management effectively consolidated and integrated each of these acquired businesses and exceeded all applicable cost-saving targets and facility optimization goals.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a reduction of net leverage ratio at Fiscal Year-end 2024 equal to 1.73, significantly better than the applicable financial target of 2.50 net leverage ratio at Fiscal Year-end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26% net revenue growth and net revenues of $789 million for Fiscal Year 2024, as compared to revenue target of $715 million. The applicable financial revenue target was not fully achieved if acquisitions were excluded from the applicable calculation.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Adjusted EBITDA</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for Fiscal Year 2024 was equal to $60.5 million, as compared to the adjusted EBITDA target of $65 million and investor guidance of $60–63 million. Therefore, despite improved adjusted EBITDA performance in 2024 as compared to Fiscal Year 2023, and despite achieving revised investor guidance, this performance target was determined not to be fully achieved.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making incentive award determinations, the Committee also considered other impactful initiatives implemented by management, including operational improvements and improved facility utilization levels; expanded distribution opportunities; product innovations and improved production efficiencies; and successful resolution of litigation claims for significantly less than projected amounts. As a result of the Company’s partial achievement of the Company’s financial and operational targets, together with these other significant accomplishments, the Compensation Committee determined to pay annual cash bonus awards in an amount equal to 20-30% of the applicable bonus targets to the NEOs in respect of the Fiscal Year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annual bonus payments for partial achievement of financial performance targets in respect of Fiscal Year 2024, our NEOs received transaction bonus payments in August 2023 in recognition of their successful efforts in structuring and completing the acquisition of HEXO Corp., which closed in June 2023. This acquisition resulted in meaningful financial and operational benefits to Tilray. These HEXO transaction bonus payments are disclosed in the </w:t>
      </w:r>
      <w:r>
        <w:rPr>
          <w:rFonts w:ascii="Times New Roman;Times;serif" w:hAnsi="Times New Roman;Times;serif"/>
          <w:b/>
          <w:i/>
          <w:color w:val="000000"/>
          <w:sz w:val="20"/>
        </w:rPr>
        <w:t>Summary Compensation Table</w:t>
      </w:r>
      <w:r>
        <w:rPr>
          <w:rFonts w:ascii="Times New Roman;Times;serif" w:hAnsi="Times New Roman;Times;serif"/>
          <w:color w:val="000000"/>
          <w:sz w:val="20"/>
        </w:rPr>
        <w:t xml:space="preserve"> in respect of Fiscal Year 2024.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Summary of Executive Compensation Philosophy and Objectives </w:t>
      </w:r>
    </w:p>
    <w:tbl>
      <w:tblPr>
        <w:tblW w:w="10205" w:type="dxa"/>
        <w:jc w:val="left"/>
        <w:tblInd w:w="0" w:type="dxa"/>
        <w:tblLayout w:type="fixed"/>
        <w:tblCellMar>
          <w:top w:w="0" w:type="dxa"/>
          <w:left w:w="0" w:type="dxa"/>
          <w:bottom w:w="0" w:type="dxa"/>
          <w:right w:w="0" w:type="dxa"/>
        </w:tblCellMar>
      </w:tblPr>
      <w:tblGrid>
        <w:gridCol w:w="155"/>
        <w:gridCol w:w="155"/>
        <w:gridCol w:w="140"/>
        <w:gridCol w:w="140"/>
        <w:gridCol w:w="4898"/>
        <w:gridCol w:w="140"/>
        <w:gridCol w:w="140"/>
        <w:gridCol w:w="198"/>
        <w:gridCol w:w="140"/>
        <w:gridCol w:w="140"/>
        <w:gridCol w:w="3803"/>
        <w:gridCol w:w="156"/>
      </w:tblGrid>
      <w:tr>
        <w:trPr/>
        <w:tc>
          <w:tcPr>
            <w:tcW w:w="155" w:type="dxa"/>
            <w:tcBorders/>
            <w:vAlign w:val="center"/>
          </w:tcPr>
          <w:p>
            <w:pPr>
              <w:pStyle w:val="TableContents"/>
              <w:bidi w:val="0"/>
              <w:spacing w:before="0" w:after="0"/>
              <w:jc w:val="left"/>
              <w:rPr/>
            </w:pPr>
            <w:r>
              <w:rPr/>
              <w:t> </w:t>
            </w:r>
          </w:p>
        </w:tc>
        <w:tc>
          <w:tcPr>
            <w:tcW w:w="533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1" w:type="dxa"/>
            <w:gridSpan w:val="4"/>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333" w:type="dxa"/>
            <w:gridSpan w:val="4"/>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81"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What We Don’t Do </w:t>
            </w:r>
          </w:p>
        </w:tc>
        <w:tc>
          <w:tcPr>
            <w:tcW w:w="156"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89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 for Performance – majority of compensation “at risk”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8"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803"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short sales by directors, officers or employees </w:t>
            </w:r>
          </w:p>
        </w:tc>
        <w:tc>
          <w:tcPr>
            <w:tcW w:w="156"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Reasonable post-employment and change in control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Allow hedging or pledging of Company stock </w:t>
            </w:r>
          </w:p>
        </w:tc>
        <w:tc>
          <w:tcPr>
            <w:tcW w:w="156"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89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ownership guidelines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8"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803"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change in control tax gross-ups </w:t>
            </w:r>
          </w:p>
        </w:tc>
        <w:tc>
          <w:tcPr>
            <w:tcW w:w="156"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ind w:left="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Use of Multiple Performance Metrics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repricing of underwater options without stockholder approval </w:t>
            </w:r>
          </w:p>
        </w:tc>
        <w:tc>
          <w:tcPr>
            <w:tcW w:w="156"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89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Clawback Policy for equity incentive awards and cash bonuses in the event of restatement of financial results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8"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803"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Offer unreasonable perquisites </w:t>
            </w:r>
          </w:p>
        </w:tc>
        <w:tc>
          <w:tcPr>
            <w:tcW w:w="156"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single trigger cash severance based solely on a change in control of the Company</w:t>
            </w:r>
          </w:p>
        </w:tc>
        <w:tc>
          <w:tcPr>
            <w:tcW w:w="156"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Adjusted EBITDA is a non-GAAP financial measure. Please see “Reconciliation of Non-GAAP Financial Measures to GAAP Measures” in our Annual Report on Form 10-K for the fiscal year ended May 31, 2024 for a reconciliation of such non-GAAP Measures to the most directly comparable GAAP financial measures.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38" w:name="ny20034373x2_def14a_110-comp_pg3"/>
      <w:bookmarkEnd w:id="38"/>
      <w:r>
        <w:rPr>
          <w:rFonts w:ascii="Arial" w:hAnsi="Arial"/>
          <w:b/>
          <w:color w:val="00489A"/>
          <w:sz w:val="20"/>
        </w:rPr>
        <w:t xml:space="preserve">Identification of Named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named executive officers (“</w:t>
      </w:r>
      <w:r>
        <w:rPr>
          <w:rFonts w:ascii="Times New Roman;Times;serif" w:hAnsi="Times New Roman;Times;serif"/>
          <w:b/>
          <w:i/>
          <w:color w:val="000000"/>
          <w:sz w:val="20"/>
        </w:rPr>
        <w:t>NEOs</w:t>
      </w:r>
      <w:r>
        <w:rPr>
          <w:rFonts w:ascii="Times New Roman;Times;serif" w:hAnsi="Times New Roman;Times;serif"/>
          <w:color w:val="000000"/>
          <w:sz w:val="20"/>
        </w:rPr>
        <w:t xml:space="preserve">”), consist of all persons who served as (i) our Chief Executive Officer or Chief Financial Officer during Fiscal Year 2024; and (ii) the next three most highly compensated executive officers who were serving as of May 31, 2024: </w:t>
      </w:r>
    </w:p>
    <w:tbl>
      <w:tblPr>
        <w:tblW w:w="8475" w:type="dxa"/>
        <w:jc w:val="left"/>
        <w:tblInd w:w="0" w:type="dxa"/>
        <w:tblLayout w:type="fixed"/>
        <w:tblCellMar>
          <w:top w:w="0" w:type="dxa"/>
          <w:left w:w="0" w:type="dxa"/>
          <w:bottom w:w="0" w:type="dxa"/>
          <w:right w:w="0" w:type="dxa"/>
        </w:tblCellMar>
      </w:tblPr>
      <w:tblGrid>
        <w:gridCol w:w="155"/>
        <w:gridCol w:w="1460"/>
        <w:gridCol w:w="140"/>
        <w:gridCol w:w="140"/>
        <w:gridCol w:w="5750"/>
        <w:gridCol w:w="140"/>
        <w:gridCol w:w="140"/>
        <w:gridCol w:w="395"/>
        <w:gridCol w:w="155"/>
      </w:tblGrid>
      <w:tr>
        <w:trPr/>
        <w:tc>
          <w:tcPr>
            <w:tcW w:w="155" w:type="dxa"/>
            <w:tcBorders/>
            <w:shd w:fill="C7CDE8" w:val="clear"/>
            <w:vAlign w:val="center"/>
          </w:tcPr>
          <w:p>
            <w:pPr>
              <w:pStyle w:val="TableContents"/>
              <w:bidi w:val="0"/>
              <w:spacing w:before="0" w:after="0"/>
              <w:jc w:val="left"/>
              <w:rPr/>
            </w:pPr>
            <w:r>
              <w:rPr/>
              <w:t> </w:t>
            </w:r>
          </w:p>
        </w:tc>
        <w:tc>
          <w:tcPr>
            <w:tcW w:w="8165" w:type="dxa"/>
            <w:gridSpan w:val="7"/>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165" w:type="dxa"/>
            <w:gridSpan w:val="7"/>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20"/>
                <w:u w:val="single"/>
              </w:rPr>
            </w:pPr>
            <w:r>
              <w:rPr>
                <w:rFonts w:ascii="Times New Roman;Times;serif" w:hAnsi="Times New Roman;Times;serif"/>
                <w:color w:val="000000"/>
                <w:sz w:val="20"/>
                <w:u w:val="single"/>
              </w:rPr>
              <w:t xml:space="preserve">Tilray Named Executive Officers as of May 31, 2024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CCCC" w:val="clear"/>
            <w:tcMar>
              <w:bottom w:w="43" w:type="dxa"/>
            </w:tcMar>
            <w:vAlign w:val="center"/>
          </w:tcPr>
          <w:p>
            <w:pPr>
              <w:pStyle w:val="TableContents"/>
              <w:bidi w:val="0"/>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Name</w:t>
            </w:r>
          </w:p>
        </w:tc>
        <w:tc>
          <w:tcPr>
            <w:tcW w:w="14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Position</w:t>
            </w:r>
          </w:p>
        </w:tc>
        <w:tc>
          <w:tcPr>
            <w:tcW w:w="14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95"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Age </w:t>
            </w:r>
          </w:p>
        </w:tc>
        <w:tc>
          <w:tcPr>
            <w:tcW w:w="15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Chairman of the Board (“</w:t>
            </w:r>
            <w:r>
              <w:rPr>
                <w:rFonts w:ascii="Times New Roman;Times;serif" w:hAnsi="Times New Roman;Times;serif"/>
                <w:i/>
                <w:color w:val="000000"/>
                <w:sz w:val="20"/>
              </w:rPr>
              <w:t>CEO</w:t>
            </w:r>
            <w:r>
              <w:rPr>
                <w:rFonts w:ascii="Times New Roman;Times;serif" w:hAnsi="Times New Roman;Times;serif"/>
                <w:color w:val="000000"/>
                <w:sz w:val="20"/>
              </w:rPr>
              <w:t>”)</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95"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Strategy Officer and Head of International</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95"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Global General Counsel and Corporate Secretary</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Administrative Officer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39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39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Mr. Simon </w:t>
      </w:r>
      <w:r>
        <w:rPr>
          <w:rFonts w:ascii="Times New Roman;Times;serif" w:hAnsi="Times New Roman;Times;serif"/>
          <w:b w:val="false"/>
          <w:color w:val="000000"/>
          <w:sz w:val="20"/>
        </w:rPr>
        <w:t xml:space="preserve">is Chairman, President and Chief Executive officer at Tilray. Mr. Simon is an executive with over 30 years of experience building industry-leading, disruptive consumer packaged goods companies from organic and natural foods, dietary supplements, personal care, and cannabis. Before Tilray, Mr. Simon transformed Aphria Inc. into a successful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Mr. Simon was previously the Executive Chairman of Whole Earth Brands, Inc. (NASDAQ: FREE), a global industry-leading platform focused on the “better for you” consumer packaged goods and ingredients space, until August 2024. Mr. Simon continues to serve as the Presiding Director at Stagwell Inc., a provider of marketing, activation and communications solutions and services.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Mr. Merton </w:t>
      </w:r>
      <w:r>
        <w:rPr>
          <w:rFonts w:ascii="Times New Roman;Times;serif" w:hAnsi="Times New Roman;Times;serif"/>
          <w:b w:val="false"/>
          <w:color w:val="000000"/>
          <w:sz w:val="20"/>
        </w:rPr>
        <w:t xml:space="preserve">joined Tilray in May 2021, and currently serves as Chief Financial Officer. Prior to joining Tilray, 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Ms. Faltischek </w:t>
      </w:r>
      <w:r>
        <w:rPr>
          <w:rFonts w:ascii="Times New Roman;Times;serif" w:hAnsi="Times New Roman;Times;serif"/>
          <w:b w:val="false"/>
          <w:color w:val="000000"/>
          <w:sz w:val="20"/>
        </w:rPr>
        <w:t xml:space="preserve">joined Tilray in May 2021, and currently serves as Chief Strategy Officer and Head of International.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Mr. Gendel </w:t>
      </w:r>
      <w:r>
        <w:rPr>
          <w:rFonts w:ascii="Times New Roman;Times;serif" w:hAnsi="Times New Roman;Times;serif"/>
          <w:b w:val="false"/>
          <w:color w:val="000000"/>
          <w:sz w:val="20"/>
        </w:rPr>
        <w:t xml:space="preserve">joined Tilray in July 2021, as General Counsel and Corporate Secretary. Prior to joining Tilray, Mr. Gendel served as General Counsel of Emerald Holding, Inc, from April 2020 until July 2021. At Emerald, he was responsible for all legal affairs including corporate governance, securities and compliance and litigation matters. Mitch also served as Chief Restructuring Officer of Steel Partners LLP, from November 2019 until June 2020. From 2004 through August 2019, Mr. Gendel was General Counsel of MDC Partners, Inc., a global, publicly-held advertising and communications company.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Mr. Savell </w:t>
      </w:r>
      <w:r>
        <w:rPr>
          <w:rFonts w:ascii="Times New Roman;Times;serif" w:hAnsi="Times New Roman;Times;serif"/>
          <w:b w:val="false"/>
          <w:color w:val="000000"/>
          <w:sz w:val="20"/>
        </w:rPr>
        <w:t>joined Tilray in March 2022 as Chief Administrative Officer. Prior to joining Tilray, Mr. Savell was employed by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Ernst &amp; Young for thirty-nine years in multiple executive roles. He most recently served as an Audit Partner managing corporate governance, Sarbanes-Oxley, accounting, and auditing issues, for a variety of public and private companies on behalf of Ernst &amp; Young. </w:t>
      </w:r>
    </w:p>
    <w:p>
      <w:pPr>
        <w:pStyle w:val="TextBody"/>
        <w:bidi w:val="0"/>
        <w:spacing w:before="240" w:after="283"/>
        <w:ind w:left="400" w:right="0" w:hanging="0"/>
        <w:jc w:val="left"/>
        <w:rPr>
          <w:rFonts w:ascii="Arial" w:hAnsi="Arial"/>
          <w:b/>
          <w:i/>
          <w:color w:val="000000"/>
          <w:sz w:val="20"/>
        </w:rPr>
      </w:pPr>
      <w:r>
        <w:rPr>
          <w:rFonts w:ascii="Arial" w:hAnsi="Arial"/>
          <w:b/>
          <w:i/>
          <w:color w:val="000000"/>
          <w:sz w:val="20"/>
        </w:rPr>
        <w:t xml:space="preserve">Engagement of Independent Compensation Consultant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respect of compensation amounts for Fiscal Year 2023, the Compensation Committee consulted with an independent compensation consultant, Korn Ferry that provided advisory services.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39" w:name="ny20034373x2_def14a_110-comp_pg4"/>
      <w:bookmarkEnd w:id="39"/>
      <w:r>
        <w:rPr>
          <w:rFonts w:ascii="Times New Roman;Times;serif" w:hAnsi="Times New Roman;Times;serif"/>
          <w:color w:val="000000"/>
          <w:sz w:val="20"/>
        </w:rPr>
        <w:t xml:space="preserve">During the Fiscal Year 2023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Peer Group Composition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Committee’s review and determination of the applicable peer group appropriately balanced the following four relevant spectrums: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Industry</w:t>
            </w:r>
            <w:r>
              <w:rPr>
                <w:rFonts w:ascii="Times New Roman;Times;serif" w:hAnsi="Times New Roman;Times;serif"/>
                <w:color w:val="000000"/>
                <w:sz w:val="20"/>
              </w:rPr>
              <w:t xml:space="preserve">: Focus was given to companies in the cannabis industry as this best represents the main customer, labor and capital markets in which Tilray competes; however, given Tilray is larger than other cannabis companies, it was important to assess other industries as well.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Broader biotechnology / pharmaceuticals companies were included because they are similar to Tilray’s medical cannabis business in many respects.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Companies in the consumer-packaged goods industry were also considered due to Tilray’s consumer-product based business model, and Tilray’s expansion of products and services in the brewery and distillery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 </w:t>
            </w:r>
          </w:p>
        </w:tc>
      </w:tr>
    </w:tbl>
    <w:tbl>
      <w:tblPr>
        <w:tblW w:w="8770" w:type="dxa"/>
        <w:jc w:val="left"/>
        <w:tblInd w:w="0" w:type="dxa"/>
        <w:tblLayout w:type="fixed"/>
        <w:tblCellMar>
          <w:top w:w="0" w:type="dxa"/>
          <w:left w:w="0" w:type="dxa"/>
          <w:bottom w:w="0" w:type="dxa"/>
          <w:right w:w="0" w:type="dxa"/>
        </w:tblCellMar>
      </w:tblPr>
      <w:tblGrid>
        <w:gridCol w:w="170"/>
        <w:gridCol w:w="860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Size</w:t>
            </w:r>
            <w:r>
              <w:rPr>
                <w:rFonts w:ascii="Times New Roman;Times;serif" w:hAnsi="Times New Roman;Times;serif"/>
                <w:color w:val="000000"/>
                <w:sz w:val="20"/>
              </w:rPr>
              <w:t xml:space="preserve">: Company size is a strong indicator of organizational complexity and drives scope of accountability.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Given the anticipated growth of Tilray following the Business Combination and the cannabis sector overall, a wider financial lens was applied by Korn Ferry, and revenue was the primary indicator of size. Total assets and market capitalization were used as secondary reference points. </w:t>
            </w:r>
          </w:p>
        </w:tc>
      </w:tr>
    </w:tbl>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Operations</w:t>
            </w:r>
            <w:r>
              <w:rPr>
                <w:rFonts w:ascii="Times New Roman;Times;serif" w:hAnsi="Times New Roman;Times;serif"/>
                <w:color w:val="000000"/>
                <w:sz w:val="20"/>
              </w:rPr>
              <w:t xml:space="preserve">: As Tilray is an established international operator in the cannabis industry, focus was given to companies that are based in North America and have international operations.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Location</w:t>
            </w:r>
            <w:r>
              <w:rPr>
                <w:rFonts w:ascii="Times New Roman;Times;serif" w:hAnsi="Times New Roman;Times;serif"/>
                <w:color w:val="000000"/>
                <w:sz w:val="20"/>
              </w:rPr>
              <w:t xml:space="preserve">: The regions or countries where Tilray competes for talent. Our approach proposes to focus the executive compensation analysis primarily to Canadian and U.S.-based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Since Tilray is U.S.-based with Canadian and U.S.-sourced executives, the Canadian and U.S. markets are both relevant sources of data. Should other markets become relevant in the future, consideration will be given to including companies from those geographies in Tilray’s peer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was important to the Compensation Committee that the peer group reflect high revenue growth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March 2021, the ultimate outcome of this peer group review was the creation of the following 18-company peer group for Fiscal Year 2022 and subsequent years, for purposes of determining the compensation arrangements for Tilray’s senior executive officers: </w:t>
      </w:r>
    </w:p>
    <w:tbl>
      <w:tblPr>
        <w:tblW w:w="10205" w:type="dxa"/>
        <w:jc w:val="left"/>
        <w:tblInd w:w="0" w:type="dxa"/>
        <w:tblLayout w:type="fixed"/>
        <w:tblCellMar>
          <w:top w:w="0" w:type="dxa"/>
          <w:left w:w="0" w:type="dxa"/>
          <w:bottom w:w="0" w:type="dxa"/>
          <w:right w:w="0" w:type="dxa"/>
        </w:tblCellMar>
      </w:tblPr>
      <w:tblGrid>
        <w:gridCol w:w="155"/>
        <w:gridCol w:w="4478"/>
        <w:gridCol w:w="140"/>
        <w:gridCol w:w="140"/>
        <w:gridCol w:w="2298"/>
        <w:gridCol w:w="140"/>
        <w:gridCol w:w="140"/>
        <w:gridCol w:w="2557"/>
        <w:gridCol w:w="157"/>
      </w:tblGrid>
      <w:tr>
        <w:trPr/>
        <w:tc>
          <w:tcPr>
            <w:tcW w:w="155" w:type="dxa"/>
            <w:tcBorders/>
            <w:shd w:fill="C7CDE8" w:val="clear"/>
            <w:vAlign w:val="center"/>
          </w:tcPr>
          <w:p>
            <w:pPr>
              <w:pStyle w:val="TableContents"/>
              <w:bidi w:val="0"/>
              <w:spacing w:before="0" w:after="0"/>
              <w:jc w:val="left"/>
              <w:rPr/>
            </w:pPr>
            <w:r>
              <w:rPr/>
              <w:t> </w:t>
            </w:r>
          </w:p>
        </w:tc>
        <w:tc>
          <w:tcPr>
            <w:tcW w:w="4478"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98"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557" w:type="dxa"/>
            <w:tcBorders/>
            <w:shd w:fill="C7CDE8" w:val="clear"/>
            <w:vAlign w:val="center"/>
          </w:tcPr>
          <w:p>
            <w:pPr>
              <w:pStyle w:val="TableContents"/>
              <w:bidi w:val="0"/>
              <w:spacing w:before="0" w:after="0"/>
              <w:jc w:val="left"/>
              <w:rPr/>
            </w:pPr>
            <w:r>
              <w:rPr/>
              <w:t>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478" w:type="dxa"/>
            <w:tcBorders/>
            <w:shd w:fill="C7CDE8" w:val="clear"/>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Cannabis Companies</w:t>
            </w:r>
            <w:r>
              <w:rPr>
                <w:rFonts w:ascii="Times New Roman;Times;serif" w:hAnsi="Times New Roman;Times;serif"/>
                <w:b/>
                <w:i/>
                <w:caps w:val="false"/>
                <w:smallCaps w:val="false"/>
                <w:color w:val="000000"/>
                <w:sz w:val="20"/>
              </w:rPr>
              <w:t xml:space="preserve"> </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Canopy Growth Corporation</w:t>
            </w:r>
          </w:p>
          <w:p>
            <w:pPr>
              <w:pStyle w:val="TableContents"/>
              <w:bidi w:val="0"/>
              <w:spacing w:before="0" w:after="283"/>
              <w:ind w:left="23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Curaleaf Holdings, Inc.</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9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Cresco Labs,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Green Thumb Industries, Inc.</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55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GW Pharmaceuticals plc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Trulieve Cannabis Corp.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478" w:type="dxa"/>
            <w:tcBorders/>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Biotechnology/Pharmaceutical/Technology Companies</w:t>
            </w:r>
          </w:p>
          <w:p>
            <w:pPr>
              <w:pStyle w:val="TableContents"/>
              <w:bidi w:val="0"/>
              <w:spacing w:before="0" w:after="283"/>
              <w:ind w:left="30" w:right="0" w:hanging="0"/>
              <w:jc w:val="left"/>
              <w:rPr>
                <w:caps w:val="false"/>
                <w:smallCaps w:val="false"/>
                <w:color w:val="000000"/>
              </w:rPr>
            </w:pPr>
            <w:r>
              <w:rPr>
                <w:caps w:val="false"/>
                <w:smallCaps w:val="false"/>
                <w:color w:val="000000"/>
              </w:rPr>
              <w:t> </w:t>
            </w:r>
          </w:p>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Catalent, Inc.</w:t>
            </w:r>
          </w:p>
          <w:p>
            <w:pPr>
              <w:pStyle w:val="TableContents"/>
              <w:bidi w:val="0"/>
              <w:spacing w:before="0" w:after="283"/>
              <w:ind w:left="218"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DocuSign,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Etsy,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Incyte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Neurocrine Biosciences,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Unity Software Inc.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478" w:type="dxa"/>
            <w:tcBorders/>
            <w:shd w:fill="C7CDE8" w:val="clear"/>
            <w:vAlign w:val="center"/>
          </w:tcPr>
          <w:p>
            <w:pPr>
              <w:pStyle w:val="TableContents"/>
              <w:bidi w:val="0"/>
              <w:spacing w:before="0" w:after="283"/>
              <w:ind w:left="30" w:right="0" w:hanging="0"/>
              <w:jc w:val="left"/>
              <w:rPr>
                <w:rFonts w:ascii="Times New Roman;Times;serif" w:hAnsi="Times New Roman;Times;serif"/>
                <w:b/>
                <w:i/>
                <w:color w:val="000000"/>
                <w:sz w:val="20"/>
              </w:rPr>
            </w:pPr>
            <w:r>
              <w:rPr>
                <w:rFonts w:ascii="Times New Roman;Times;serif" w:hAnsi="Times New Roman;Times;serif"/>
                <w:b/>
                <w:i/>
                <w:color w:val="000000"/>
                <w:sz w:val="20"/>
              </w:rPr>
              <w:t>Consumer Packaged Goods/Alcohol Companies</w:t>
            </w:r>
            <w:r>
              <w:rPr>
                <w:rFonts w:ascii="Times New Roman;Times;serif" w:hAnsi="Times New Roman;Times;serif"/>
                <w:b/>
                <w:i/>
                <w:caps w:val="false"/>
                <w:smallCaps w:val="false"/>
                <w:color w:val="000000"/>
                <w:sz w:val="20"/>
              </w:rPr>
              <w:t xml:space="preserve"> </w:t>
            </w:r>
          </w:p>
          <w:p>
            <w:pPr>
              <w:pStyle w:val="TableContents"/>
              <w:bidi w:val="0"/>
              <w:spacing w:before="0" w:after="283"/>
              <w:ind w:left="30" w:right="0" w:hanging="0"/>
              <w:jc w:val="left"/>
              <w:rPr>
                <w:caps w:val="false"/>
                <w:smallCaps w:val="false"/>
                <w:color w:val="000000"/>
              </w:rPr>
            </w:pPr>
            <w:r>
              <w:rPr>
                <w:caps w:val="false"/>
                <w:smallCaps w:val="false"/>
                <w:color w:val="000000"/>
              </w:rPr>
              <w:t> </w:t>
            </w:r>
          </w:p>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Beyond Meat</w:t>
            </w:r>
          </w:p>
          <w:p>
            <w:pPr>
              <w:pStyle w:val="TableContents"/>
              <w:bidi w:val="0"/>
              <w:spacing w:before="0" w:after="283"/>
              <w:ind w:left="218"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Constellation Brands, Inc.</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98"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Monster Beverage</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Beverage</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55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Boston Beer Company, Inc.</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Simply Good Food Co.</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478"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98"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557" w:type="dxa"/>
            <w:tcBorders/>
            <w:shd w:fill="C7CDE8" w:val="clear"/>
            <w:vAlign w:val="center"/>
          </w:tcPr>
          <w:p>
            <w:pPr>
              <w:pStyle w:val="TableContents"/>
              <w:bidi w:val="0"/>
              <w:spacing w:before="0" w:after="0"/>
              <w:jc w:val="left"/>
              <w:rPr/>
            </w:pPr>
            <w:r>
              <w:rPr/>
              <w:t> </w:t>
            </w:r>
          </w:p>
        </w:tc>
        <w:tc>
          <w:tcPr>
            <w:tcW w:w="157" w:type="dxa"/>
            <w:tcBorders/>
            <w:shd w:fill="C7CDE8" w:val="clear"/>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40" w:name="ny20034373x2_def14a_110-comp_pg5"/>
      <w:bookmarkEnd w:id="40"/>
      <w:r>
        <w:rPr>
          <w:rFonts w:ascii="Times New Roman;Times;serif" w:hAnsi="Times New Roman;Times;serif"/>
          <w:color w:val="000000"/>
          <w:sz w:val="20"/>
        </w:rPr>
        <w:t xml:space="preserve">Based on Korn Ferry’s guidance, no changes were made to this peer group for purposes of Fiscal Year 2024 compensation. As the cannabis industry and our business evolves and diversifies, the Compensation Committee will continue to evaluate the appropriateness of each peer annually and make any necessary changes for Fiscal Year 2025.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Elements of Compensation for Fiscal Year 2024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and historically stock options,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reviewing our senior executive compensation, the Compensation Committee considers data regarding the competitive market for senior executive talent. Relevant comparisons among executives at these companies are identified and are then compared to the comparable executive at Tilray.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1" w:name="ny20034373x2_def14a_110-comp_pg6"/>
      <w:bookmarkEnd w:id="41"/>
      <w:r>
        <w:rPr>
          <w:rFonts w:ascii="Arial" w:hAnsi="Arial"/>
          <w:b/>
          <w:i/>
          <w:color w:val="000000"/>
          <w:sz w:val="20"/>
        </w:rPr>
        <w:t xml:space="preserve">Key Components of Tilray Compensation Plan </w:t>
      </w:r>
    </w:p>
    <w:tbl>
      <w:tblPr>
        <w:tblW w:w="10205" w:type="dxa"/>
        <w:jc w:val="left"/>
        <w:tblInd w:w="0" w:type="dxa"/>
        <w:tblLayout w:type="fixed"/>
        <w:tblCellMar>
          <w:top w:w="0" w:type="dxa"/>
          <w:left w:w="0" w:type="dxa"/>
          <w:bottom w:w="0" w:type="dxa"/>
          <w:right w:w="0" w:type="dxa"/>
        </w:tblCellMar>
      </w:tblPr>
      <w:tblGrid>
        <w:gridCol w:w="155"/>
        <w:gridCol w:w="1819"/>
        <w:gridCol w:w="140"/>
        <w:gridCol w:w="140"/>
        <w:gridCol w:w="140"/>
        <w:gridCol w:w="140"/>
        <w:gridCol w:w="140"/>
        <w:gridCol w:w="1830"/>
        <w:gridCol w:w="140"/>
        <w:gridCol w:w="140"/>
        <w:gridCol w:w="140"/>
        <w:gridCol w:w="140"/>
        <w:gridCol w:w="140"/>
        <w:gridCol w:w="907"/>
        <w:gridCol w:w="140"/>
        <w:gridCol w:w="140"/>
        <w:gridCol w:w="140"/>
        <w:gridCol w:w="140"/>
        <w:gridCol w:w="140"/>
        <w:gridCol w:w="3237"/>
        <w:gridCol w:w="157"/>
      </w:tblGrid>
      <w:tr>
        <w:trPr/>
        <w:tc>
          <w:tcPr>
            <w:tcW w:w="15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7"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7" w:type="dxa"/>
            <w:gridSpan w:val="4"/>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819"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Element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Primary Purpose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Details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9893" w:type="dxa"/>
            <w:gridSpan w:val="19"/>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Cash Compensation</w:t>
            </w:r>
          </w:p>
        </w:tc>
        <w:tc>
          <w:tcPr>
            <w:tcW w:w="157"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1819"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Base Salary</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Fixed annual compensation for ongoing services performed, executive tenure, and role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0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Ongoing</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23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Provided in cash each pay period. Intended to be competitive in marketplace and to retain key employees </w:t>
            </w:r>
          </w:p>
        </w:tc>
        <w:tc>
          <w:tcPr>
            <w:tcW w:w="157" w:type="dxa"/>
            <w:vMerge w:val="restart"/>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819"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Continuity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0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3237" w:type="dxa"/>
            <w:vMerge w:val="continue"/>
            <w:tcBorders/>
            <w:vAlign w:val="center"/>
          </w:tcPr>
          <w:p>
            <w:pPr>
              <w:pStyle w:val="Normal"/>
              <w:bidi w:val="0"/>
              <w:jc w:val="left"/>
              <w:rPr/>
            </w:pPr>
            <w:r>
              <w:rPr/>
            </w:r>
          </w:p>
        </w:tc>
        <w:tc>
          <w:tcPr>
            <w:tcW w:w="157" w:type="dxa"/>
            <w:vMerge w:val="continue"/>
            <w:tcBorders/>
            <w:vAlign w:val="center"/>
          </w:tcPr>
          <w:p>
            <w:pPr>
              <w:pStyle w:val="Normal"/>
              <w:bidi w:val="0"/>
              <w:jc w:val="left"/>
              <w:rPr/>
            </w:pPr>
            <w:r>
              <w:rPr/>
            </w:r>
          </w:p>
        </w:tc>
      </w:tr>
      <w:tr>
        <w:trPr/>
        <w:tc>
          <w:tcPr>
            <w:tcW w:w="155" w:type="dxa"/>
            <w:vMerge w:val="restart"/>
            <w:tcBorders/>
            <w:vAlign w:val="center"/>
          </w:tcPr>
          <w:p>
            <w:pPr>
              <w:pStyle w:val="TableContents"/>
              <w:bidi w:val="0"/>
              <w:spacing w:before="0" w:after="0"/>
              <w:jc w:val="left"/>
              <w:rPr/>
            </w:pPr>
            <w:r>
              <w:rPr/>
              <w:t> </w:t>
            </w:r>
          </w:p>
        </w:tc>
        <w:tc>
          <w:tcPr>
            <w:tcW w:w="1819"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Performance-based Bonus</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short-term priorities and business results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Target award based on a percentage of salary; limited to 100% of base salary for senior executives (except for the CEO whose percentages range from 200% to 350% of salary) </w:t>
            </w:r>
          </w:p>
        </w:tc>
        <w:tc>
          <w:tcPr>
            <w:tcW w:w="157"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819"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Recognize and reward corporate, and business, and individual performance, including for awards for material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Incentivizes and rewards the achievement of predetermined corporate and business short-term objectives that are aligned with our strategic plan as well as individual performance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9893" w:type="dxa"/>
            <w:gridSpan w:val="19"/>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Equity Award Compensation</w:t>
            </w:r>
            <w:r>
              <w:rPr>
                <w:rFonts w:ascii="Times New Roman;Times;serif" w:hAnsi="Times New Roman;Times;serif"/>
                <w:b/>
                <w:color w:val="000000"/>
                <w:sz w:val="20"/>
              </w:rPr>
              <w:t xml:space="preserve"> </w:t>
            </w:r>
          </w:p>
        </w:tc>
        <w:tc>
          <w:tcPr>
            <w:tcW w:w="157"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1819"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EBITDA PSU Awards</w:t>
            </w:r>
          </w:p>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(as described below)</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0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Generally, 3 years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23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issued at-risk grants to the NEOs in July 2023 and April 2024 that included both time and performance-based vesting terms and conditions </w:t>
            </w:r>
          </w:p>
        </w:tc>
        <w:tc>
          <w:tcPr>
            <w:tcW w:w="157" w:type="dxa"/>
            <w:vMerge w:val="restart"/>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819"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 risk equity awards based on achievement of Company’s financial performance and benefits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0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3237" w:type="dxa"/>
            <w:vMerge w:val="continue"/>
            <w:tcBorders/>
            <w:vAlign w:val="center"/>
          </w:tcPr>
          <w:p>
            <w:pPr>
              <w:pStyle w:val="Normal"/>
              <w:bidi w:val="0"/>
              <w:jc w:val="left"/>
              <w:rPr/>
            </w:pPr>
            <w:r>
              <w:rPr/>
            </w:r>
          </w:p>
        </w:tc>
        <w:tc>
          <w:tcPr>
            <w:tcW w:w="157" w:type="dxa"/>
            <w:vMerge w:val="continue"/>
            <w:tcBorders/>
            <w:vAlign w:val="center"/>
          </w:tcPr>
          <w:p>
            <w:pPr>
              <w:pStyle w:val="Normal"/>
              <w:bidi w:val="0"/>
              <w:jc w:val="left"/>
              <w:rPr/>
            </w:pPr>
            <w:r>
              <w:rPr/>
            </w:r>
          </w:p>
        </w:tc>
      </w:tr>
      <w:tr>
        <w:trPr/>
        <w:tc>
          <w:tcPr>
            <w:tcW w:w="155" w:type="dxa"/>
            <w:vMerge w:val="restart"/>
            <w:tcBorders/>
            <w:vAlign w:val="center"/>
          </w:tcPr>
          <w:p>
            <w:pPr>
              <w:pStyle w:val="TableContents"/>
              <w:bidi w:val="0"/>
              <w:spacing w:before="0" w:after="0"/>
              <w:jc w:val="left"/>
              <w:rPr/>
            </w:pPr>
            <w:r>
              <w:rPr/>
              <w:t> </w:t>
            </w:r>
          </w:p>
        </w:tc>
        <w:tc>
          <w:tcPr>
            <w:tcW w:w="1819"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Annual Long-term incentives (LTIP RSUs)</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Reinforce and drive long-term stockholder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years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237"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Annual grants of LTIP RSUs: The grant value is based on applicable market-driven metrics level and percentage of salary with 50% of the shares vesting one year from the vesting commencement date and the remaining 50% of the shares vesting on the second anniversary of the grant date. </w:t>
            </w:r>
          </w:p>
        </w:tc>
        <w:tc>
          <w:tcPr>
            <w:tcW w:w="157" w:type="dxa"/>
            <w:vMerge w:val="restart"/>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819"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Retention of key employees during applicable performance periods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3237" w:type="dxa"/>
            <w:vMerge w:val="continue"/>
            <w:tcBorders/>
            <w:vAlign w:val="center"/>
          </w:tcPr>
          <w:p>
            <w:pPr>
              <w:pStyle w:val="Normal"/>
              <w:bidi w:val="0"/>
              <w:jc w:val="left"/>
              <w:rPr/>
            </w:pPr>
            <w:r>
              <w:rPr/>
            </w:r>
          </w:p>
        </w:tc>
        <w:tc>
          <w:tcPr>
            <w:tcW w:w="157" w:type="dxa"/>
            <w:vMerge w:val="continue"/>
            <w:tcBorders/>
            <w:vAlign w:val="center"/>
          </w:tcPr>
          <w:p>
            <w:pPr>
              <w:pStyle w:val="Normal"/>
              <w:bidi w:val="0"/>
              <w:jc w:val="left"/>
              <w:rPr/>
            </w:pPr>
            <w:r>
              <w:rPr/>
            </w:r>
          </w:p>
        </w:tc>
      </w:tr>
      <w:tr>
        <w:trPr/>
        <w:tc>
          <w:tcPr>
            <w:tcW w:w="155"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3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p>
      <w:pPr>
        <w:pStyle w:val="TextBody"/>
        <w:bidi w:val="0"/>
        <w:spacing w:before="200" w:after="283"/>
        <w:ind w:left="400" w:right="0" w:hanging="0"/>
        <w:jc w:val="left"/>
        <w:rPr>
          <w:rFonts w:ascii="Arial" w:hAnsi="Arial"/>
          <w:b/>
          <w:i/>
          <w:color w:val="000000"/>
          <w:sz w:val="20"/>
        </w:rPr>
      </w:pPr>
      <w:r>
        <w:rPr>
          <w:rFonts w:ascii="Arial" w:hAnsi="Arial"/>
          <w:b/>
          <w:i/>
          <w:color w:val="000000"/>
          <w:sz w:val="20"/>
        </w:rPr>
        <w:t xml:space="preserve">Shareholder Engagement in Response to Say-on-Pay Vote: Improvements to Compensation Practices and Governance Initiatives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Company’s most recent “say-on-pay” advisory vote under the Company’s 2023 Proxy Statement, approximately 75% of the shareholder votes cast were voted in favor of our executive compensation program. In response to these disappointing voting results, management and the Board engaged in shareholder outreach and solicitation of feedback, including through multiple “Ask Me Anything” (AMA) forums on Reddit. Following these discussions, and to ensure we understood shareholder concerns, management and the Board undertook the following initiatives to improve our compensation practices and corporate governance.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First, the Compensation Committee engaged Korn Ferry as an independent consultant to provide an extensive competitive analysis and to advise it on new potential compensation arrangements that were implemented in July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42" w:name="ny20034373x2_def14a_110-comp_pg7"/>
      <w:bookmarkEnd w:id="42"/>
      <w:r>
        <w:rPr>
          <w:rFonts w:ascii="Times New Roman;Times;serif" w:hAnsi="Times New Roman;Times;serif"/>
          <w:color w:val="000000"/>
          <w:sz w:val="20"/>
        </w:rPr>
        <w:t xml:space="preserve">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Third, the Board adopted and implemented a “clawback policy” in 2023, pursuant to which the Company will be entitled to recover erroneously awarded incentive-based compensation from its executive officers in the event the Company is required to prepare an accounting restatement to correct previously-issued financial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Large Accelerated Filer, the Nasdaq Global Select Market requires the Company to periodically hold a nonbinding advisory vote on our NEO compensation. Pursuant to an advisory vote at the Fiscal Year 2021 annual meeting, the Company adopted a frequency of every two years for solicitation of an advisory vote on our NEO compensation. Accordingly, the most recent vote occurred at the 2023 annual meeting, and the next such vote is expected to be solicited at our 2025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Risk Management Considerations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the following features of performance-based bonus and equity programs appropriately incentivize the creation of long-term stockholder value while discouraging behavior that could lead to excessive risk: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Financial Performance Measures.</w:t>
            </w:r>
            <w:r>
              <w:rPr>
                <w:rFonts w:ascii="Times New Roman;Times;serif" w:hAnsi="Times New Roman;Times;serif"/>
                <w:color w:val="000000"/>
                <w:sz w:val="20"/>
              </w:rPr>
              <w:t xml:space="preserve"> The financial metrics used to determine the amount of an executive’s bonus are measures the Committee believes drive long-term stockholder value. The ranges set for these measures are intended to reward success without encouraging excessive risk-taking.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No Hedging or Pledging</w:t>
            </w:r>
            <w:r>
              <w:rPr>
                <w:rFonts w:ascii="Times New Roman;Times;serif" w:hAnsi="Times New Roman;Times;serif"/>
                <w:color w:val="000000"/>
                <w:sz w:val="20"/>
              </w:rPr>
              <w:t xml:space="preserve">.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Insider Trading Policies and Procedures</w:t>
            </w:r>
            <w:r>
              <w:rPr>
                <w:rFonts w:ascii="Times New Roman;Times;serif" w:hAnsi="Times New Roman;Times;serif"/>
                <w:color w:val="000000"/>
                <w:sz w:val="20"/>
              </w:rPr>
              <w:t xml:space="preserve">. The Board has adopted an insider trading and trading window policy (the “Insider Trading Policy”)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(“Rule 10b5-1”). In addition, certain individuals, including directors and officers, are required to receive prior approval from the Chairman and pre-clearance from the Chief Financial Officer and the Global General Counsel prior to engaging in transactions in the Company's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Clawback Policy</w:t>
            </w:r>
            <w:r>
              <w:rPr>
                <w:rFonts w:ascii="Times New Roman;Times;serif" w:hAnsi="Times New Roman;Times;serif"/>
                <w:color w:val="000000"/>
                <w:sz w:val="20"/>
              </w:rPr>
              <w:t>. Pursuant to the terms of the Company’s 2018 Amended and Restated Tilray Brands, Inc. Equity Incentive Plan (the “</w:t>
            </w:r>
            <w:r>
              <w:rPr>
                <w:rFonts w:ascii="Times New Roman;Times;serif" w:hAnsi="Times New Roman;Times;serif"/>
                <w:b/>
                <w:i/>
                <w:color w:val="000000"/>
                <w:sz w:val="20"/>
              </w:rPr>
              <w:t>2018 Equity Plan</w:t>
            </w:r>
            <w:r>
              <w:rPr>
                <w:rFonts w:ascii="Times New Roman;Times;serif" w:hAnsi="Times New Roman;Times;serif"/>
                <w:color w:val="000000"/>
                <w:sz w:val="20"/>
              </w:rPr>
              <w:t xml:space="preserve">”),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Times;serif" w:hAnsi="Times New Roman;Times;serif"/>
          <w:color w:val="000000"/>
          <w:sz w:val="20"/>
        </w:rPr>
      </w:pPr>
      <w:bookmarkStart w:id="43" w:name="ny20034373x2_def14a_110-comp_pg8"/>
      <w:bookmarkEnd w:id="43"/>
      <w:r>
        <w:rPr>
          <w:rFonts w:ascii="Times New Roman;Times;serif" w:hAnsi="Times New Roman;Times;serif"/>
          <w:color w:val="000000"/>
          <w:sz w:val="20"/>
        </w:rPr>
        <w:t>On September 13, 2023, the Board adopted a Policy for Recovery of Erroneously Awarded Incentive Compensation (the “</w:t>
      </w:r>
      <w:r>
        <w:rPr>
          <w:rFonts w:ascii="Times New Roman;Times;serif" w:hAnsi="Times New Roman;Times;serif"/>
          <w:b/>
          <w:i/>
          <w:color w:val="000000"/>
          <w:sz w:val="20"/>
        </w:rPr>
        <w:t>Clawback Policy</w:t>
      </w:r>
      <w:r>
        <w:rPr>
          <w:rFonts w:ascii="Times New Roman;Times;serif" w:hAnsi="Times New Roman;Times;serif"/>
          <w:color w:val="000000"/>
          <w:sz w:val="20"/>
        </w:rPr>
        <w:t>”) in accordance with the recommendation of the Compensation Committee of the Board (the “</w:t>
      </w:r>
      <w:r>
        <w:rPr>
          <w:rFonts w:ascii="Times New Roman;Times;serif" w:hAnsi="Times New Roman;Times;serif"/>
          <w:b/>
          <w:i/>
          <w:color w:val="000000"/>
          <w:sz w:val="20"/>
        </w:rPr>
        <w:t>Compensation Committee</w:t>
      </w:r>
      <w:r>
        <w:rPr>
          <w:rFonts w:ascii="Times New Roman;Times;serif" w:hAnsi="Times New Roman;Times;serif"/>
          <w:color w:val="000000"/>
          <w:sz w:val="20"/>
        </w:rPr>
        <w:t>”). The Clawback Policy became effective September 13, 2023, will be administered by the Compensation Committee, and will apply to current and former executive officers of the Company as defined in Rule 10D 1(d) (each an “</w:t>
      </w:r>
      <w:r>
        <w:rPr>
          <w:rFonts w:ascii="Times New Roman;Times;serif" w:hAnsi="Times New Roman;Times;serif"/>
          <w:b/>
          <w:i/>
          <w:color w:val="000000"/>
          <w:sz w:val="20"/>
        </w:rPr>
        <w:t>Affected Officer</w:t>
      </w:r>
      <w:r>
        <w:rPr>
          <w:rFonts w:ascii="Times New Roman;Times;serif" w:hAnsi="Times New Roman;Times;serif"/>
          <w:color w:val="000000"/>
          <w:sz w:val="20"/>
        </w:rPr>
        <w:t>”) under the Securities Exchange Act of 1934, as amended (“</w:t>
      </w:r>
      <w:r>
        <w:rPr>
          <w:rFonts w:ascii="Times New Roman;Times;serif" w:hAnsi="Times New Roman;Times;serif"/>
          <w:b/>
          <w:i/>
          <w:color w:val="000000"/>
          <w:sz w:val="20"/>
        </w:rPr>
        <w:t>Exchange Act</w:t>
      </w:r>
      <w:r>
        <w:rPr>
          <w:rFonts w:ascii="Times New Roman;Times;serif" w:hAnsi="Times New Roman;Times;serif"/>
          <w:color w:val="000000"/>
          <w:sz w:val="20"/>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Times;serif" w:hAnsi="Times New Roman;Times;serif"/>
          <w:b/>
          <w:i/>
          <w:color w:val="000000"/>
          <w:sz w:val="20"/>
        </w:rPr>
        <w:t>Restatement</w:t>
      </w:r>
      <w:r>
        <w:rPr>
          <w:rFonts w:ascii="Times New Roman;Times;serif" w:hAnsi="Times New Roman;Times;serif"/>
          <w:color w:val="000000"/>
          <w:sz w:val="20"/>
        </w:rPr>
        <w:t xml:space="preserve">”), the Company will recover erroneously awarded incentive-based compensation from its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Total Cash Compensation of NEOs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Overview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Adjustments in total cash compensation targets may then be made based on factors such as an executive’s duties and responsibilities and his or her position in the Company, an executive’s individual contributions, as well as management’s financial forecasts for the upcoming year. </w:t>
      </w:r>
    </w:p>
    <w:p>
      <w:pPr>
        <w:pStyle w:val="TextBody"/>
        <w:bidi w:val="0"/>
        <w:spacing w:before="230" w:after="283"/>
        <w:ind w:left="400" w:right="0" w:hanging="0"/>
        <w:jc w:val="left"/>
        <w:rPr>
          <w:rFonts w:ascii="Arial" w:hAnsi="Arial"/>
          <w:i/>
          <w:color w:val="000000"/>
          <w:sz w:val="20"/>
        </w:rPr>
      </w:pPr>
      <w:r>
        <w:rPr>
          <w:rFonts w:ascii="Arial" w:hAnsi="Arial"/>
          <w:i/>
          <w:color w:val="000000"/>
          <w:sz w:val="20"/>
        </w:rPr>
        <w:t xml:space="preserve">Fiscal Year 2024 Base Salary and Total Cash Compensation Determinations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but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 </w:t>
      </w:r>
    </w:p>
    <w:p>
      <w:pPr>
        <w:pStyle w:val="TextBody"/>
        <w:bidi w:val="0"/>
        <w:spacing w:lineRule="atLeast" w:line="230"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the base salary levels for each of Mr. Simon, Mr. Merton and Ms. Faltischek in connection with their continued employment, the Compensation Committee considered the significant increase in responsibility of these executives post-business combination with Aphria Inc., their respective relevant experience and achievements and the level of compensation of our peer group companies and other survey data and individual negotiations with each executive. For each of Mr. Gendel and Mr. Savell, as a new NEO upon joining the Company, their respective base salaries were determined primarily based on market and competitive conditions applicable to their specific position.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for each NEO, the annualized base salary for the 2024 Fiscal Year: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4" w:name="ny20034373x2_def14a_110-comp_pg9"/>
      <w:bookmarkStart w:id="45" w:name="ny20034373x2_def14a_110-comp_pg9"/>
      <w:bookmarkEnd w:id="45"/>
    </w:p>
    <w:tbl>
      <w:tblPr>
        <w:tblW w:w="4245" w:type="dxa"/>
        <w:jc w:val="left"/>
        <w:tblInd w:w="0" w:type="dxa"/>
        <w:tblLayout w:type="fixed"/>
        <w:tblCellMar>
          <w:top w:w="0" w:type="dxa"/>
          <w:left w:w="0" w:type="dxa"/>
          <w:bottom w:w="0" w:type="dxa"/>
          <w:right w:w="0" w:type="dxa"/>
        </w:tblCellMar>
      </w:tblPr>
      <w:tblGrid>
        <w:gridCol w:w="155"/>
        <w:gridCol w:w="1460"/>
        <w:gridCol w:w="140"/>
        <w:gridCol w:w="140"/>
        <w:gridCol w:w="2195"/>
        <w:gridCol w:w="155"/>
      </w:tblGrid>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2024 Base Salary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95" w:type="dxa"/>
            <w:tcBorders/>
            <w:shd w:fill="C7CDE8"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$1,891,760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r>
              <w:rPr>
                <w:rFonts w:ascii="Times New Roman;Times;serif" w:hAnsi="Times New Roman;Times;serif"/>
                <w:color w:val="000000"/>
                <w:position w:val="7"/>
                <w:sz w:val="16"/>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388,304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95" w:type="dxa"/>
            <w:tcBorders/>
            <w:shd w:fill="C7CDE8"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560,000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95" w:type="dxa"/>
            <w:tcBorders/>
            <w:shd w:fill="C7CDE8" w:val="clear"/>
            <w:vAlign w:val="center"/>
          </w:tcPr>
          <w:p>
            <w:pPr>
              <w:pStyle w:val="TableContents"/>
              <w:bidi w:val="0"/>
              <w:spacing w:before="0" w:after="283"/>
              <w:ind w:left="5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525,000</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9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salary of Mr. Merton is converted into USD with an exchange rate on May 31, 2024 of $0.7326 (USD) to $1.0000 (CAD). The annual salary of Mr. Merton is $530,000 (CAD).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Annual Performance Bonus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offer our NEOs the opportunity to earn annual cash bonuses that are intended to compensate them for achieving short-term company and individual performance goals. Our Compensation Committee establishes the target bonuses of our NEOs, which are evaluated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compensation program is designed to reward performance relative to corporate financial performance criteria and individual performance. Specifically, the Company’s senior executives are eligible to 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a pre-determined weighting when comparing overall performance against the various individual objectives, and no single objective is material in determining individual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Fiscal Year 2024, management partially achieved the Company’s financial and operating performance targets. Specifically, management: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Successfully identified, completed and integrated three (3) strategic acquisition targets, including HEXO Corp. in Canada (acquisition closed July 2023); eight (8) AB craft beverages in the U.S. (acquisition closed in October 2023); and Truss beverages in Canada (acquisition of controlling interest closed in September 2023 and subsequent sale closed in May 2024). Management effectively consolidated and integrated each of these acquired businesses and exceeded all applicable cost-saving targets and facility optimization goals.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reduction of net leverage ratio at Fiscal Year-end 2024 equal to 1.73, significantly better than the applicable financial target of 2.50 net leverage ratio at Fiscal Year-end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Achieved 26% net revenue growth and net revenues of $789 million for Fiscal Year 2024, as compared to revenue target of $715 million. The applicable financial revenue target was not fully achieved if acquisitions were excluded from the applicable calculation.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Adjusted EBITDA</w:t>
            </w:r>
            <w:r>
              <w:rPr>
                <w:rFonts w:ascii="Times New Roman;Times;serif" w:hAnsi="Times New Roman;Times;serif"/>
                <w:color w:val="000000"/>
                <w:position w:val="7"/>
                <w:sz w:val="16"/>
                <w:sz w:val="20"/>
              </w:rPr>
              <w:t>2</w:t>
            </w:r>
            <w:r>
              <w:rPr>
                <w:rFonts w:ascii="Times New Roman;Times;serif" w:hAnsi="Times New Roman;Times;serif"/>
                <w:color w:val="000000"/>
                <w:sz w:val="20"/>
              </w:rPr>
              <w:t xml:space="preserve"> for Fiscal Year 2024 was equal to $60.5 million, as compared to the adjusted EBITDA target of $65 million and investor guidance of $60–63 million. Therefore, despite improved adjusted EBITDA performance in 2024 as compared to Fiscal Year 2023, and despite achieving revised investor guidance, this performance target was determined not to be fully achieved.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making incentive award determinations, the Committee also considered other impactful initiatives implemented by management, including operational improvements and improved facility utilization levels; expanded distribution opportunities; product innovations and improved production efficiencies; and successful resolution of litigation claims for significantly less than projected amounts. As a result of the Company’s partial achievement of the Company’s financial and operational targets, together with these other significant accomplishments, the Compensation Committee determined to pay annual cash bonus awards in an amount equal to 20-30% of the applicable bonus targets to the NEOs in respect of the Fiscal Year 2024.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2</w:t>
            </w:r>
          </w:p>
        </w:tc>
        <w:tc>
          <w:tcPr>
            <w:tcW w:w="10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Adjusted EBITDA is a non-GAAP financial measure. Please see “Reconciliation of Non-GAAP Financial Measures to GAAP Measures” in our Annual Report on Form 10-K for the fiscal year ended May 31, 2024 for a reconciliation of such non-GAAP Measures to the most directly comparable GAAP financial measures.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6" w:name="ny20034373x2_def14a_110-comp_pg10"/>
      <w:bookmarkStart w:id="47" w:name="ny20034373x2_def14a_110-comp_pg10"/>
      <w:bookmarkEnd w:id="47"/>
    </w:p>
    <w:tbl>
      <w:tblPr>
        <w:tblW w:w="8790" w:type="dxa"/>
        <w:jc w:val="left"/>
        <w:tblInd w:w="0" w:type="dxa"/>
        <w:tblLayout w:type="fixed"/>
        <w:tblCellMar>
          <w:top w:w="0" w:type="dxa"/>
          <w:left w:w="0" w:type="dxa"/>
          <w:bottom w:w="0" w:type="dxa"/>
          <w:right w:w="0" w:type="dxa"/>
        </w:tblCellMar>
      </w:tblPr>
      <w:tblGrid>
        <w:gridCol w:w="155"/>
        <w:gridCol w:w="1460"/>
        <w:gridCol w:w="140"/>
        <w:gridCol w:w="140"/>
        <w:gridCol w:w="2285"/>
        <w:gridCol w:w="140"/>
        <w:gridCol w:w="140"/>
        <w:gridCol w:w="2135"/>
        <w:gridCol w:w="140"/>
        <w:gridCol w:w="140"/>
        <w:gridCol w:w="1760"/>
        <w:gridCol w:w="155"/>
      </w:tblGrid>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Bonus 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Target Amount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Amount ($)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Fiscal Year 2024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8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(up to a maximum of 350%)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3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$3,783,520</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(maximum of $6,621,160)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60"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$1,040,000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$388,304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$77,661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8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3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60"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$120,000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$112,000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8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35"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$525,000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60" w:type="dxa"/>
            <w:tcBorders/>
            <w:shd w:fill="C7CDE8"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$155,000</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28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13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60"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265" w:after="283"/>
        <w:ind w:left="400" w:right="0" w:hanging="0"/>
        <w:jc w:val="left"/>
        <w:rPr>
          <w:rFonts w:ascii="Arial" w:hAnsi="Arial"/>
          <w:i/>
          <w:color w:val="000000"/>
          <w:sz w:val="20"/>
        </w:rPr>
      </w:pPr>
      <w:r>
        <w:rPr>
          <w:rFonts w:ascii="Arial" w:hAnsi="Arial"/>
          <w:i/>
          <w:color w:val="000000"/>
          <w:sz w:val="20"/>
        </w:rPr>
        <w:t xml:space="preserve">Equity Incentive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grants long-term incentive awards to our NEOs in the form of restricted share units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award long-term equity-based compensation with restricted stock units that vest over time so long as the executive remains employed with the Company. Thus, the units are designed both to link executives’ interests with those of our stockholders (as the units’ value is based on the value of Tilray Brands, Inc. Common Stock) and to provide a long-term retention incentive for the vesting period, as they generally have value regardless of share price volatility.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Awards of performance-based restricted share units cover multiple years, with a percentage of the units subject to the award becoming eligible to vest each year based on the Company’s and the individual’s performance during that year relative to performance goals reviewed by the Compensation Committee. Before any performance-based restricted share unit is paid, the Compensation Committee must certify that the performance target(s) were satisfied. The Compensation Committee has discretion to determine the performance target(s) and any other restrictions or other limitations of performance-based restricted share units and may reserve discretion to reduce payments below maximum award limits. Thus, the performance units are designed both to motivate executives to maximize the Company’s performance each year and provide a long-term retention incentive for the period covered by the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determines the size of equity award grants after considering the following factors: </w:t>
      </w:r>
    </w:p>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competitive equity compensation practices for comparable positions identified in the applicable market analysis;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level of responsibility and duties;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comparison to grant levels of other executive officers; </w:t>
            </w:r>
          </w:p>
        </w:tc>
      </w:tr>
    </w:tbl>
    <w:tbl>
      <w:tblPr>
        <w:tblW w:w="2710" w:type="dxa"/>
        <w:jc w:val="left"/>
        <w:tblInd w:w="0" w:type="dxa"/>
        <w:tblLayout w:type="fixed"/>
        <w:tblCellMar>
          <w:top w:w="0" w:type="dxa"/>
          <w:left w:w="0" w:type="dxa"/>
          <w:bottom w:w="0" w:type="dxa"/>
          <w:right w:w="0" w:type="dxa"/>
        </w:tblCellMar>
      </w:tblPr>
      <w:tblGrid>
        <w:gridCol w:w="110"/>
        <w:gridCol w:w="2600"/>
      </w:tblGrid>
      <w:tr>
        <w:trPr/>
        <w:tc>
          <w:tcPr>
            <w:tcW w:w="110"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NEOs’ performance; </w:t>
            </w:r>
          </w:p>
        </w:tc>
      </w:tr>
    </w:tbl>
    <w:tbl>
      <w:tblPr>
        <w:tblW w:w="2365" w:type="dxa"/>
        <w:jc w:val="left"/>
        <w:tblInd w:w="0" w:type="dxa"/>
        <w:tblLayout w:type="fixed"/>
        <w:tblCellMar>
          <w:top w:w="0" w:type="dxa"/>
          <w:left w:w="0" w:type="dxa"/>
          <w:bottom w:w="0" w:type="dxa"/>
          <w:right w:w="0" w:type="dxa"/>
        </w:tblCellMar>
      </w:tblPr>
      <w:tblGrid>
        <w:gridCol w:w="110"/>
        <w:gridCol w:w="2255"/>
      </w:tblGrid>
      <w:tr>
        <w:trPr/>
        <w:tc>
          <w:tcPr>
            <w:tcW w:w="110" w:type="dxa"/>
            <w:tcBorders/>
            <w:vAlign w:val="center"/>
          </w:tcPr>
          <w:p>
            <w:pPr>
              <w:pStyle w:val="TableContents"/>
              <w:bidi w:val="0"/>
              <w:spacing w:before="0" w:after="0"/>
              <w:jc w:val="left"/>
              <w:rPr>
                <w:color w:val="000000"/>
              </w:rPr>
            </w:pPr>
            <w:r>
              <w:rPr>
                <w:color w:val="000000"/>
              </w:rPr>
              <w:t>•</w:t>
            </w:r>
          </w:p>
        </w:tc>
        <w:tc>
          <w:tcPr>
            <w:tcW w:w="2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corporate performance;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total equity compensation costs relative to total expenses;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executive’s prior experience, experience within his or her specific job and breadth of knowledge; and </w:t>
            </w:r>
          </w:p>
        </w:tc>
      </w:tr>
    </w:tbl>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jc w:val="left"/>
              <w:rPr>
                <w:color w:val="000000"/>
              </w:rPr>
            </w:pPr>
            <w:r>
              <w:rPr>
                <w:color w:val="000000"/>
              </w:rPr>
              <w:t>•</w:t>
            </w:r>
          </w:p>
        </w:tc>
        <w:tc>
          <w:tcPr>
            <w:tcW w:w="6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corporate objectives for share-based compensation charges and earnings dilution.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does not take into consideration an executive’s aggregate equity holdings or equity carrying value in determining annual long-term equity incentive awards. </w:t>
      </w:r>
    </w:p>
    <w:p>
      <w:pPr>
        <w:pStyle w:val="TextBody"/>
        <w:bidi w:val="0"/>
        <w:spacing w:before="250" w:after="283"/>
        <w:ind w:left="400" w:right="0" w:hanging="0"/>
        <w:jc w:val="left"/>
        <w:rPr>
          <w:rFonts w:ascii="Arial" w:hAnsi="Arial"/>
          <w:i/>
          <w:color w:val="000000"/>
          <w:sz w:val="20"/>
        </w:rPr>
      </w:pPr>
      <w:r>
        <w:rPr>
          <w:rFonts w:ascii="Arial" w:hAnsi="Arial"/>
          <w:i/>
          <w:color w:val="000000"/>
          <w:sz w:val="20"/>
        </w:rPr>
        <w:t xml:space="preserve">2024 EBITDA PSU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July 2023 and April 2024, the Compensation Committee approved certain terms and conditions of performance-based grants to the NEOs and other key employees under the 2018 Equity Plan (the “</w:t>
      </w:r>
      <w:r>
        <w:rPr>
          <w:rFonts w:ascii="Times New Roman;Times;serif" w:hAnsi="Times New Roman;Times;serif"/>
          <w:b/>
          <w:i/>
          <w:color w:val="000000"/>
          <w:sz w:val="20"/>
        </w:rPr>
        <w:t>2024 EBITDA PSU Awards</w:t>
      </w:r>
      <w:r>
        <w:rPr>
          <w:rFonts w:ascii="Times New Roman;Times;serif" w:hAnsi="Times New Roman;Times;serif"/>
          <w:color w:val="000000"/>
          <w:sz w:val="20"/>
        </w:rPr>
        <w:t xml:space="preser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48" w:name="ny20034373x2_def14a_110-comp_pg11"/>
      <w:bookmarkEnd w:id="48"/>
      <w:r>
        <w:rPr>
          <w:rFonts w:ascii="Times New Roman;Times;serif" w:hAnsi="Times New Roman;Times;serif"/>
          <w:color w:val="000000"/>
          <w:sz w:val="20"/>
        </w:rPr>
        <w:t xml:space="preserve">A portion of the 2024 EBITDA PSU Awards were made in 2023 equal to 50% of these performance-based awards, and represent a contingent right to receive a fixed number of shares of Common Stock upon satisfaction of the underlying performance goals. The remaining 50% of the 2024 EBITDA PSU Awards were made in April 2024 and represent a contingent right to receive a cash payment or its equivalent in shares of Common Stock (as determined by the Compensation Committee). The 2024 EBITDA PSU Awards are subject to all the terms and conditions as set forth in the 2018 Equity Plan and the 2024 EBITDA PSU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percentage of these 2024 EBITDA PSU Awards earned will be based on the Company’s financial performance as measured against target goals for annual and cumulative Adjusted EBITDA (the “</w:t>
      </w:r>
      <w:r>
        <w:rPr>
          <w:rFonts w:ascii="Times New Roman;Times;serif" w:hAnsi="Times New Roman;Times;serif"/>
          <w:b/>
          <w:i/>
          <w:color w:val="000000"/>
          <w:sz w:val="20"/>
        </w:rPr>
        <w:t>Performance Goals</w:t>
      </w:r>
      <w:r>
        <w:rPr>
          <w:rFonts w:ascii="Times New Roman;Times;serif" w:hAnsi="Times New Roman;Times;serif"/>
          <w:color w:val="000000"/>
          <w:sz w:val="20"/>
        </w:rPr>
        <w:t>”), as determined by the Compensation Committee for the period beginning on June 1, 2023, and ending on May 31, 2026 (the “</w:t>
      </w:r>
      <w:r>
        <w:rPr>
          <w:rFonts w:ascii="Times New Roman;Times;serif" w:hAnsi="Times New Roman;Times;serif"/>
          <w:b/>
          <w:i/>
          <w:color w:val="000000"/>
          <w:sz w:val="20"/>
        </w:rPr>
        <w:t>Performance Period</w:t>
      </w:r>
      <w:r>
        <w:rPr>
          <w:rFonts w:ascii="Times New Roman;Times;serif" w:hAnsi="Times New Roman;Times;serif"/>
          <w:color w:val="000000"/>
          <w:sz w:val="20"/>
        </w:rPr>
        <w:t xml:space="preserve">”). The annual goals will be determined at the start of each of the three (3) fiscal years during the three-year Performance Period and will be subject to cumulative goals. The 2024 EBITDA PSU Awards will vest as of the end of the Performance Period (May 31, 2026) subject to the NEO’s continuous service. However, the awards will not settle and payout until the percentage of the 2024 EBITDA PSU Awards earned is determined by the Compensation Committee in July 2026 based on satisfaction of the cumulative Performance Goals. The NEO may earn between 0% and 100% of the target award value based on the Company’s achievement of the Performance Goals.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NEO’s Continuous Service terminates for any reason other than: (i) without Cause (as defined in the 2018 Plan) within 3 months of the end of the Performance Period; (ii) death; (iii) Disability (as defined in the 2018 Plan); or (iv) in connection with a Change in Control (as defined in the 2018 Plan), unless the Committee determines otherwise, the 2024 EBITDA PSU Award shall be forfeited and canceled immediately without consideration. If the executive officer’s Continuous Service terminates without Cause within 3 months before the end of the Performance Period, a pro rata portion of the 2024 EBITDA PSU Awards (calculated based on the days elapsed in a Performance Period prior to the termination of Continuous Service divided by the total days in the Performance Period) shall vest and become payable. If the executive officer’s Continuous Service terminates due to death or Disability prior to the end of the Performance Period, the 2024 EBITDA PSU Awards will vest at 100% of the target award value. If the executive officer’s Continuous Service is terminated without Cause following a Change in Control, the 2024 EBITDA PSU Awards will vest at 100% of the target award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 Mr. Merton, Ms. Faltischek, Mr. Savell, and Mr. Gendel were granted 2024 EBITDA PSU Awards in the following amounts, respectively. </w:t>
      </w:r>
    </w:p>
    <w:tbl>
      <w:tblPr>
        <w:tblW w:w="4830" w:type="dxa"/>
        <w:jc w:val="left"/>
        <w:tblInd w:w="0" w:type="dxa"/>
        <w:tblLayout w:type="fixed"/>
        <w:tblCellMar>
          <w:top w:w="0" w:type="dxa"/>
          <w:left w:w="0" w:type="dxa"/>
          <w:bottom w:w="0" w:type="dxa"/>
          <w:right w:w="0" w:type="dxa"/>
        </w:tblCellMar>
      </w:tblPr>
      <w:tblGrid>
        <w:gridCol w:w="155"/>
        <w:gridCol w:w="1460"/>
        <w:gridCol w:w="140"/>
        <w:gridCol w:w="140"/>
        <w:gridCol w:w="2780"/>
        <w:gridCol w:w="155"/>
      </w:tblGrid>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Value of PSUs assuming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Achievement (100%)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D.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780" w:type="dxa"/>
            <w:tcBorders/>
            <w:shd w:fill="C7CDE8" w:val="clear"/>
            <w:vAlign w:val="center"/>
          </w:tcPr>
          <w:p>
            <w:pPr>
              <w:pStyle w:val="TableContents"/>
              <w:bidi w:val="0"/>
              <w:spacing w:before="0" w:after="283"/>
              <w:ind w:left="82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$16,995,828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8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2,386,684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780" w:type="dxa"/>
            <w:tcBorders/>
            <w:shd w:fill="C7CDE8" w:val="clear"/>
            <w:vAlign w:val="center"/>
          </w:tcPr>
          <w:p>
            <w:pPr>
              <w:pStyle w:val="TableContents"/>
              <w:bidi w:val="0"/>
              <w:spacing w:before="0" w:after="283"/>
              <w:ind w:left="8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2,420,980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283"/>
              <w:ind w:left="8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1,734,504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780" w:type="dxa"/>
            <w:tcBorders/>
            <w:shd w:fill="C7CDE8" w:val="clear"/>
            <w:vAlign w:val="center"/>
          </w:tcPr>
          <w:p>
            <w:pPr>
              <w:pStyle w:val="TableContents"/>
              <w:bidi w:val="0"/>
              <w:spacing w:before="0" w:after="283"/>
              <w:ind w:left="82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2,102,824</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780"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400" w:right="0" w:hanging="0"/>
        <w:jc w:val="left"/>
        <w:rPr>
          <w:rFonts w:ascii="Arial" w:hAnsi="Arial"/>
          <w:i/>
          <w:color w:val="000000"/>
          <w:sz w:val="20"/>
        </w:rPr>
      </w:pPr>
      <w:r>
        <w:rPr>
          <w:rFonts w:ascii="Arial" w:hAnsi="Arial"/>
          <w:i/>
          <w:color w:val="000000"/>
          <w:sz w:val="20"/>
        </w:rPr>
        <w:t xml:space="preserve">Annual LTIP RSU Grants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2024 EBITDA PSU Awards, the Compensation Committee awarded annual LTIP RSU grants to most of the Tilray senior executive officers in July 2023. These LTIP RSU awards, as well as new hire and annual RSU awards, vest in tranches over two years with 50% of the shares subject to the awards generally vesting one year from the vesting commencement date and the remaining 50% of shares vesting on the second anniversary of the vesting commencement date. Restricted stock units provide long-term incentive compensation that has greater retention value as compared to stock options in a flat or down market while minimizing earnings dilution.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49" w:name="ny20034373x2_def14a_110-comp_pg12"/>
      <w:bookmarkStart w:id="50" w:name="ny20034373x2_def14a_110-comp_pg12"/>
      <w:bookmarkEnd w:id="50"/>
    </w:p>
    <w:tbl>
      <w:tblPr>
        <w:tblW w:w="6135" w:type="dxa"/>
        <w:jc w:val="left"/>
        <w:tblInd w:w="0" w:type="dxa"/>
        <w:tblLayout w:type="fixed"/>
        <w:tblCellMar>
          <w:top w:w="0" w:type="dxa"/>
          <w:left w:w="0" w:type="dxa"/>
          <w:bottom w:w="0" w:type="dxa"/>
          <w:right w:w="0" w:type="dxa"/>
        </w:tblCellMar>
      </w:tblPr>
      <w:tblGrid>
        <w:gridCol w:w="155"/>
        <w:gridCol w:w="1460"/>
        <w:gridCol w:w="140"/>
        <w:gridCol w:w="140"/>
        <w:gridCol w:w="1835"/>
        <w:gridCol w:w="140"/>
        <w:gridCol w:w="140"/>
        <w:gridCol w:w="1970"/>
        <w:gridCol w:w="155"/>
      </w:tblGrid>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Annual LTIP 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LTIP RSU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Base Salary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35" w:type="dxa"/>
            <w:tcBorders/>
            <w:shd w:fill="C7CDE8" w:val="clear"/>
            <w:vAlign w:val="center"/>
          </w:tcPr>
          <w:p>
            <w:pPr>
              <w:pStyle w:val="TableContents"/>
              <w:bidi w:val="0"/>
              <w:spacing w:before="0" w:after="283"/>
              <w:ind w:left="117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2,356,218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70" w:type="dxa"/>
            <w:tcBorders/>
            <w:shd w:fill="C7CDE8" w:val="clear"/>
            <w:vAlign w:val="center"/>
          </w:tcPr>
          <w:p>
            <w:pPr>
              <w:pStyle w:val="TableContents"/>
              <w:bidi w:val="0"/>
              <w:spacing w:before="0" w:after="283"/>
              <w:ind w:left="1386" w:right="0" w:hanging="0"/>
              <w:jc w:val="left"/>
              <w:rPr>
                <w:rFonts w:ascii="Times New Roman;Times;serif" w:hAnsi="Times New Roman;Times;serif"/>
                <w:color w:val="000000"/>
                <w:sz w:val="20"/>
              </w:rPr>
            </w:pPr>
            <w:r>
              <w:rPr>
                <w:rFonts w:ascii="Times New Roman;Times;serif" w:hAnsi="Times New Roman;Times;serif"/>
                <w:color w:val="000000"/>
                <w:sz w:val="20"/>
              </w:rPr>
              <w:t>250%</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1173" w:right="0" w:hanging="0"/>
              <w:jc w:val="left"/>
              <w:rPr>
                <w:rFonts w:ascii="Times New Roman;Times;serif" w:hAnsi="Times New Roman;Times;serif"/>
                <w:color w:val="000000"/>
                <w:sz w:val="20"/>
              </w:rPr>
            </w:pPr>
            <w:r>
              <w:rPr>
                <w:rFonts w:ascii="Times New Roman;Times;serif" w:hAnsi="Times New Roman;Times;serif"/>
                <w:color w:val="000000"/>
                <w:sz w:val="20"/>
              </w:rPr>
              <w:t>348,954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13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35" w:type="dxa"/>
            <w:tcBorders/>
            <w:shd w:fill="C7CDE8" w:val="clear"/>
            <w:vAlign w:val="center"/>
          </w:tcPr>
          <w:p>
            <w:pPr>
              <w:pStyle w:val="TableContents"/>
              <w:bidi w:val="0"/>
              <w:spacing w:before="0" w:after="283"/>
              <w:ind w:left="1173" w:right="0" w:hanging="0"/>
              <w:jc w:val="left"/>
              <w:rPr>
                <w:rFonts w:ascii="Times New Roman;Times;serif" w:hAnsi="Times New Roman;Times;serif"/>
                <w:color w:val="000000"/>
                <w:sz w:val="20"/>
              </w:rPr>
            </w:pPr>
            <w:r>
              <w:rPr>
                <w:rFonts w:ascii="Times New Roman;Times;serif" w:hAnsi="Times New Roman;Times;serif"/>
                <w:color w:val="000000"/>
                <w:sz w:val="20"/>
              </w:rPr>
              <w:t>498,705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70" w:type="dxa"/>
            <w:tcBorders/>
            <w:shd w:fill="C7CDE8" w:val="clear"/>
            <w:vAlign w:val="center"/>
          </w:tcPr>
          <w:p>
            <w:pPr>
              <w:pStyle w:val="TableContents"/>
              <w:bidi w:val="0"/>
              <w:spacing w:before="0" w:after="283"/>
              <w:ind w:left="13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tcBorders/>
            <w:vAlign w:val="center"/>
          </w:tcPr>
          <w:p>
            <w:pPr>
              <w:pStyle w:val="TableContents"/>
              <w:bidi w:val="0"/>
              <w:spacing w:before="0" w:after="283"/>
              <w:ind w:left="1173" w:right="0" w:hanging="0"/>
              <w:jc w:val="left"/>
              <w:rPr>
                <w:rFonts w:ascii="Times New Roman;Times;serif" w:hAnsi="Times New Roman;Times;serif"/>
                <w:color w:val="000000"/>
                <w:sz w:val="20"/>
              </w:rPr>
            </w:pPr>
            <w:r>
              <w:rPr>
                <w:rFonts w:ascii="Times New Roman;Times;serif" w:hAnsi="Times New Roman;Times;serif"/>
                <w:color w:val="000000"/>
                <w:sz w:val="20"/>
              </w:rPr>
              <w:t>462,435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13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35" w:type="dxa"/>
            <w:tcBorders/>
            <w:shd w:fill="C7CDE8" w:val="clear"/>
            <w:vAlign w:val="center"/>
          </w:tcPr>
          <w:p>
            <w:pPr>
              <w:pStyle w:val="TableContents"/>
              <w:bidi w:val="0"/>
              <w:spacing w:before="0" w:after="283"/>
              <w:ind w:left="1173" w:right="0" w:hanging="0"/>
              <w:jc w:val="left"/>
              <w:rPr>
                <w:rFonts w:ascii="Times New Roman;Times;serif" w:hAnsi="Times New Roman;Times;serif"/>
                <w:color w:val="000000"/>
                <w:sz w:val="20"/>
              </w:rPr>
            </w:pPr>
            <w:r>
              <w:rPr>
                <w:rFonts w:ascii="Times New Roman;Times;serif" w:hAnsi="Times New Roman;Times;serif"/>
                <w:color w:val="000000"/>
                <w:sz w:val="20"/>
              </w:rPr>
              <w:t>453,368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70" w:type="dxa"/>
            <w:tcBorders/>
            <w:shd w:fill="C7CDE8" w:val="clear"/>
            <w:vAlign w:val="center"/>
          </w:tcPr>
          <w:p>
            <w:pPr>
              <w:pStyle w:val="TableContents"/>
              <w:bidi w:val="0"/>
              <w:spacing w:before="0" w:after="283"/>
              <w:ind w:left="1386"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83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970"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265" w:after="283"/>
        <w:ind w:left="0" w:right="0" w:hanging="0"/>
        <w:jc w:val="left"/>
        <w:rPr>
          <w:rFonts w:ascii="Arial" w:hAnsi="Arial"/>
          <w:b/>
          <w:color w:val="00489A"/>
          <w:sz w:val="20"/>
        </w:rPr>
      </w:pPr>
      <w:r>
        <w:rPr>
          <w:rFonts w:ascii="Arial" w:hAnsi="Arial"/>
          <w:b/>
          <w:color w:val="00489A"/>
          <w:sz w:val="20"/>
        </w:rPr>
        <w:t xml:space="preserve">Fiscal Year 2024 Compensation Awards Following Closing of Acquisition HEXO Corp.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annual bonus payments for partial achievement of financial performance targets in respect of Fiscal Year 2024, our NEOs received transaction bonus payments in August 2023 in recognition of their successful efforts in structuring and completing the acquisition of HEXO Corp., which closed in June 2023. This acquisition resulted in meaningful financial and operational benefits to Tilray. These HEXO transaction bonus payments are disclosed in the </w:t>
      </w:r>
      <w:r>
        <w:rPr>
          <w:rFonts w:ascii="Times New Roman;Times;serif" w:hAnsi="Times New Roman;Times;serif"/>
          <w:b/>
          <w:i/>
          <w:color w:val="000000"/>
          <w:sz w:val="20"/>
        </w:rPr>
        <w:t>Summary Compensation Table</w:t>
      </w:r>
      <w:r>
        <w:rPr>
          <w:rFonts w:ascii="Times New Roman;Times;serif" w:hAnsi="Times New Roman;Times;serif"/>
          <w:color w:val="000000"/>
          <w:sz w:val="20"/>
        </w:rPr>
        <w:t xml:space="preserve"> in respect of Fiscal Year 2024.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Practices Related to the Grant of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the Company’s practices, the approval of long-term equity incentive compensation for the Company’s regular annual equity awards (including stock options and RSU and PSU grants to our NEOs) is typically made on or about July 30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each year, after the filing of the company’s Annual Report on Form 10-K. Neither the Board nor the Compensation Committee take into account material non-public information when determining the timing or terms of equity awards, nor do we time disclosure of material non-public information for the purpose of affecting the value of 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Fiscal Year 2024,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Other Compensation and Benefits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Severance and Change of Control Benefits</w:t>
      </w:r>
      <w:r>
        <w:rPr>
          <w:rFonts w:ascii="Times New Roman;Times;serif" w:hAnsi="Times New Roman;Times;serif"/>
          <w:i w:val="false"/>
          <w:caps w:val="false"/>
          <w:smallCaps w:val="false"/>
          <w:color w:val="000000"/>
          <w:sz w:val="20"/>
        </w:rPr>
        <w:t xml:space="preserve">. Our NEOs are entitled to certain severance and change of control 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at an executive level at our peer companies.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Other Benefits</w:t>
      </w:r>
      <w:r>
        <w:rPr>
          <w:rFonts w:ascii="Times New Roman;Times;serif" w:hAnsi="Times New Roman;Times;serif"/>
          <w:i w:val="false"/>
          <w:caps w:val="false"/>
          <w:smallCaps w:val="false"/>
          <w:color w:val="000000"/>
          <w:sz w:val="20"/>
        </w:rPr>
        <w:t xml:space="preserve">.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Stock Ownership Guidelines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stock ownership guidelines require that each named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stockholders. To achieve this, the Compensation Committee has recommended, and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51" w:name="ny20034373x2_def14a_110-comp_pg13"/>
      <w:bookmarkEnd w:id="51"/>
      <w:r>
        <w:rPr>
          <w:rFonts w:ascii="Times New Roman;Times;serif" w:hAnsi="Times New Roman;Times;serif"/>
          <w:color w:val="000000"/>
          <w:sz w:val="20"/>
        </w:rPr>
        <w:t xml:space="preserve">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3× base salary </w:t>
            </w:r>
          </w:p>
        </w:tc>
      </w:tr>
    </w:tbl>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Independent Directors 2× base annual cash retainer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1× base salary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Officers 0.5× base salary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Tax and Accounting Considerations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Section 280G of the Internal Revenue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280G of the Code disallows a tax deduction with respect to excess parachute payments to certain executives of companies that undergo a change in control. In addition, Section 4999 of the Code imposes a 20% penalty on the individual receiving the excess payment.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 </w:t>
      </w:r>
    </w:p>
    <w:p>
      <w:pPr>
        <w:pStyle w:val="TextBody"/>
        <w:bidi w:val="0"/>
        <w:spacing w:before="240" w:after="283"/>
        <w:ind w:left="400" w:right="0" w:hanging="0"/>
        <w:jc w:val="left"/>
        <w:rPr>
          <w:rFonts w:ascii="Arial" w:hAnsi="Arial"/>
          <w:i/>
          <w:color w:val="000000"/>
          <w:sz w:val="20"/>
        </w:rPr>
      </w:pPr>
      <w:r>
        <w:rPr>
          <w:rFonts w:ascii="Arial" w:hAnsi="Arial"/>
          <w:i/>
          <w:color w:val="000000"/>
          <w:sz w:val="20"/>
        </w:rPr>
        <w:t xml:space="preserve">Accounting Standards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Role of NEOs in Compensation Decisions; Input from Senior Management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52" w:name="ny20034373x2_def14a_110-comp_pg14"/>
      <w:bookmarkEnd w:id="52"/>
      <w:r>
        <w:rPr>
          <w:rFonts w:ascii="Times New Roman;Times;serif" w:hAnsi="Times New Roman;Times;serif"/>
          <w:color w:val="000000"/>
          <w:sz w:val="20"/>
        </w:rPr>
        <w:t xml:space="preserve">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Compensation Committee Interlocks and Insider Participation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 </w:t>
      </w:r>
    </w:p>
    <w:p>
      <w:pPr>
        <w:pStyle w:val="TextBody"/>
        <w:bidi w:val="0"/>
        <w:spacing w:before="240" w:after="283"/>
        <w:jc w:val="center"/>
        <w:rPr>
          <w:rFonts w:ascii="Arial" w:hAnsi="Arial"/>
          <w:b/>
          <w:color w:val="00489A"/>
          <w:sz w:val="20"/>
        </w:rPr>
      </w:pPr>
      <w:bookmarkStart w:id="53" w:name="tCCR"/>
      <w:bookmarkEnd w:id="53"/>
      <w:r>
        <w:rPr>
          <w:rFonts w:ascii="Arial" w:hAnsi="Arial"/>
          <w:b/>
          <w:color w:val="00489A"/>
          <w:sz w:val="20"/>
        </w:rPr>
        <w:t xml:space="preserve">COMPENSATION COMMITTEE REPORT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30, 2024.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Times;serif" w:hAnsi="Times New Roman;Times;serif"/>
          <w:i/>
          <w:caps w:val="false"/>
          <w:smallCaps w:val="false"/>
          <w:color w:val="000000"/>
          <w:sz w:val="20"/>
        </w:rPr>
        <w:t xml:space="preserve">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COMPENSATION COMMITTEE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Thomas Looney, </w:t>
      </w:r>
      <w:r>
        <w:rPr>
          <w:rFonts w:ascii="Times New Roman;Times;serif" w:hAnsi="Times New Roman;Times;serif"/>
          <w:i/>
          <w:color w:val="000000"/>
          <w:sz w:val="20"/>
        </w:rPr>
        <w:t>Chair</w:t>
      </w:r>
      <w:r>
        <w:rPr>
          <w:rFonts w:ascii="Times New Roman;Times;serif" w:hAnsi="Times New Roman;Times;serif"/>
          <w:color w:val="000000"/>
          <w:sz w:val="2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Renah Persofsky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David Hopkinson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54" w:name="ny20034373x2_def14a_111-executive_pg1"/>
      <w:bookmarkEnd w:id="54"/>
      <w:r>
        <w:rPr>
          <w:rFonts w:ascii="Arial" w:hAnsi="Arial"/>
          <w:b/>
          <w:color w:val="00489A"/>
          <w:sz w:val="20"/>
        </w:rPr>
        <w:t xml:space="preserve">EXECUTIVE COMPENSATION </w:t>
      </w:r>
    </w:p>
    <w:p>
      <w:pPr>
        <w:pStyle w:val="TextBody"/>
        <w:bidi w:val="0"/>
        <w:spacing w:before="230" w:after="283"/>
        <w:ind w:left="0" w:right="0" w:hanging="0"/>
        <w:jc w:val="left"/>
        <w:rPr>
          <w:rFonts w:ascii="Arial" w:hAnsi="Arial"/>
          <w:b/>
          <w:color w:val="00489A"/>
          <w:sz w:val="20"/>
        </w:rPr>
      </w:pPr>
      <w:bookmarkStart w:id="55" w:name="tSCT"/>
      <w:bookmarkEnd w:id="55"/>
      <w:r>
        <w:rPr>
          <w:rFonts w:ascii="Arial" w:hAnsi="Arial"/>
          <w:b/>
          <w:color w:val="00489A"/>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all of the compensation paid or awarded to or earned by our NEOs during Fiscal Years 2022 (June 1, 2021 to May 31, 2022), 2023 (June 1, 2022 to May 31, 2023) and 2024 (June 1, 2023 to May 31, 2024). In accordance with the rules promulgated by the SEC, certain columns relating to information that is not applicable have been omitted from this table. </w:t>
      </w:r>
    </w:p>
    <w:tbl>
      <w:tblPr>
        <w:tblW w:w="10205" w:type="dxa"/>
        <w:jc w:val="left"/>
        <w:tblInd w:w="0" w:type="dxa"/>
        <w:tblLayout w:type="fixed"/>
        <w:tblCellMar>
          <w:top w:w="0" w:type="dxa"/>
          <w:left w:w="0" w:type="dxa"/>
          <w:bottom w:w="0" w:type="dxa"/>
          <w:right w:w="0" w:type="dxa"/>
        </w:tblCellMar>
      </w:tblPr>
      <w:tblGrid>
        <w:gridCol w:w="155"/>
        <w:gridCol w:w="1247"/>
        <w:gridCol w:w="140"/>
        <w:gridCol w:w="140"/>
        <w:gridCol w:w="463"/>
        <w:gridCol w:w="140"/>
        <w:gridCol w:w="140"/>
        <w:gridCol w:w="750"/>
        <w:gridCol w:w="140"/>
        <w:gridCol w:w="140"/>
        <w:gridCol w:w="791"/>
        <w:gridCol w:w="140"/>
        <w:gridCol w:w="140"/>
        <w:gridCol w:w="830"/>
        <w:gridCol w:w="140"/>
        <w:gridCol w:w="140"/>
        <w:gridCol w:w="1106"/>
        <w:gridCol w:w="140"/>
        <w:gridCol w:w="140"/>
        <w:gridCol w:w="575"/>
        <w:gridCol w:w="140"/>
        <w:gridCol w:w="140"/>
        <w:gridCol w:w="1057"/>
        <w:gridCol w:w="140"/>
        <w:gridCol w:w="140"/>
        <w:gridCol w:w="832"/>
        <w:gridCol w:w="159"/>
      </w:tblGrid>
      <w:tr>
        <w:trPr/>
        <w:tc>
          <w:tcPr>
            <w:tcW w:w="155" w:type="dxa"/>
            <w:tcBorders/>
            <w:vAlign w:val="center"/>
          </w:tcPr>
          <w:p>
            <w:pPr>
              <w:pStyle w:val="TableContents"/>
              <w:bidi w:val="0"/>
              <w:spacing w:before="0" w:after="0"/>
              <w:jc w:val="left"/>
              <w:rPr/>
            </w:pPr>
            <w:r>
              <w:rPr/>
              <w:t> </w:t>
            </w:r>
          </w:p>
        </w:tc>
        <w:tc>
          <w:tcPr>
            <w:tcW w:w="12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47"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 ($)</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 </w:t>
            </w:r>
          </w:p>
        </w:tc>
        <w:tc>
          <w:tcPr>
            <w:tcW w:w="159"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1247"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Irwin Simon </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President, Chief Executive Officer and Chairman of the Board</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1,891,760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2,500,000</w:t>
            </w:r>
            <w:r>
              <w:rPr>
                <w:rFonts w:ascii="Times New Roman;Times;serif" w:hAnsi="Times New Roman;Times;serif"/>
                <w:color w:val="000000"/>
                <w:position w:val="6"/>
                <w:sz w:val="14"/>
                <w:sz w:val="18"/>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4,547,501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1,040,000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163,710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10,142,971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1,819,000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2,500,000</w:t>
            </w:r>
            <w:r>
              <w:rPr>
                <w:rFonts w:ascii="Times New Roman;Times;serif" w:hAnsi="Times New Roman;Times;serif"/>
                <w:color w:val="000000"/>
                <w:position w:val="6"/>
                <w:sz w:val="14"/>
                <w:sz w:val="18"/>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9,249,999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1,909,950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177,635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15,656,584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1,714,165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17,599,962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142,639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19,456,767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1247" w:type="dxa"/>
            <w:vMerge w:val="restart"/>
            <w:tcBorders/>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Financial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388,304</w:t>
            </w:r>
            <w:r>
              <w:rPr>
                <w:rFonts w:ascii="Times New Roman;Times;serif" w:hAnsi="Times New Roman;Times;serif"/>
                <w:color w:val="000000"/>
                <w:position w:val="6"/>
                <w:sz w:val="14"/>
                <w:sz w:val="18"/>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500,000</w:t>
            </w:r>
            <w:r>
              <w:rPr>
                <w:rFonts w:ascii="Times New Roman;Times;serif" w:hAnsi="Times New Roman;Times;serif"/>
                <w:color w:val="000000"/>
                <w:position w:val="6"/>
                <w:sz w:val="14"/>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673,481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77,661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7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13,553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1,652,999 </w:t>
            </w:r>
          </w:p>
        </w:tc>
        <w:tc>
          <w:tcPr>
            <w:tcW w:w="159"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2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373,358</w:t>
            </w:r>
            <w:r>
              <w:rPr>
                <w:rFonts w:ascii="Times New Roman;Times;serif" w:hAnsi="Times New Roman;Times;serif"/>
                <w:color w:val="000000"/>
                <w:position w:val="6"/>
                <w:sz w:val="14"/>
                <w:sz w:val="18"/>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475,000</w:t>
            </w:r>
            <w:r>
              <w:rPr>
                <w:rFonts w:ascii="Times New Roman;Times;serif" w:hAnsi="Times New Roman;Times;serif"/>
                <w:color w:val="000000"/>
                <w:position w:val="6"/>
                <w:sz w:val="14"/>
                <w:sz w:val="18"/>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1,321,687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112,026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7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11,049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2,293,120 </w:t>
            </w:r>
          </w:p>
        </w:tc>
        <w:tc>
          <w:tcPr>
            <w:tcW w:w="159"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2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375,086</w:t>
            </w:r>
            <w:r>
              <w:rPr>
                <w:rFonts w:ascii="Times New Roman;Times;serif" w:hAnsi="Times New Roman;Times;serif"/>
                <w:color w:val="000000"/>
                <w:position w:val="6"/>
                <w:sz w:val="14"/>
                <w:sz w:val="18"/>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2,447,902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ind w:left="2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7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13,412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2,836,400 </w:t>
            </w:r>
          </w:p>
        </w:tc>
        <w:tc>
          <w:tcPr>
            <w:tcW w:w="159"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1247"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Chief Strategy Officer and Head of International</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600,000</w:t>
            </w:r>
            <w:r>
              <w:rPr>
                <w:rFonts w:ascii="Times New Roman;Times;serif" w:hAnsi="Times New Roman;Times;serif"/>
                <w:color w:val="000000"/>
                <w:position w:val="6"/>
                <w:sz w:val="14"/>
                <w:sz w:val="18"/>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962,501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120,000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34,581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2,317,082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600,000</w:t>
            </w:r>
            <w:r>
              <w:rPr>
                <w:rFonts w:ascii="Times New Roman;Times;serif" w:hAnsi="Times New Roman;Times;serif"/>
                <w:color w:val="000000"/>
                <w:position w:val="6"/>
                <w:sz w:val="14"/>
                <w:sz w:val="18"/>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1,539,999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165,000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107,681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2,962,680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509,615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2,365,606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15,125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2,890,346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1247" w:type="dxa"/>
            <w:vMerge w:val="restart"/>
            <w:tcBorders/>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Roger Savell</w:t>
            </w:r>
            <w:r>
              <w:rPr>
                <w:rFonts w:ascii="Times New Roman;Times;serif" w:hAnsi="Times New Roman;Times;serif"/>
                <w:color w:val="000000"/>
                <w:position w:val="6"/>
                <w:sz w:val="14"/>
                <w:sz w:val="18"/>
              </w:rPr>
              <w:t>(8)</w:t>
            </w:r>
            <w:r>
              <w:rPr>
                <w:rFonts w:ascii="Times New Roman;Times;serif" w:hAnsi="Times New Roman;Times;serif"/>
                <w:color w:val="000000"/>
                <w:sz w:val="18"/>
              </w:rPr>
              <w:t xml:space="preserve"> </w:t>
            </w:r>
          </w:p>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i/>
                <w:color w:val="000000"/>
                <w:sz w:val="18"/>
              </w:rPr>
              <w:t>Chief Administrative Officer</w:t>
            </w:r>
            <w:r>
              <w:rPr>
                <w:rFonts w:ascii="Times New Roman;Times;serif" w:hAnsi="Times New Roman;Times;serif"/>
                <w:color w:val="000000"/>
                <w:sz w:val="18"/>
              </w:rPr>
              <w:t xml:space="preserve"> </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550,000</w:t>
            </w:r>
            <w:r>
              <w:rPr>
                <w:rFonts w:ascii="Times New Roman;Times;serif" w:hAnsi="Times New Roman;Times;serif"/>
                <w:color w:val="000000"/>
                <w:position w:val="6"/>
                <w:sz w:val="14"/>
                <w:sz w:val="18"/>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875,000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155,000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7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27,669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2,132,670</w:t>
            </w:r>
          </w:p>
        </w:tc>
        <w:tc>
          <w:tcPr>
            <w:tcW w:w="159"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1247"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63" w:type="dxa"/>
            <w:tcBorders/>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75,000</w:t>
            </w:r>
            <w:r>
              <w:rPr>
                <w:rFonts w:ascii="Times New Roman;Times;serif" w:hAnsi="Times New Roman;Times;serif"/>
                <w:color w:val="000000"/>
                <w:position w:val="6"/>
                <w:sz w:val="14"/>
                <w:sz w:val="18"/>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810,833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6" w:type="dxa"/>
            <w:tcBorders/>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150,000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17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7" w:type="dxa"/>
            <w:tcBorders/>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97,465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2"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1,633,298 </w:t>
            </w:r>
          </w:p>
        </w:tc>
        <w:tc>
          <w:tcPr>
            <w:tcW w:w="159"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1247"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Mitchell Gendel</w:t>
            </w:r>
            <w:r>
              <w:rPr>
                <w:rFonts w:ascii="Times New Roman;Times;serif" w:hAnsi="Times New Roman;Times;serif"/>
                <w:color w:val="000000"/>
                <w:position w:val="6"/>
                <w:sz w:val="14"/>
                <w:sz w:val="18"/>
              </w:rPr>
              <w:t>(9)</w:t>
            </w:r>
          </w:p>
          <w:p>
            <w:pPr>
              <w:pStyle w:val="TableContents"/>
              <w:bidi w:val="0"/>
              <w:spacing w:before="0" w:after="283"/>
              <w:ind w:left="30" w:right="0" w:hanging="0"/>
              <w:jc w:val="left"/>
              <w:rPr>
                <w:rFonts w:ascii="Times New Roman;Times;serif" w:hAnsi="Times New Roman;Times;serif"/>
                <w:i/>
                <w:color w:val="000000"/>
                <w:sz w:val="18"/>
              </w:rPr>
            </w:pPr>
            <w:r>
              <w:rPr>
                <w:rFonts w:ascii="Times New Roman;Times;serif" w:hAnsi="Times New Roman;Times;serif"/>
                <w:i/>
                <w:color w:val="000000"/>
                <w:sz w:val="18"/>
              </w:rPr>
              <w:t>Global General Counsel and Corporate Secretary</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550,000</w:t>
            </w:r>
            <w:r>
              <w:rPr>
                <w:rFonts w:ascii="Times New Roman;Times;serif" w:hAnsi="Times New Roman;Times;serif"/>
                <w:color w:val="000000"/>
                <w:position w:val="6"/>
                <w:sz w:val="14"/>
                <w:sz w:val="18"/>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892,500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112,000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29,967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2,144,466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510,000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500,000</w:t>
            </w:r>
            <w:r>
              <w:rPr>
                <w:rFonts w:ascii="Times New Roman;Times;serif" w:hAnsi="Times New Roman;Times;serif"/>
                <w:color w:val="000000"/>
                <w:position w:val="6"/>
                <w:sz w:val="14"/>
                <w:sz w:val="18"/>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1,408,750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rFonts w:ascii="Times New Roman;Times;serif" w:hAnsi="Times New Roman;Times;serif"/>
                <w:color w:val="000000"/>
                <w:sz w:val="18"/>
              </w:rPr>
            </w:pPr>
            <w:r>
              <w:rPr>
                <w:rFonts w:ascii="Times New Roman;Times;serif" w:hAnsi="Times New Roman;Times;serif"/>
                <w:color w:val="000000"/>
                <w:sz w:val="18"/>
              </w:rPr>
              <w:t>153,000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26,870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2,598,620 </w:t>
            </w:r>
          </w:p>
        </w:tc>
        <w:tc>
          <w:tcPr>
            <w:tcW w:w="159"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1247"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283"/>
              <w:ind w:left="207"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18"/>
              </w:rPr>
            </w:pPr>
            <w:r>
              <w:rPr>
                <w:rFonts w:ascii="Times New Roman;Times;serif" w:hAnsi="Times New Roman;Times;serif"/>
                <w:color w:val="000000"/>
                <w:sz w:val="18"/>
              </w:rPr>
              <w:t>370,512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1,999,995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283"/>
              <w:ind w:left="2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283"/>
              <w:ind w:left="249" w:right="0" w:hanging="0"/>
              <w:jc w:val="left"/>
              <w:rPr>
                <w:rFonts w:ascii="Times New Roman;Times;serif" w:hAnsi="Times New Roman;Times;serif"/>
                <w:color w:val="000000"/>
                <w:sz w:val="18"/>
              </w:rPr>
            </w:pPr>
            <w:r>
              <w:rPr>
                <w:rFonts w:ascii="Times New Roman;Times;serif" w:hAnsi="Times New Roman;Times;serif"/>
                <w:color w:val="000000"/>
                <w:sz w:val="18"/>
              </w:rPr>
              <w:t>16,297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2,386,804</w:t>
            </w:r>
          </w:p>
        </w:tc>
        <w:tc>
          <w:tcPr>
            <w:tcW w:w="159"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47"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63"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5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91"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06"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7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7"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2" w:type="dxa"/>
            <w:tcBorders/>
            <w:shd w:fill="C7CDE8" w:val="clear"/>
            <w:vAlign w:val="center"/>
          </w:tcPr>
          <w:p>
            <w:pPr>
              <w:pStyle w:val="TableContents"/>
              <w:bidi w:val="0"/>
              <w:spacing w:before="0" w:after="0"/>
              <w:jc w:val="left"/>
              <w:rPr/>
            </w:pPr>
            <w:r>
              <w:rPr/>
              <w:t> </w:t>
            </w:r>
          </w:p>
        </w:tc>
        <w:tc>
          <w:tcPr>
            <w:tcW w:w="159" w:type="dxa"/>
            <w:tcBorders/>
            <w:shd w:fill="C7CDE8" w:val="clear"/>
            <w:vAlign w:val="center"/>
          </w:tcPr>
          <w:p>
            <w:pPr>
              <w:pStyle w:val="TableContents"/>
              <w:bidi w:val="0"/>
              <w:spacing w:before="0" w:after="0"/>
              <w:jc w:val="left"/>
              <w:rPr/>
            </w:pPr>
            <w:r>
              <w:rPr/>
              <w:t> </w:t>
            </w:r>
          </w:p>
        </w:tc>
      </w:tr>
    </w:tbl>
    <w:tbl>
      <w:tblPr>
        <w:tblW w:w="7030" w:type="dxa"/>
        <w:jc w:val="left"/>
        <w:tblInd w:w="0" w:type="dxa"/>
        <w:tblLayout w:type="fixed"/>
        <w:tblCellMar>
          <w:top w:w="0" w:type="dxa"/>
          <w:left w:w="0" w:type="dxa"/>
          <w:bottom w:w="0" w:type="dxa"/>
          <w:right w:w="0" w:type="dxa"/>
        </w:tblCellMar>
      </w:tblPr>
      <w:tblGrid>
        <w:gridCol w:w="230"/>
        <w:gridCol w:w="68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Each of the named executive officers received a base salary increase effective as of June 1, 2024.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reported do not reflect the amounts actually received by our NEOs. Instead, these amounts reflect the aggregate grant date fair value of each stock option or restricted stock unit award granted to our NEOs on each of July 26, 2021 (during Fiscal Year 2022); July 26, 2022 (during Fiscal Year 2023); and July 26, 2023 (during Fiscal Year 2024),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2024.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As required by SEC rules, the amounts shown exclude the impact of estimated forfeitures related to service-based vesting conditions. RSU values in the Stock Awards column are based on performance achieved at 100% for the included RSUs, which was the probable outcome of performance conditions as of the grant date for the included RSUs.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awards described in the Compensation Discussion &amp; Analysis section under “2024 EBITDA PSU Awards” represent a contingent right to receive its equivalent in shares of Common Stock (or cash) for which there was no grant date fair value for purposes of ASC 718 due to the three-year cumulative performance targets not having been set during Fiscal Year 2024. Therefore, there is no corresponding amount included in the Summary Compensation Table above for the 2024 EBITDA PSU Awards. For the 2024 EBITDA PSU Awards, the payout of each NEO’s included PSUs if earned at maximum levels would be $1.93 per PSU based on the value of a share of Company common stock as of the date of grant. The total payout of the 2024 EBITDA PSU Awards if earned at maximum levels based on the value of a share of Company common stock as of the date of grant would be $16,995,828 for Mr. Simon, $2,386,684 for Mr. Merton; $2,420,980 for Ms. Faltischek; $1,743,504 for Mr. Savell; and $2,102,824 for Mr. Gendel.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For the 2022 HEXO PSU Awards, the grant date fair value of each NEO’s included PSUs if earned at maximum levels was $3.54 per PSU. The total value of the 2022 HEXO PSU Awards if earned at maximum levels was $5,000,000 for Mr. Simon; $665,000 for Mr. Merton, $665,000 for Ms. Faltischek; $665,000 for Mr. Savell; and $665,000 for Mr. Gendel. </w:t>
      </w:r>
    </w:p>
    <w:tbl>
      <w:tblPr>
        <w:tblW w:w="7795" w:type="dxa"/>
        <w:jc w:val="left"/>
        <w:tblInd w:w="0" w:type="dxa"/>
        <w:tblLayout w:type="fixed"/>
        <w:tblCellMar>
          <w:top w:w="0" w:type="dxa"/>
          <w:left w:w="0" w:type="dxa"/>
          <w:bottom w:w="0" w:type="dxa"/>
          <w:right w:w="0" w:type="dxa"/>
        </w:tblCellMar>
      </w:tblPr>
      <w:tblGrid>
        <w:gridCol w:w="230"/>
        <w:gridCol w:w="756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cash performance bonus earned under our Annual Performance Bonus Plan described above. </w:t>
            </w:r>
          </w:p>
        </w:tc>
      </w:tr>
    </w:tbl>
    <w:tbl>
      <w:tblPr>
        <w:tblW w:w="6850" w:type="dxa"/>
        <w:jc w:val="left"/>
        <w:tblInd w:w="0" w:type="dxa"/>
        <w:tblLayout w:type="fixed"/>
        <w:tblCellMar>
          <w:top w:w="0" w:type="dxa"/>
          <w:left w:w="0" w:type="dxa"/>
          <w:bottom w:w="0" w:type="dxa"/>
          <w:right w:w="0" w:type="dxa"/>
        </w:tblCellMar>
      </w:tblPr>
      <w:tblGrid>
        <w:gridCol w:w="230"/>
        <w:gridCol w:w="662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Further details for Fiscal Year 2024 are included in the “All Other Compensation” table below.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include transaction bonuses paid to our NEOs in August 2022 (Fiscal Year 2023) in recognition of the HEXO convertible debt investment.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amounts include transaction bonuses paid to our NEOs in August 2023 (Fiscal Year 2024) in recognition of successful closing of the HEXO acquisition.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6" w:name="ny20034373x2_def14a_111-executive_pg2"/>
      <w:bookmarkStart w:id="57" w:name="ny20034373x2_def14a_111-executive_pg2"/>
      <w:bookmarkEnd w:id="57"/>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2024 compensation of Mr. Merton is converted into USD with the exchange rate of May 31, 2024 of $0.7326 (USD) to $1.0000 (CAD). The 2023 compensation of Mr. Merton is converted into USD with the exchange rate of May 31, 2023 of $0.7346 (USD) to $1.0000 (CAD). The 2022 compensation of Mr. Merton is converted into USD with an exchange rate on May 31, 2022 of $0.7899 (USD) to $1.0000 (CAD).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Savell was hired as Chief Administrative Officer on March 31, 2022. No information is reported for 2022; he was not an NEO for that fiscal year. </w:t>
            </w:r>
          </w:p>
        </w:tc>
      </w:tr>
    </w:tbl>
    <w:tbl>
      <w:tblPr>
        <w:tblW w:w="6670" w:type="dxa"/>
        <w:jc w:val="left"/>
        <w:tblInd w:w="0" w:type="dxa"/>
        <w:tblLayout w:type="fixed"/>
        <w:tblCellMar>
          <w:top w:w="0" w:type="dxa"/>
          <w:left w:w="0" w:type="dxa"/>
          <w:bottom w:w="0" w:type="dxa"/>
          <w:right w:w="0" w:type="dxa"/>
        </w:tblCellMar>
      </w:tblPr>
      <w:tblGrid>
        <w:gridCol w:w="230"/>
        <w:gridCol w:w="64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4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Gendel was hired as Global General Counsel and Corporate Secretary on July 17, 2021.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FY 2024 All Other Compensation </w:t>
      </w:r>
    </w:p>
    <w:tbl>
      <w:tblPr>
        <w:tblW w:w="8145" w:type="dxa"/>
        <w:jc w:val="left"/>
        <w:tblInd w:w="0" w:type="dxa"/>
        <w:tblLayout w:type="fixed"/>
        <w:tblCellMar>
          <w:top w:w="0" w:type="dxa"/>
          <w:left w:w="0" w:type="dxa"/>
          <w:bottom w:w="0" w:type="dxa"/>
          <w:right w:w="0" w:type="dxa"/>
        </w:tblCellMar>
      </w:tblPr>
      <w:tblGrid>
        <w:gridCol w:w="155"/>
        <w:gridCol w:w="1280"/>
        <w:gridCol w:w="140"/>
        <w:gridCol w:w="140"/>
        <w:gridCol w:w="770"/>
        <w:gridCol w:w="140"/>
        <w:gridCol w:w="140"/>
        <w:gridCol w:w="1025"/>
        <w:gridCol w:w="140"/>
        <w:gridCol w:w="140"/>
        <w:gridCol w:w="830"/>
        <w:gridCol w:w="140"/>
        <w:gridCol w:w="140"/>
        <w:gridCol w:w="740"/>
        <w:gridCol w:w="140"/>
        <w:gridCol w:w="140"/>
        <w:gridCol w:w="770"/>
        <w:gridCol w:w="140"/>
        <w:gridCol w:w="140"/>
        <w:gridCol w:w="740"/>
        <w:gridCol w:w="155"/>
      </w:tblGrid>
      <w:tr>
        <w:trPr/>
        <w:tc>
          <w:tcPr>
            <w:tcW w:w="15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Contributions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GLT-FICA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Health &amp;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Welfare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Life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Insurance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Premiums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2" w:right="0" w:hanging="0"/>
              <w:jc w:val="left"/>
              <w:rPr>
                <w:rFonts w:ascii="Times New Roman;Times;serif" w:hAnsi="Times New Roman;Times;serif"/>
                <w:color w:val="000000"/>
                <w:sz w:val="18"/>
              </w:rPr>
            </w:pPr>
            <w:r>
              <w:rPr>
                <w:rFonts w:ascii="Times New Roman;Times;serif" w:hAnsi="Times New Roman;Times;serif"/>
                <w:color w:val="000000"/>
                <w:sz w:val="18"/>
              </w:rPr>
              <w:t>$20,781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6,186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191" w:right="0" w:hanging="0"/>
              <w:jc w:val="left"/>
              <w:rPr>
                <w:rFonts w:ascii="Times New Roman;Times;serif" w:hAnsi="Times New Roman;Times;serif"/>
                <w:color w:val="000000"/>
                <w:sz w:val="18"/>
              </w:rPr>
            </w:pPr>
            <w:r>
              <w:rPr>
                <w:rFonts w:ascii="Times New Roman;Times;serif" w:hAnsi="Times New Roman;Times;serif"/>
                <w:color w:val="000000"/>
                <w:sz w:val="18"/>
              </w:rPr>
              <w:t>$889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$20,261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$115,593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$163,710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Carl Merton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2" w:right="0" w:hanging="0"/>
              <w:jc w:val="left"/>
              <w:rPr>
                <w:rFonts w:ascii="Times New Roman;Times;serif" w:hAnsi="Times New Roman;Times;serif"/>
                <w:color w:val="000000"/>
                <w:sz w:val="18"/>
              </w:rPr>
            </w:pPr>
            <w:r>
              <w:rPr>
                <w:rFonts w:ascii="Times New Roman;Times;serif" w:hAnsi="Times New Roman;Times;serif"/>
                <w:color w:val="000000"/>
                <w:sz w:val="18"/>
              </w:rPr>
              <w:t>$10,990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13,553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$14,033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191" w:right="0" w:hanging="0"/>
              <w:jc w:val="left"/>
              <w:rPr>
                <w:rFonts w:ascii="Times New Roman;Times;serif" w:hAnsi="Times New Roman;Times;serif"/>
                <w:color w:val="000000"/>
                <w:sz w:val="18"/>
              </w:rPr>
            </w:pPr>
            <w:r>
              <w:rPr>
                <w:rFonts w:ascii="Times New Roman;Times;serif" w:hAnsi="Times New Roman;Times;serif"/>
                <w:color w:val="000000"/>
                <w:sz w:val="18"/>
              </w:rPr>
              <w:t>$161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$20,387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34,581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Mitchell Gendel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$14,033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91" w:right="0" w:hanging="0"/>
              <w:jc w:val="left"/>
              <w:rPr>
                <w:rFonts w:ascii="Times New Roman;Times;serif" w:hAnsi="Times New Roman;Times;serif"/>
                <w:color w:val="000000"/>
                <w:sz w:val="18"/>
              </w:rPr>
            </w:pPr>
            <w:r>
              <w:rPr>
                <w:rFonts w:ascii="Times New Roman;Times;serif" w:hAnsi="Times New Roman;Times;serif"/>
                <w:color w:val="000000"/>
                <w:sz w:val="18"/>
              </w:rPr>
              <w:t>$301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$15,633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 xml:space="preserve">29,967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8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8"/>
              </w:rPr>
            </w:pPr>
            <w:r>
              <w:rPr>
                <w:rFonts w:ascii="Times New Roman;Times;serif" w:hAnsi="Times New Roman;Times;serif"/>
                <w:color w:val="000000"/>
                <w:sz w:val="18"/>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2"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234" w:right="0" w:hanging="0"/>
              <w:jc w:val="left"/>
              <w:rPr>
                <w:rFonts w:ascii="Times New Roman;Times;serif" w:hAnsi="Times New Roman;Times;serif"/>
                <w:color w:val="000000"/>
                <w:sz w:val="18"/>
              </w:rPr>
            </w:pPr>
            <w:r>
              <w:rPr>
                <w:rFonts w:ascii="Times New Roman;Times;serif" w:hAnsi="Times New Roman;Times;serif"/>
                <w:color w:val="000000"/>
                <w:sz w:val="18"/>
              </w:rPr>
              <w:t>$13,617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191" w:right="0" w:hanging="0"/>
              <w:jc w:val="left"/>
              <w:rPr>
                <w:rFonts w:ascii="Times New Roman;Times;serif" w:hAnsi="Times New Roman;Times;serif"/>
                <w:color w:val="000000"/>
                <w:sz w:val="18"/>
              </w:rPr>
            </w:pPr>
            <w:r>
              <w:rPr>
                <w:rFonts w:ascii="Times New Roman;Times;serif" w:hAnsi="Times New Roman;Times;serif"/>
                <w:color w:val="000000"/>
                <w:sz w:val="18"/>
              </w:rPr>
              <w:t>$462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31" w:right="0" w:hanging="0"/>
              <w:jc w:val="left"/>
              <w:rPr>
                <w:rFonts w:ascii="Times New Roman;Times;serif" w:hAnsi="Times New Roman;Times;serif"/>
                <w:color w:val="000000"/>
                <w:sz w:val="18"/>
              </w:rPr>
            </w:pPr>
            <w:r>
              <w:rPr>
                <w:rFonts w:ascii="Times New Roman;Times;serif" w:hAnsi="Times New Roman;Times;serif"/>
                <w:color w:val="000000"/>
                <w:sz w:val="18"/>
              </w:rPr>
              <w:t>$13,591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71"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t>
            </w:r>
            <w:r>
              <w:rPr>
                <w:rFonts w:ascii="Times New Roman;Times;serif" w:hAnsi="Times New Roman;Times;serif"/>
                <w:color w:val="000000"/>
                <w:sz w:val="18"/>
              </w:rPr>
              <w:t>27,669</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8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Grants of Plan-Based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for Fiscal Year 2024, certain information regarding grants of plan-based awards, to the following named executive officers: </w:t>
      </w:r>
    </w:p>
    <w:tbl>
      <w:tblPr>
        <w:tblW w:w="10205" w:type="dxa"/>
        <w:jc w:val="left"/>
        <w:tblInd w:w="0" w:type="dxa"/>
        <w:tblLayout w:type="fixed"/>
        <w:tblCellMar>
          <w:top w:w="0" w:type="dxa"/>
          <w:left w:w="0" w:type="dxa"/>
          <w:bottom w:w="0" w:type="dxa"/>
          <w:right w:w="0" w:type="dxa"/>
        </w:tblCellMar>
      </w:tblPr>
      <w:tblGrid>
        <w:gridCol w:w="155"/>
        <w:gridCol w:w="954"/>
        <w:gridCol w:w="140"/>
        <w:gridCol w:w="140"/>
        <w:gridCol w:w="552"/>
        <w:gridCol w:w="140"/>
        <w:gridCol w:w="140"/>
        <w:gridCol w:w="830"/>
        <w:gridCol w:w="140"/>
        <w:gridCol w:w="140"/>
        <w:gridCol w:w="830"/>
        <w:gridCol w:w="140"/>
        <w:gridCol w:w="140"/>
        <w:gridCol w:w="761"/>
        <w:gridCol w:w="140"/>
        <w:gridCol w:w="140"/>
        <w:gridCol w:w="761"/>
        <w:gridCol w:w="140"/>
        <w:gridCol w:w="140"/>
        <w:gridCol w:w="830"/>
        <w:gridCol w:w="140"/>
        <w:gridCol w:w="140"/>
        <w:gridCol w:w="830"/>
        <w:gridCol w:w="140"/>
        <w:gridCol w:w="140"/>
        <w:gridCol w:w="1304"/>
        <w:gridCol w:w="158"/>
      </w:tblGrid>
      <w:tr>
        <w:trPr/>
        <w:tc>
          <w:tcPr>
            <w:tcW w:w="155"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2"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2"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2" w:type="dxa"/>
            <w:gridSpan w:val="7"/>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Possible Payouts Under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Non-Equity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2"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Estimated Possible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Payouts Under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Incentive Plan</w:t>
            </w:r>
            <w:r>
              <w:rPr>
                <w:rFonts w:ascii="Times New Roman;Times;serif" w:hAnsi="Times New Roman;Times;serif"/>
                <w:b/>
                <w:color w:val="000000"/>
                <w:position w:val="5"/>
                <w:sz w:val="11"/>
                <w:sz w:val="14"/>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Date 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Equity Awards</w:t>
            </w:r>
            <w:r>
              <w:rPr>
                <w:rFonts w:ascii="Times New Roman;Times;serif" w:hAnsi="Times New Roman;Times;serif"/>
                <w:b/>
                <w:color w:val="000000"/>
                <w:position w:val="5"/>
                <w:sz w:val="11"/>
                <w:sz w:val="14"/>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0"/>
              <w:jc w:val="left"/>
              <w:rPr>
                <w:color w:val="000000"/>
              </w:rPr>
            </w:pPr>
            <w:r>
              <w:rPr>
                <w:color w:val="000000"/>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54" w:type="dxa"/>
            <w:tcBorders>
              <w:bottom w:val="single" w:sz="8" w:space="0" w:color="000000"/>
            </w:tcBorders>
            <w:tcMar>
              <w:bottom w:w="33" w:type="dxa"/>
            </w:tcMar>
            <w:vAlign w:val="center"/>
          </w:tcPr>
          <w:p>
            <w:pPr>
              <w:pStyle w:val="TableContents"/>
              <w:bidi w:val="0"/>
              <w:spacing w:before="0" w:after="283"/>
              <w:ind w:left="30" w:right="0" w:hanging="0"/>
              <w:jc w:val="left"/>
              <w:rPr>
                <w:rFonts w:ascii="Times New Roman;Times;serif" w:hAnsi="Times New Roman;Times;serif"/>
                <w:b/>
                <w:color w:val="000000"/>
                <w:sz w:val="14"/>
              </w:rPr>
            </w:pPr>
            <w:r>
              <w:rPr>
                <w:rFonts w:ascii="Times New Roman;Times;serif" w:hAnsi="Times New Roman;Times;serif"/>
                <w:b/>
                <w:color w:val="000000"/>
                <w:sz w:val="14"/>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Grant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Maximum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Maximum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Maximum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Type </w:t>
            </w:r>
          </w:p>
        </w:tc>
        <w:tc>
          <w:tcPr>
            <w:tcW w:w="158"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954"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7"/>
              </w:rPr>
            </w:pPr>
            <w:r>
              <w:rPr>
                <w:rFonts w:ascii="Times New Roman;Times;serif" w:hAnsi="Times New Roman;Times;serif"/>
                <w:color w:val="000000"/>
                <w:sz w:val="17"/>
              </w:rPr>
              <w:t>Irwin Simon</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2,356,218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2,356,218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$4,547,501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$4,547,501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Annual LTIP Incentive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4,403,064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4,403,064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5-Apr-24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4,403,064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4,403,064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$3,783,520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$6,621,160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954" w:type="dxa"/>
            <w:vMerge w:val="restart"/>
            <w:tcBorders/>
            <w:vAlign w:val="center"/>
          </w:tcPr>
          <w:p>
            <w:pPr>
              <w:pStyle w:val="TableContents"/>
              <w:bidi w:val="0"/>
              <w:spacing w:before="0" w:after="283"/>
              <w:ind w:left="30" w:right="0" w:hanging="0"/>
              <w:jc w:val="left"/>
              <w:rPr>
                <w:rFonts w:ascii="Times New Roman;Times;serif" w:hAnsi="Times New Roman;Times;serif"/>
                <w:color w:val="000000"/>
                <w:sz w:val="17"/>
              </w:rPr>
            </w:pPr>
            <w:r>
              <w:rPr>
                <w:rFonts w:ascii="Times New Roman;Times;serif" w:hAnsi="Times New Roman;Times;serif"/>
                <w:color w:val="000000"/>
                <w:sz w:val="17"/>
              </w:rPr>
              <w:t>Carl Merton</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348,954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348,954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673,481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673,481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Annual LTIP Incentive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26-Jul-23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618,311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618,311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5-Apr-24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618,311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618,311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388,304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388,304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954"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7"/>
              </w:rPr>
            </w:pPr>
            <w:r>
              <w:rPr>
                <w:rFonts w:ascii="Times New Roman;Times;serif" w:hAnsi="Times New Roman;Times;serif"/>
                <w:color w:val="000000"/>
                <w:sz w:val="17"/>
              </w:rPr>
              <w:t>Denise Faltischek</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498,705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498,705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962,501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962,501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Annual LTIP Incentive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26-Jul-23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627,197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627,197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5-Apr-24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627,197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627,197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954" w:type="dxa"/>
            <w:vMerge w:val="restart"/>
            <w:tcBorders/>
            <w:vAlign w:val="center"/>
          </w:tcPr>
          <w:p>
            <w:pPr>
              <w:pStyle w:val="TableContents"/>
              <w:bidi w:val="0"/>
              <w:spacing w:before="0" w:after="283"/>
              <w:ind w:left="30" w:right="0" w:hanging="0"/>
              <w:jc w:val="left"/>
              <w:rPr>
                <w:rFonts w:ascii="Times New Roman;Times;serif" w:hAnsi="Times New Roman;Times;serif"/>
                <w:color w:val="000000"/>
                <w:sz w:val="17"/>
              </w:rPr>
            </w:pPr>
            <w:r>
              <w:rPr>
                <w:rFonts w:ascii="Times New Roman;Times;serif" w:hAnsi="Times New Roman;Times;serif"/>
                <w:color w:val="000000"/>
                <w:sz w:val="17"/>
              </w:rPr>
              <w:t>Roger Savell</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453,368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453,368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875,000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875,000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Annual LTIP Incentive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26-Jul-23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449,353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449,353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5-Apr-24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449,353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449,353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954"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61"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954"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17"/>
              </w:rPr>
            </w:pPr>
            <w:r>
              <w:rPr>
                <w:rFonts w:ascii="Times New Roman;Times;serif" w:hAnsi="Times New Roman;Times;serif"/>
                <w:color w:val="000000"/>
                <w:sz w:val="17"/>
              </w:rPr>
              <w:t>Mitchell Gendel</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26-Jul-23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462,435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462,435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892,500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892,500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Annual LTIP Incentive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26-Jul-23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544,773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544,773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5-Apr-24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544,773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544,773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 xml:space="preserve">2024 EBITDA PSU Awards </w:t>
            </w:r>
          </w:p>
        </w:tc>
        <w:tc>
          <w:tcPr>
            <w:tcW w:w="158"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954"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560,000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954"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61"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04" w:type="dxa"/>
            <w:tcBorders/>
            <w:shd w:fill="C7CDE8" w:val="clear"/>
            <w:vAlign w:val="center"/>
          </w:tcPr>
          <w:p>
            <w:pPr>
              <w:pStyle w:val="TableContents"/>
              <w:bidi w:val="0"/>
              <w:spacing w:before="0" w:after="0"/>
              <w:jc w:val="left"/>
              <w:rPr/>
            </w:pPr>
            <w:r>
              <w:rPr/>
              <w:t> </w:t>
            </w:r>
          </w:p>
        </w:tc>
        <w:tc>
          <w:tcPr>
            <w:tcW w:w="158"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share amounts in this column for the awards labeled “2024 EBITDA PSU Awards” represent the number of shares granted on the grant date for 2024 EBITDA PSU Awards. These awards are described in the Compensation Discussion &amp; Analysis section under “2024 EBITDA PSU Awards” granted during Fiscal Year 2024, and did not have a fair value for purposes of ASC 718 on the grant date due to the three-year cumulative performance targets not having been set during Fiscal Year 2024. Therefore, there is no corresponding dollar amount for the 2024 EBITDA PSU Awards included in the Grant of Plan-Based Awards table. In addition, the 2024 EBITDA PSU Awards that were made in April 2024 represent a contingent right to receive a cash payment or its equivalent in shares of Common Stock (as determined by the Compensation Committee). See footnote 2 to the Summary Compensation Table for a discussion of the value of the 2024 EBITDA PSU Awards based on the value of a share of Company common stock as of the date of grant.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in this column represent the grant date fair value of the product of the number of shares granted and the closing market price of our common stock on the grant date for time-based restricted stock units. These annual LTIP grants vest at the rate of 50% of the RSUs on the twelve (12) month anniversary of the grant date (the “</w:t>
            </w:r>
            <w:r>
              <w:rPr>
                <w:rFonts w:ascii="Times New Roman;Times;serif" w:hAnsi="Times New Roman;Times;serif"/>
                <w:b/>
                <w:i/>
                <w:color w:val="000000"/>
                <w:sz w:val="16"/>
              </w:rPr>
              <w:t>Vesting Date</w:t>
            </w:r>
            <w:r>
              <w:rPr>
                <w:rFonts w:ascii="Times New Roman;Times;serif" w:hAnsi="Times New Roman;Times;serif"/>
                <w:color w:val="000000"/>
                <w:sz w:val="16"/>
              </w:rPr>
              <w:t xml:space="preserve">”), and the remaining 50% RSUs on the 24 months anniversary of the Vesting Date.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8" w:name="ny20034373x2_def14a_111-executive_pg3"/>
      <w:bookmarkEnd w:id="58"/>
      <w:r>
        <w:rPr>
          <w:rFonts w:ascii="Arial" w:hAnsi="Arial"/>
          <w:b/>
          <w:color w:val="00489A"/>
          <w:sz w:val="20"/>
        </w:rPr>
        <w:t xml:space="preserve">Narrative Disclosure To Grants Of Plan-Based Awards Table </w:t>
      </w:r>
    </w:p>
    <w:p>
      <w:pPr>
        <w:pStyle w:val="TextBody"/>
        <w:bidi w:val="0"/>
        <w:spacing w:before="150" w:after="283"/>
        <w:ind w:left="0" w:right="0" w:hanging="0"/>
        <w:jc w:val="left"/>
        <w:rPr>
          <w:rFonts w:ascii="Arial" w:hAnsi="Arial"/>
          <w:i/>
          <w:color w:val="000000"/>
          <w:sz w:val="20"/>
        </w:rPr>
      </w:pPr>
      <w:r>
        <w:rPr>
          <w:rFonts w:ascii="Arial" w:hAnsi="Arial"/>
          <w:i/>
          <w:color w:val="000000"/>
          <w:sz w:val="20"/>
        </w:rPr>
        <w:t xml:space="preserve">Annual Performance Bonus Cash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provides eligibility for annual cash bonus awards to reward named executive officers for performance in the fiscal year. For more information regarding our annual performance bonus cash awards, please see the section of the CD&amp;A titled “Annual Performance Bonus Plan.” </w:t>
      </w:r>
    </w:p>
    <w:p>
      <w:pPr>
        <w:pStyle w:val="TextBody"/>
        <w:bidi w:val="0"/>
        <w:spacing w:before="250" w:after="283"/>
        <w:ind w:left="0" w:right="0" w:hanging="0"/>
        <w:jc w:val="left"/>
        <w:rPr>
          <w:rFonts w:ascii="Arial" w:hAnsi="Arial"/>
          <w:i/>
          <w:color w:val="000000"/>
          <w:sz w:val="20"/>
        </w:rPr>
      </w:pPr>
      <w:r>
        <w:rPr>
          <w:rFonts w:ascii="Arial" w:hAnsi="Arial"/>
          <w:i/>
          <w:color w:val="000000"/>
          <w:sz w:val="20"/>
        </w:rPr>
        <w:t xml:space="preserve">Equity Compensation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Consistent with its practices for awarding restricted stock units described in the CD&amp;A above, the Compensation Committee approved equity compensation awards in the form restricted stock units to each of the named executive officers listed in the table above that are eligible to vest both based on continued service and achievement of performance goals.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Outstanding Equity Awards At Fiscal Year 2024 End </w:t>
      </w:r>
    </w:p>
    <w:tbl>
      <w:tblPr>
        <w:tblW w:w="10545" w:type="dxa"/>
        <w:jc w:val="left"/>
        <w:tblInd w:w="0" w:type="dxa"/>
        <w:tblLayout w:type="fixed"/>
        <w:tblCellMar>
          <w:top w:w="0" w:type="dxa"/>
          <w:left w:w="0" w:type="dxa"/>
          <w:bottom w:w="0" w:type="dxa"/>
          <w:right w:w="0" w:type="dxa"/>
        </w:tblCellMar>
      </w:tblPr>
      <w:tblGrid>
        <w:gridCol w:w="155"/>
        <w:gridCol w:w="560"/>
        <w:gridCol w:w="140"/>
        <w:gridCol w:w="140"/>
        <w:gridCol w:w="470"/>
        <w:gridCol w:w="140"/>
        <w:gridCol w:w="140"/>
        <w:gridCol w:w="635"/>
        <w:gridCol w:w="140"/>
        <w:gridCol w:w="140"/>
        <w:gridCol w:w="1175"/>
        <w:gridCol w:w="140"/>
        <w:gridCol w:w="140"/>
        <w:gridCol w:w="860"/>
        <w:gridCol w:w="140"/>
        <w:gridCol w:w="140"/>
        <w:gridCol w:w="995"/>
        <w:gridCol w:w="140"/>
        <w:gridCol w:w="140"/>
        <w:gridCol w:w="770"/>
        <w:gridCol w:w="140"/>
        <w:gridCol w:w="140"/>
        <w:gridCol w:w="770"/>
        <w:gridCol w:w="140"/>
        <w:gridCol w:w="140"/>
        <w:gridCol w:w="740"/>
        <w:gridCol w:w="140"/>
        <w:gridCol w:w="140"/>
        <w:gridCol w:w="740"/>
        <w:gridCol w:w="155"/>
      </w:tblGrid>
      <w:tr>
        <w:trPr/>
        <w:tc>
          <w:tcPr>
            <w:tcW w:w="155"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5"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5" w:type="dxa"/>
            <w:gridSpan w:val="10"/>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0" w:type="dxa"/>
            <w:tcBorders>
              <w:bottom w:val="single" w:sz="8" w:space="0" w:color="000000"/>
            </w:tcBorders>
            <w:tcMar>
              <w:bottom w:w="3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 </w:t>
            </w:r>
          </w:p>
        </w:tc>
        <w:tc>
          <w:tcPr>
            <w:tcW w:w="155"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560"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Irwin Simon</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8/7/2019</w:t>
            </w:r>
            <w:r>
              <w:rPr>
                <w:rFonts w:ascii="Times New Roman;Times;serif" w:hAnsi="Times New Roman;Times;serif"/>
                <w:color w:val="000000"/>
                <w:position w:val="5"/>
                <w:sz w:val="13"/>
                <w:sz w:val="16"/>
              </w:rPr>
              <w:t>(1)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8/7/2019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rFonts w:ascii="Times New Roman;Times;serif" w:hAnsi="Times New Roman;Times;serif"/>
                <w:color w:val="000000"/>
                <w:sz w:val="16"/>
              </w:rPr>
            </w:pPr>
            <w:r>
              <w:rPr>
                <w:rFonts w:ascii="Times New Roman;Times;serif" w:hAnsi="Times New Roman;Times;serif"/>
                <w:color w:val="000000"/>
                <w:sz w:val="16"/>
              </w:rPr>
              <w:t>31,887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8.95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rFonts w:ascii="Times New Roman;Times;serif" w:hAnsi="Times New Roman;Times;serif"/>
                <w:color w:val="000000"/>
                <w:sz w:val="16"/>
              </w:rPr>
            </w:pPr>
            <w:r>
              <w:rPr>
                <w:rFonts w:ascii="Times New Roman;Times;serif" w:hAnsi="Times New Roman;Times;serif"/>
                <w:color w:val="000000"/>
                <w:sz w:val="16"/>
              </w:rPr>
              <w:t>8/7/2024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color w:val="000000"/>
              </w:rPr>
            </w:pPr>
            <w:r>
              <w:rPr>
                <w:color w:val="00000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7/27/2021</w:t>
            </w:r>
            <w:r>
              <w:rPr>
                <w:rFonts w:ascii="Times New Roman;Times;serif" w:hAnsi="Times New Roman;Times;serif"/>
                <w:color w:val="000000"/>
                <w:position w:val="5"/>
                <w:sz w:val="13"/>
                <w:sz w:val="16"/>
              </w:rPr>
              <w:t>(2)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130,951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235,712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7/27/2021</w:t>
            </w:r>
            <w:r>
              <w:rPr>
                <w:rFonts w:ascii="Times New Roman;Times;serif" w:hAnsi="Times New Roman;Times;serif"/>
                <w:color w:val="000000"/>
                <w:position w:val="5"/>
                <w:sz w:val="13"/>
                <w:sz w:val="16"/>
              </w:rPr>
              <w:t>(3)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392,772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706,990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7/27/2021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49,097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88,375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7/27/2021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7/27/2021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49,097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88,375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600,283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1,080,509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1,412,430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2,542,374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2,356,218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4,241,192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4,403,064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7,925,515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560"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4/5/2024</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22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91"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4,403,064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7,925,515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560"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Carl Merton</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87,592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10,949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10,949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16,224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29,203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92,753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166,955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187,854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338,137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348,954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628,117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7/26/2023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618,311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1,112,960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56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19" w:right="0" w:hanging="0"/>
              <w:jc w:val="left"/>
              <w:rPr>
                <w:rFonts w:ascii="Times New Roman;Times;serif" w:hAnsi="Times New Roman;Times;serif"/>
                <w:color w:val="000000"/>
                <w:sz w:val="16"/>
              </w:rPr>
            </w:pPr>
            <w:r>
              <w:rPr>
                <w:rFonts w:ascii="Times New Roman;Times;serif" w:hAnsi="Times New Roman;Times;serif"/>
                <w:color w:val="000000"/>
                <w:sz w:val="16"/>
              </w:rPr>
              <w:t>4/5/2024</w:t>
            </w:r>
            <w:r>
              <w:rPr>
                <w:rFonts w:ascii="Times New Roman;Times;serif" w:hAnsi="Times New Roman;Times;serif"/>
                <w:color w:val="000000"/>
                <w:position w:val="5"/>
                <w:sz w:val="13"/>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64" w:right="0" w:hanging="0"/>
              <w:jc w:val="left"/>
              <w:rPr>
                <w:rFonts w:ascii="Times New Roman;Times;serif" w:hAnsi="Times New Roman;Times;serif"/>
                <w:color w:val="000000"/>
                <w:sz w:val="16"/>
              </w:rPr>
            </w:pPr>
            <w:r>
              <w:rPr>
                <w:rFonts w:ascii="Times New Roman;Times;serif" w:hAnsi="Times New Roman;Times;serif"/>
                <w:color w:val="000000"/>
                <w:sz w:val="16"/>
              </w:rPr>
              <w:t>6/1/2024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2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1"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3" w:right="0" w:hanging="0"/>
              <w:jc w:val="left"/>
              <w:rPr>
                <w:rFonts w:ascii="Times New Roman;Times;serif" w:hAnsi="Times New Roman;Times;serif"/>
                <w:color w:val="000000"/>
                <w:sz w:val="16"/>
              </w:rPr>
            </w:pPr>
            <w:r>
              <w:rPr>
                <w:rFonts w:ascii="Times New Roman;Times;serif" w:hAnsi="Times New Roman;Times;serif"/>
                <w:color w:val="000000"/>
                <w:sz w:val="16"/>
              </w:rPr>
              <w:t>618,311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41"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1,112,960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9" w:name="ny20034373x2_def14a_111-executive_pg4"/>
      <w:bookmarkStart w:id="60" w:name="ny20034373x2_def14a_111-executive_pg4"/>
      <w:bookmarkEnd w:id="60"/>
    </w:p>
    <w:tbl>
      <w:tblPr>
        <w:tblW w:w="10605" w:type="dxa"/>
        <w:jc w:val="left"/>
        <w:tblInd w:w="0" w:type="dxa"/>
        <w:tblLayout w:type="fixed"/>
        <w:tblCellMar>
          <w:top w:w="0" w:type="dxa"/>
          <w:left w:w="0" w:type="dxa"/>
          <w:bottom w:w="0" w:type="dxa"/>
          <w:right w:w="0" w:type="dxa"/>
        </w:tblCellMar>
      </w:tblPr>
      <w:tblGrid>
        <w:gridCol w:w="155"/>
        <w:gridCol w:w="755"/>
        <w:gridCol w:w="140"/>
        <w:gridCol w:w="140"/>
        <w:gridCol w:w="470"/>
        <w:gridCol w:w="140"/>
        <w:gridCol w:w="140"/>
        <w:gridCol w:w="635"/>
        <w:gridCol w:w="140"/>
        <w:gridCol w:w="140"/>
        <w:gridCol w:w="1175"/>
        <w:gridCol w:w="140"/>
        <w:gridCol w:w="140"/>
        <w:gridCol w:w="860"/>
        <w:gridCol w:w="140"/>
        <w:gridCol w:w="140"/>
        <w:gridCol w:w="995"/>
        <w:gridCol w:w="140"/>
        <w:gridCol w:w="140"/>
        <w:gridCol w:w="770"/>
        <w:gridCol w:w="140"/>
        <w:gridCol w:w="140"/>
        <w:gridCol w:w="770"/>
        <w:gridCol w:w="140"/>
        <w:gridCol w:w="140"/>
        <w:gridCol w:w="605"/>
        <w:gridCol w:w="140"/>
        <w:gridCol w:w="140"/>
        <w:gridCol w:w="740"/>
        <w:gridCol w:w="155"/>
      </w:tblGrid>
      <w:tr>
        <w:trPr/>
        <w:tc>
          <w:tcPr>
            <w:tcW w:w="15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5"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35" w:type="dxa"/>
            <w:gridSpan w:val="10"/>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25"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755" w:type="dxa"/>
            <w:tcBorders>
              <w:bottom w:val="single" w:sz="8" w:space="0" w:color="000000"/>
            </w:tcBorders>
            <w:tcMar>
              <w:bottom w:w="3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Type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 </w:t>
            </w:r>
          </w:p>
        </w:tc>
        <w:tc>
          <w:tcPr>
            <w:tcW w:w="155"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755"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Denise Faltischek</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10/17/2019</w:t>
            </w:r>
            <w:r>
              <w:rPr>
                <w:rFonts w:ascii="Times New Roman;Times;serif" w:hAnsi="Times New Roman;Times;serif"/>
                <w:color w:val="000000"/>
                <w:position w:val="5"/>
                <w:sz w:val="13"/>
                <w:sz w:val="16"/>
              </w:rPr>
              <w:t>(7)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APH Ex</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10/17/2019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rFonts w:ascii="Times New Roman;Times;serif" w:hAnsi="Times New Roman;Times;serif"/>
                <w:color w:val="000000"/>
                <w:sz w:val="16"/>
              </w:rPr>
            </w:pPr>
            <w:r>
              <w:rPr>
                <w:rFonts w:ascii="Times New Roman;Times;serif" w:hAnsi="Times New Roman;Times;serif"/>
                <w:color w:val="000000"/>
                <w:sz w:val="16"/>
              </w:rPr>
              <w:t>249,000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6.50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rFonts w:ascii="Times New Roman;Times;serif" w:hAnsi="Times New Roman;Times;serif"/>
                <w:color w:val="000000"/>
                <w:sz w:val="16"/>
              </w:rPr>
            </w:pPr>
            <w:r>
              <w:rPr>
                <w:rFonts w:ascii="Times New Roman;Times;serif" w:hAnsi="Times New Roman;Times;serif"/>
                <w:color w:val="000000"/>
                <w:sz w:val="16"/>
              </w:rPr>
              <w:t>10/17/2024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color w:val="000000"/>
              </w:rPr>
            </w:pPr>
            <w:r>
              <w:rPr>
                <w:color w:val="00000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16,224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29,203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87,592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10,949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10,949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123,588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222,458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7/31/2022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187,854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338,137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498,705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897,669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627,197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1,128,955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4/5/2024</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627,197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1,128,955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restart"/>
            <w:tcBorders/>
            <w:vAlign w:val="center"/>
          </w:tcPr>
          <w:p>
            <w:pPr>
              <w:pStyle w:val="TableContents"/>
              <w:bidi w:val="0"/>
              <w:spacing w:before="0" w:after="0"/>
              <w:jc w:val="left"/>
              <w:rPr/>
            </w:pPr>
            <w:r>
              <w:rPr/>
              <w:t> </w:t>
            </w:r>
          </w:p>
        </w:tc>
        <w:tc>
          <w:tcPr>
            <w:tcW w:w="755" w:type="dxa"/>
            <w:vMerge w:val="restart"/>
            <w:tcBorders/>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Roger Savell</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r>
              <w:rPr>
                <w:rFonts w:ascii="Times New Roman;Times;serif" w:hAnsi="Times New Roman;Times;serif"/>
                <w:color w:val="000000"/>
                <w:position w:val="5"/>
                <w:sz w:val="13"/>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29,830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53,694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r>
              <w:rPr>
                <w:rFonts w:ascii="Times New Roman;Times;serif" w:hAnsi="Times New Roman;Times;serif"/>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11,186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20,135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r>
              <w:rPr>
                <w:rFonts w:ascii="Times New Roman;Times;serif" w:hAnsi="Times New Roman;Times;serif"/>
                <w:color w:val="000000"/>
                <w:position w:val="5"/>
                <w:sz w:val="13"/>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11,186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20,135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4/5/2022</w:t>
            </w:r>
            <w:r>
              <w:rPr>
                <w:rFonts w:ascii="Times New Roman;Times;serif" w:hAnsi="Times New Roman;Times;serif"/>
                <w:color w:val="000000"/>
                <w:position w:val="5"/>
                <w:sz w:val="13"/>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4/5/2022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89,485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161,073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187,854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338,137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20,598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37,076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453,368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816,062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449,353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808,8358 </w:t>
            </w:r>
          </w:p>
        </w:tc>
        <w:tc>
          <w:tcPr>
            <w:tcW w:w="155" w:type="dxa"/>
            <w:tcBorders/>
            <w:vAlign w:val="center"/>
          </w:tcPr>
          <w:p>
            <w:pPr>
              <w:pStyle w:val="TableContents"/>
              <w:bidi w:val="0"/>
              <w:spacing w:before="0" w:after="0"/>
              <w:jc w:val="left"/>
              <w:rPr/>
            </w:pPr>
            <w:r>
              <w:rPr/>
              <w:t> </w:t>
            </w:r>
          </w:p>
        </w:tc>
      </w:tr>
      <w:tr>
        <w:trPr/>
        <w:tc>
          <w:tcPr>
            <w:tcW w:w="155" w:type="dxa"/>
            <w:vMerge w:val="continue"/>
            <w:tcBorders/>
            <w:vAlign w:val="center"/>
          </w:tcPr>
          <w:p>
            <w:pPr>
              <w:pStyle w:val="Normal"/>
              <w:bidi w:val="0"/>
              <w:jc w:val="left"/>
              <w:rPr/>
            </w:pPr>
            <w:r>
              <w:rPr/>
            </w:r>
          </w:p>
        </w:tc>
        <w:tc>
          <w:tcPr>
            <w:tcW w:w="75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4/5/2024</w:t>
            </w:r>
            <w:r>
              <w:rPr>
                <w:rFonts w:ascii="Times New Roman;Times;serif" w:hAnsi="Times New Roman;Times;serif"/>
                <w:color w:val="000000"/>
                <w:position w:val="5"/>
                <w:sz w:val="13"/>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3"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406"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1"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449,353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08,835 </w:t>
            </w:r>
          </w:p>
        </w:tc>
        <w:tc>
          <w:tcPr>
            <w:tcW w:w="155" w:type="dxa"/>
            <w:tcBorders/>
            <w:vAlign w:val="center"/>
          </w:tcPr>
          <w:p>
            <w:pPr>
              <w:pStyle w:val="TableContents"/>
              <w:bidi w:val="0"/>
              <w:spacing w:before="0" w:after="0"/>
              <w:jc w:val="left"/>
              <w:rPr/>
            </w:pPr>
            <w:r>
              <w:rPr/>
              <w:t> </w:t>
            </w:r>
          </w:p>
        </w:tc>
      </w:tr>
      <w:tr>
        <w:trPr/>
        <w:tc>
          <w:tcPr>
            <w:tcW w:w="155" w:type="dxa"/>
            <w:vMerge w:val="restart"/>
            <w:tcBorders/>
            <w:shd w:fill="C7CDE8" w:val="clear"/>
            <w:vAlign w:val="center"/>
          </w:tcPr>
          <w:p>
            <w:pPr>
              <w:pStyle w:val="TableContents"/>
              <w:bidi w:val="0"/>
              <w:spacing w:before="0" w:after="0"/>
              <w:jc w:val="left"/>
              <w:rPr/>
            </w:pPr>
            <w:r>
              <w:rPr/>
              <w:t> </w:t>
            </w:r>
          </w:p>
        </w:tc>
        <w:tc>
          <w:tcPr>
            <w:tcW w:w="755" w:type="dxa"/>
            <w:vMerge w:val="restart"/>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Mitchell Gendel</w:t>
            </w:r>
          </w:p>
        </w:tc>
        <w:tc>
          <w:tcPr>
            <w:tcW w:w="140" w:type="dxa"/>
            <w:vMerge w:val="restart"/>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10,049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6,083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10,049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16,224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29,203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7/26/2021</w:t>
            </w:r>
            <w:r>
              <w:rPr>
                <w:rFonts w:ascii="Times New Roman;Times;serif" w:hAnsi="Times New Roman;Times;serif"/>
                <w:color w:val="000000"/>
                <w:position w:val="5"/>
                <w:sz w:val="13"/>
                <w:sz w:val="16"/>
              </w:rPr>
              <w:t>(3)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48,662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87,592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105,050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189,090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7/26/2022</w:t>
            </w:r>
            <w:r>
              <w:rPr>
                <w:rFonts w:ascii="Times New Roman;Times;serif" w:hAnsi="Times New Roman;Times;serif"/>
                <w:color w:val="000000"/>
                <w:position w:val="5"/>
                <w:sz w:val="13"/>
                <w:sz w:val="16"/>
              </w:rPr>
              <w:t>(6)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187,854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338,137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462,435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832,383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7/26/2023</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EIP 2028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7/26/2023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righ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544,773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980,5919 </w:t>
            </w:r>
          </w:p>
        </w:tc>
        <w:tc>
          <w:tcPr>
            <w:tcW w:w="155" w:type="dxa"/>
            <w:tcBorders/>
            <w:shd w:fill="C7CDE8" w:val="clear"/>
            <w:vAlign w:val="center"/>
          </w:tcPr>
          <w:p>
            <w:pPr>
              <w:pStyle w:val="TableContents"/>
              <w:bidi w:val="0"/>
              <w:spacing w:before="0" w:after="0"/>
              <w:jc w:val="left"/>
              <w:rPr/>
            </w:pPr>
            <w:r>
              <w:rPr/>
              <w:t> </w:t>
            </w:r>
          </w:p>
        </w:tc>
      </w:tr>
      <w:tr>
        <w:trPr/>
        <w:tc>
          <w:tcPr>
            <w:tcW w:w="155" w:type="dxa"/>
            <w:vMerge w:val="continue"/>
            <w:tcBorders/>
            <w:shd w:fill="C7CDE8" w:val="clear"/>
            <w:vAlign w:val="center"/>
          </w:tcPr>
          <w:p>
            <w:pPr>
              <w:pStyle w:val="Normal"/>
              <w:bidi w:val="0"/>
              <w:jc w:val="left"/>
              <w:rPr/>
            </w:pPr>
            <w:r>
              <w:rPr/>
            </w:r>
          </w:p>
        </w:tc>
        <w:tc>
          <w:tcPr>
            <w:tcW w:w="755" w:type="dxa"/>
            <w:vMerge w:val="continue"/>
            <w:tcBorders/>
            <w:shd w:fill="C7CDE8" w:val="clear"/>
            <w:vAlign w:val="center"/>
          </w:tcPr>
          <w:p>
            <w:pPr>
              <w:pStyle w:val="Normal"/>
              <w:bidi w:val="0"/>
              <w:jc w:val="left"/>
              <w:rPr/>
            </w:pPr>
            <w:r>
              <w:rPr/>
            </w:r>
          </w:p>
        </w:tc>
        <w:tc>
          <w:tcPr>
            <w:tcW w:w="140" w:type="dxa"/>
            <w:vMerge w:val="continue"/>
            <w:tcBorders/>
            <w:shd w:fill="C7CDE8" w:val="clear"/>
            <w:vAlign w:val="center"/>
          </w:tcPr>
          <w:p>
            <w:pPr>
              <w:pStyle w:val="Normal"/>
              <w:bidi w:val="0"/>
              <w:jc w:val="left"/>
              <w:rPr/>
            </w:pPr>
            <w:r>
              <w:rPr/>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4/5/2024</w:t>
            </w:r>
            <w:r>
              <w:rPr>
                <w:rFonts w:ascii="Times New Roman;Times;serif" w:hAnsi="Times New Roman;Times;serif"/>
                <w:color w:val="000000"/>
                <w:position w:val="5"/>
                <w:sz w:val="13"/>
                <w:sz w:val="16"/>
              </w:rPr>
              <w:t>(8)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EIP 2018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243" w:right="0" w:hanging="0"/>
              <w:jc w:val="left"/>
              <w:rPr>
                <w:rFonts w:ascii="Times New Roman;Times;serif" w:hAnsi="Times New Roman;Times;serif"/>
                <w:color w:val="000000"/>
                <w:sz w:val="16"/>
              </w:rPr>
            </w:pPr>
            <w:r>
              <w:rPr>
                <w:rFonts w:ascii="Times New Roman;Times;serif" w:hAnsi="Times New Roman;Times;serif"/>
                <w:color w:val="000000"/>
                <w:sz w:val="16"/>
              </w:rPr>
              <w:t>6/1/2024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153"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406"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1"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10" w:right="0" w:hanging="0"/>
              <w:jc w:val="left"/>
              <w:rPr>
                <w:rFonts w:ascii="Times New Roman;Times;serif" w:hAnsi="Times New Roman;Times;serif"/>
                <w:color w:val="000000"/>
                <w:sz w:val="16"/>
              </w:rPr>
            </w:pPr>
            <w:r>
              <w:rPr>
                <w:rFonts w:ascii="Times New Roman;Times;serif" w:hAnsi="Times New Roman;Times;serif"/>
                <w:color w:val="000000"/>
                <w:sz w:val="16"/>
              </w:rPr>
              <w:t>544,773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283"/>
              <w:ind w:left="68" w:right="0" w:hanging="0"/>
              <w:jc w:val="left"/>
              <w:rPr>
                <w:rFonts w:ascii="Times New Roman;Times;serif" w:hAnsi="Times New Roman;Times;serif"/>
                <w:color w:val="000000"/>
                <w:sz w:val="16"/>
              </w:rPr>
            </w:pPr>
            <w:r>
              <w:rPr>
                <w:rFonts w:ascii="Times New Roman;Times;serif" w:hAnsi="Times New Roman;Times;serif"/>
                <w:color w:val="000000"/>
                <w:sz w:val="16"/>
              </w:rPr>
              <w:t>80,591</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75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40"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18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value for each NEOs was based on the closing price $1.80 per share on May 31, 2024.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vest in three years with 1/3 of the options vesting on each anniversary of the vesting commencement date through the third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 vests in three years with 1/3 of the award vesting on each anniversary of the vesting commencement date through the third anniversary of the vesting commencement date. </w:t>
            </w:r>
          </w:p>
        </w:tc>
      </w:tr>
    </w:tbl>
    <w:tbl>
      <w:tblPr>
        <w:tblW w:w="3685" w:type="dxa"/>
        <w:jc w:val="left"/>
        <w:tblInd w:w="0" w:type="dxa"/>
        <w:tblLayout w:type="fixed"/>
        <w:tblCellMar>
          <w:top w:w="0" w:type="dxa"/>
          <w:left w:w="0" w:type="dxa"/>
          <w:bottom w:w="0" w:type="dxa"/>
          <w:right w:w="0" w:type="dxa"/>
        </w:tblCellMar>
      </w:tblPr>
      <w:tblGrid>
        <w:gridCol w:w="230"/>
        <w:gridCol w:w="34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100% of the award vests on December 31, 2025.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 vests in three years with 50% of the award vesting on the first anniversary of the vesting commencement date and 25% of the award vesting on each of the second and third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 vests in three years with 50% of the award vesting on July 31, 2023, 25% of the award vesting on July 31, 2024, and 25% of the award vesting on July 31, 2025. </w:t>
            </w:r>
          </w:p>
        </w:tc>
      </w:tr>
    </w:tbl>
    <w:tbl>
      <w:tblPr>
        <w:tblW w:w="5440" w:type="dxa"/>
        <w:jc w:val="left"/>
        <w:tblInd w:w="0" w:type="dxa"/>
        <w:tblLayout w:type="fixed"/>
        <w:tblCellMar>
          <w:top w:w="0" w:type="dxa"/>
          <w:left w:w="0" w:type="dxa"/>
          <w:bottom w:w="0" w:type="dxa"/>
          <w:right w:w="0" w:type="dxa"/>
        </w:tblCellMar>
      </w:tblPr>
      <w:tblGrid>
        <w:gridCol w:w="230"/>
        <w:gridCol w:w="521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5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options vested on the grant date and will expire on October 17, 2024.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61" w:name="ny20034373x2_def14a_111-executive_pg5"/>
      <w:bookmarkEnd w:id="61"/>
      <w:r>
        <w:rPr>
          <w:rFonts w:ascii="Arial" w:hAnsi="Arial"/>
          <w:b/>
          <w:color w:val="00489A"/>
          <w:sz w:val="20"/>
        </w:rPr>
        <w:t xml:space="preserve">Option Exercises And Stock Vested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shows for the Fiscal Year 2024, certain information regarding option exercises and stock vested during the last fiscal year with respect to the NEOs. </w:t>
      </w:r>
    </w:p>
    <w:tbl>
      <w:tblPr>
        <w:tblW w:w="7920" w:type="dxa"/>
        <w:jc w:val="left"/>
        <w:tblInd w:w="0" w:type="dxa"/>
        <w:tblLayout w:type="fixed"/>
        <w:tblCellMar>
          <w:top w:w="0" w:type="dxa"/>
          <w:left w:w="0" w:type="dxa"/>
          <w:bottom w:w="0" w:type="dxa"/>
          <w:right w:w="0" w:type="dxa"/>
        </w:tblCellMar>
      </w:tblPr>
      <w:tblGrid>
        <w:gridCol w:w="155"/>
        <w:gridCol w:w="1460"/>
        <w:gridCol w:w="140"/>
        <w:gridCol w:w="140"/>
        <w:gridCol w:w="1370"/>
        <w:gridCol w:w="140"/>
        <w:gridCol w:w="140"/>
        <w:gridCol w:w="1145"/>
        <w:gridCol w:w="140"/>
        <w:gridCol w:w="140"/>
        <w:gridCol w:w="1370"/>
        <w:gridCol w:w="140"/>
        <w:gridCol w:w="140"/>
        <w:gridCol w:w="1145"/>
        <w:gridCol w:w="155"/>
      </w:tblGrid>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Exercise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1,064,119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$5,209,741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Carl Merton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3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3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162,144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715,546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172,872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762,170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Roger Savell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53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3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126,146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617,818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Mitchell Gendel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157,267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704,902</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46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37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4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Pension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did not participate in, or otherwise receive any benefits under, any pension or defined benefit retirement plan sponsored by us in Fiscal Year 2024.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Nonqualified Deferred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NEOs did not participate in, or earn any benefits under, a nonqualified deferred compensation plan sponsored by us during Fiscal Year 2024.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Employment, Severance And Change In Control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Irwin Simon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27, 2021, the Company entered into an employment agreement with Irwin D. Simon in connection with his appointment as Chief Executive Officer and Chairman of the Board following the business combination with Aphria Inc., at an annual base salary of $1,700,000, effective as of the Effective Date, which may be increased but not decreased, as determined at an annual review of his performance and compensation by the Compensation Committee. Ms. Simon’s annual base salary was increased to $1,891,760 for Fiscal Year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 is eligible to earn an additional annual performance-based cash bonus in amounts ranging from 200% of his base salary at “target” to 350% of his base salary at “maximum,” if performance benchmarks, as determined in accordance with the employment agreement, are met. For the Fiscal Year 2024, the Compensation Committee determined Mr. Simon’s annual cash bonus to be $1,040,000, or 27% of his target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2024, the Compensation Committee determined Mr. Simon’s annual RSU equity grant to be $4,547,501 in value as of the grant date (or 2,356,218 RSUs).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As additional incentive to entering into the employment agreement, on July 27, 2021, Mr. Simon received the following one-time equity grants having an aggregate value as of the July 27, 2021 grant date equal to $15,000,000, calculated using the closing price of the Company’s Common Stock on the grant date: (i) 392,772 performance-based restricted stock units (“</w:t>
      </w:r>
      <w:r>
        <w:rPr>
          <w:rFonts w:ascii="Times New Roman;Times;serif" w:hAnsi="Times New Roman;Times;serif"/>
          <w:b/>
          <w:i/>
          <w:color w:val="000000"/>
          <w:sz w:val="20"/>
        </w:rPr>
        <w:t>PSUs</w:t>
      </w:r>
      <w:r>
        <w:rPr>
          <w:rFonts w:ascii="Times New Roman;Times;serif" w:hAnsi="Times New Roman;Times;serif"/>
          <w:color w:val="000000"/>
          <w:sz w:val="20"/>
        </w:rPr>
        <w:t>”), subject to certain stock appreciation performance conditions and vesting as set forth in the employment agreement; (ii) 392,772 time-based restricted stock units (“</w:t>
      </w:r>
      <w:r>
        <w:rPr>
          <w:rFonts w:ascii="Times New Roman;Times;serif" w:hAnsi="Times New Roman;Times;serif"/>
          <w:b/>
          <w:i/>
          <w:color w:val="000000"/>
          <w:sz w:val="20"/>
        </w:rPr>
        <w:t>RSUs</w:t>
      </w:r>
      <w:r>
        <w:rPr>
          <w:rFonts w:ascii="Times New Roman;Times;serif" w:hAnsi="Times New Roman;Times;serif"/>
          <w:color w:val="000000"/>
          <w:sz w:val="20"/>
        </w:rPr>
        <w:t>”), which vest one-third on each of June 1, 2022, June 1, 2023, and June 1, 2024; and (iii) 392,772 restricted stock units (the “</w:t>
      </w:r>
      <w:r>
        <w:rPr>
          <w:rFonts w:ascii="Times New Roman;Times;serif" w:hAnsi="Times New Roman;Times;serif"/>
          <w:b/>
          <w:i/>
          <w:color w:val="000000"/>
          <w:sz w:val="20"/>
        </w:rPr>
        <w:t>Synergy Equity Awards</w:t>
      </w:r>
      <w:r>
        <w:rPr>
          <w:rFonts w:ascii="Times New Roman;Times;serif" w:hAnsi="Times New Roman;Times;serif"/>
          <w:color w:val="000000"/>
          <w:sz w:val="20"/>
        </w:rPr>
        <w:t xml:space="preserve">”), subject to performance-based vesting of 50% upon achievement of savings equal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62" w:name="ny20034373x2_def14a_111-executive_pg6"/>
      <w:bookmarkEnd w:id="62"/>
      <w:r>
        <w:rPr>
          <w:rFonts w:ascii="Times New Roman;Times;serif" w:hAnsi="Times New Roman;Times;serif"/>
          <w:color w:val="000000"/>
          <w:sz w:val="20"/>
        </w:rPr>
        <w:t xml:space="preserve">to $50,000,000 and 100% vesting upon achievement of savings of $80,000,000, and further subject to time-based vesting, with 50% vesting on July 27, 2022, and 25% vesting on each of July 27, 2023, and July 27, 2024, given that the performance-based vesting conditions for the Synergy Equity Awards were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Simon is also entitled to (1) receive individual disability and life insurance coverage paid by the Company, (2) receive other executive benefits, including a car allowance of $1,200 per month and a Company-expensed smartphone and phone plan, (3) participate at the Company’s expense in all employee benefit plans maintained by Tilray for executive officers, including participation of Mr. Simon’s eligible dependents, and (4) receive other customary employee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Times New Roman;Times;serif" w:hAnsi="Times New Roman;Times;serif"/>
          <w:b/>
          <w:i/>
          <w:color w:val="000000"/>
          <w:sz w:val="20"/>
        </w:rPr>
        <w:t>Accrued Benefits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employment agreement also includes severance benefits that are subject to signing a release under certain circumstances. The amount of severance Mr. Simon is entitled to is dependent on the reason for his termination and whether it occurs within two years following a change of control of the Company. Mr. Simon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two years after a change of control, Mr. Simon will be entitled to (a) cash severance equal to 1.5 times (1.5x) the sum of (i) his then-base salary plus (ii) his target bonus; (b) continued benefits provided under the employment agreement, at entirely the Company’s cost, for 18 months, provided that if the Company determines that providing the continued health insurance under this benefit shall cause the plan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63" w:name="ny20034373x2_def14a_111-executive_pg7"/>
      <w:bookmarkEnd w:id="63"/>
      <w:r>
        <w:rPr>
          <w:rFonts w:ascii="Times New Roman;Times;serif" w:hAnsi="Times New Roman;Times;serif"/>
          <w:color w:val="000000"/>
          <w:sz w:val="20"/>
        </w:rPr>
        <w:t xml:space="preserve">to violate nondiscrimination regulations, then the Company shall pay to Mr. Simon for 18 months following the termination of his employment the monthly COBRA premium for Mr. Simon and his dependents, and in such case, the Company will pay to Mr. Simon, on an after-tax basis, a bonus equal to the grossed-up amount of all taxes applicable to the payments in lieu of continued health insurance benefits; (c) full vesting and payment of all unvested time-based equity and any performance-based awards that would be vested by the third anniversary of the effective date of his employment agreement, based upon satisfaction of performance-criteria that have already been satisfied at time of termination; (d) any bonus the performance conditions of which have been met in respect of a prior year, which has not yet been paid at time of termination; and (e) the Accrued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such termination does occur within two years after a change of control of the Company, Mr. Simon will be entitled to (a) 2.5 times (2.5x) the then-base salary; (b) 2.5 times (2.5x) the amount of the highest paid bonus (excluding transformation bonus, as defined in his employment agreement) prior to the effective date of the change in control of the Company; (c) the Accrued Benefits; (d) continued benefits provided under the employment agreement, at entirely the Company’s cost, for 30 months, provided that if the Company determines that providing the continued health insurance under this benefit shall cause the plan to violate nondiscrimination regulations, then the Company shall pay to Mr. Simon for 30 months (or such lesser period if benefits can be provided under the Company’s plan) following the termination of his employment the monthly COBRA premium for Mr. Simon and his dependents, and in such case, the Company will pay to Mr. Simon, on an after-tax basis, a bonus equal to the grossed-up for amount of all taxes applicable to the payments in lieu of continued health insurance benefits; (e) full vesting and payment of (i) all unvested time-based equity, (ii) all unvested performance-based grant that would vest by the third anniversary of the effective date of the employment agreement upon achieving the greater of the highest 30 day average share price prior to the change of control or the share price in the change on control, and (iii) all unvested synergy equity grant as provided under the employment agreement; (f) car allowance as provided under the employment agreement and the continued payment by the Company of the lease for Mr. Simon’s office and executive assistant located in New York City for a period of 2.5 years from the date of termination following a change in control of the Company. Mr. Irwin is also entitled to certain benefits and payments upon his death or disability. 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Carl Merton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26, 2021, the Company entered into an employment agreement with Mr. Merton, effective as of May 1, 2021, with an annual base salary of $348,008. On July 24, 2023, Mr. Merton’s annual base salary was increased to $388,304 for Fiscal Year 2024. Mr. Merton’s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employment period, Mr. Merton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Merton’s annual cash bonus to be $77,661, or 20% of his target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Merton’s annual RSU equity grant to be $673,481 in value as of the grant date (or 348,954 RSUs). Mr. Merton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his employment agreement, on July 26, 2021, Mr. Merton received a one-time equity grant having an aggregate value as of the July 26, 2021 grant date equal to $2,000,000, which was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Times;serif" w:hAnsi="Times New Roman;Times;serif"/>
          <w:color w:val="000000"/>
          <w:sz w:val="20"/>
        </w:rPr>
      </w:pPr>
      <w:bookmarkStart w:id="64" w:name="ny20034373x2_def14a_111-executive_pg8"/>
      <w:bookmarkEnd w:id="64"/>
      <w:r>
        <w:rPr>
          <w:rFonts w:ascii="Times New Roman;Times;serif" w:hAnsi="Times New Roman;Times;serif"/>
          <w:color w:val="000000"/>
          <w:sz w:val="20"/>
        </w:rPr>
        <w:t xml:space="preserve">divided equally into 48,662 PSUs, 48,661 RSUs and 48,662 Synergy Equity Awards, calculated using the closing price of the Company’s Common Stock on the grant date. In addition, Mr. Merton received an annual grant of 32,694 RSUs long-term incentive awards under the 2018 Equity Plan for the Fiscal Year 2022.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Times;serif" w:hAnsi="Times New Roman;Times;serif"/>
          <w:b/>
          <w:i/>
          <w:color w:val="000000"/>
          <w:sz w:val="20"/>
        </w:rPr>
        <w:t>Guaranteed Payments</w:t>
      </w:r>
      <w:r>
        <w:rPr>
          <w:rFonts w:ascii="Times New Roman;Times;serif" w:hAnsi="Times New Roman;Times;serif"/>
          <w:color w:val="000000"/>
          <w:sz w:val="20"/>
        </w:rPr>
        <w:t xml:space="preserve">”). In addition, all time-based equity awards then-held by the executive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Denise Faltischek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26, 2021, the Company entered into an employment agreement with Ms. Faltischek, effective as of May 1, 2021, with an annual base salary of $500,000. On July 24, 2023, Ms. Faltischek’s annual base salary was increased to $600,000 for Fiscal Year 2024. Ms. Faltischek’s employment with the Company is at-will and will continue until terminated in accordance with the terms of her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employment period, Ms. Faltischek will be entitled to participate in the Company’s annual bonus plan at an annual target bonus opportunity of 100% of her annual base salary, subject to the achievement of performance goals to be established by the Compensation Committee. For the Fiscal Year 2024, the Compensation Committee determined Ms. Faltischek’s annual cash bonus to be $120,000, or 20% of her target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2024, the Compensation Committee determined Ms. Faltischek’s annual RSU equity grant to be $962,501 in value as of the grant date (or 498,705 RSUs). Ms. Faltischek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calculated using the closing price of the Company’s Common Stock on the grant date. In addition, Ms. Faltischek received an annual grant of 26,687 RSUs long-term incentive awards under the 2018 Equity Plan for the Fiscal Year 2022.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65" w:name="ny20034373x2_def14a_111-executive_pg9"/>
      <w:bookmarkEnd w:id="65"/>
      <w:r>
        <w:rPr>
          <w:rFonts w:ascii="Times New Roman;Times;serif" w:hAnsi="Times New Roman;Times;serif"/>
          <w:color w:val="000000"/>
          <w:sz w:val="20"/>
        </w:rPr>
        <w:t xml:space="preserve">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Mitchell Gendel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July 26, 2021, the Company entered into an employment agreement with Mr. Gendel, effective as of July 17, 2021 with an annual base salary of $425,000. Mr. Gendel’s annual base salary was increased to $560,000 for Fiscal Year 2024. Mr. Gendel’s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employment period, Mr. Gendel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Gendel’s annual cash bonus to be $112,000, or 20% of his target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Gendel’s annual RSU equity grant to be $892,500 in value as of the grant date (or 462,435 RSUs). Mr. Gendel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his employment agreement, on July 26, 2021, Mr. Gendel received a one-time equity grant having an aggregate value as of the July 26, 2021 grant date equal to $2,000,000, which was divided equally into 48,662 PSUs, 48,661 RSUs and 48,662 Synergy Equity Awards, calculated using the closing price of the Company’s Common Stock on the grant date.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66" w:name="ny20034373x2_def14a_111-executive_pg10"/>
      <w:bookmarkEnd w:id="66"/>
      <w:r>
        <w:rPr>
          <w:rFonts w:ascii="Times New Roman;Times;serif" w:hAnsi="Times New Roman;Times;serif"/>
          <w:color w:val="000000"/>
          <w:sz w:val="20"/>
        </w:rPr>
        <w:t xml:space="preserve">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Guaranteed Payments, Mr. Gendel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Roger Savell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March 31, 2022, the Company entered into an employment agreement with Mr. Savell, with an annual base salary of $500,000. Mr. Savell’s annual base salary was increased to $525,000 for Fiscal Year 2024. Mr. Savell’s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employment period, Mr. Savell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Savell’s annual cash bonus to be $155,000, or 30% of his target amount.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Savell’s annual RSU equity grant to be $875,000 in value as of the grant date (or 453,368 RSUs). Mr. Savell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entry into his employment agreement in March 2022, Mr. Savell received a one-time equity grant having an aggregate value as of the March 2022 grant date equal to $2,000,000, which was divided into PSUs, RSUs and Synergy Equity Awards, calculated using the closing price of the Company’s Common Stock on the grant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67" w:name="ny20034373x2_def14a_111-executive_pg11"/>
      <w:bookmarkEnd w:id="67"/>
      <w:r>
        <w:rPr>
          <w:rFonts w:ascii="Times New Roman;Times;serif" w:hAnsi="Times New Roman;Times;serif"/>
          <w:color w:val="000000"/>
          <w:sz w:val="20"/>
        </w:rPr>
        <w:t xml:space="preserve">In addition to the Guaranteed Payments, Mr. Savell is eligible to receive severance compensation upon an involuntary termination of employment without “cause” or a voluntary termination of employment for “good reason” (in each case, as defined in his employment agreement), subject to Mr. Savell executing and not rescinding a customary release in a form acceptable to the Company. If such termination does not occur within twelve months after a “change of control,” Mr. Savell will be entitled to cash severance in the sum of 12-months’ of such executive’s then-base salary, plus a pro rata performance bonus at target. If such termination does occur within twelve months after a “change of control,” Mr. Savell will be entitled to cash severance in the sum of 24-months’ of his then-base salary, plus two times (2x) his performance bonus at target, plus a pro rata performance bonus at target. In addition, all equity awards then-held by Mr. Savell will be subject to accelerated vesting upon his death or termination without “cause” or for “good reason” following a “change of control.” Subject to timely election, the Company will pay on behalf of Mr. Savell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CEO Pay Ratio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Times;serif" w:hAnsi="Times New Roman;Times;serif"/>
          <w:b/>
          <w:i/>
          <w:color w:val="000000"/>
          <w:sz w:val="20"/>
        </w:rPr>
        <w:t>CEO Pay Ratio</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description of the methodology, including material assumptions, adjustments and estimates we used to identify the median employee for purposes of calculating the CEO Pay Ratio: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identified our median employee from all employees, including full-time and part-time employees who were on our payroll records as of a determination date of May 31, 2024.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for international employees was converted to U.S. dollar equivalents based on the applicable exchange 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determining compensation for purposes of the median calculation, we used each employee’s annual base pay and cash equivalent of benefits. </w:t>
            </w:r>
          </w:p>
        </w:tc>
      </w:tr>
    </w:tbl>
    <w:tbl>
      <w:tblPr>
        <w:tblW w:w="8230" w:type="dxa"/>
        <w:jc w:val="left"/>
        <w:tblInd w:w="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annualized the base salary earned during the fiscal year ending May 31, 2024 by all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then calculated the annual total base compensation of the identified median employee in accordance with the requirements of the Summary Compensation Table.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determined our median employee’s total compensation based upon the foregoing methodology for Fiscal Year 2024, including any perquisites and other benefits, in the same manner that we determine the total compensation of our named executive officers for purposes of the Summary Compensation Table disclosed above.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fiscal year ending May 31, 2024, the median employee’s total compensation was $40,088. As disclosed in the Summary Compensation Table, the total compensation of our CEO was $10,142,971, which includes equity awards valued on the date of grant (July 2023) equal to $4,547,501. This equity award amount was based on the grant date value of the Company’s stock equal to $1.93 per share, and is subject to retention and financial-performance based vesting conditions. Inclusive of the equity-incentive awards granted in July 2023, the resulting ratio of the annual total compensation of our CEO to the annual total compensation of the median employee was 253 to 1. The foregoing pay ratio represents the Company’s estimate calculated in a manner the Company believe to be consistent with the SEC rules and applicable guidance.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48</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68" w:name="ny20034373x2_def14a_111-executive_pg12"/>
      <w:bookmarkEnd w:id="68"/>
      <w:r>
        <w:rPr>
          <w:rFonts w:ascii="Times New Roman;Times;serif" w:hAnsi="Times New Roman;Times;serif"/>
          <w:color w:val="000000"/>
          <w:sz w:val="20"/>
        </w:rPr>
        <w:t xml:space="preserve">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Potential Payments Upon Termination or Change of Control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concerning the estimated payments and benefits to which each current NEO would be entitled under the applicable agreement assuming that the triggering event took place on May 31, 2024.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 </w:t>
      </w:r>
    </w:p>
    <w:tbl>
      <w:tblPr>
        <w:tblW w:w="10205" w:type="dxa"/>
        <w:jc w:val="left"/>
        <w:tblInd w:w="0" w:type="dxa"/>
        <w:tblLayout w:type="fixed"/>
        <w:tblCellMar>
          <w:top w:w="0" w:type="dxa"/>
          <w:left w:w="0" w:type="dxa"/>
          <w:bottom w:w="0" w:type="dxa"/>
          <w:right w:w="0" w:type="dxa"/>
        </w:tblCellMar>
      </w:tblPr>
      <w:tblGrid>
        <w:gridCol w:w="155"/>
        <w:gridCol w:w="2506"/>
        <w:gridCol w:w="140"/>
        <w:gridCol w:w="140"/>
        <w:gridCol w:w="776"/>
        <w:gridCol w:w="140"/>
        <w:gridCol w:w="140"/>
        <w:gridCol w:w="950"/>
        <w:gridCol w:w="140"/>
        <w:gridCol w:w="140"/>
        <w:gridCol w:w="950"/>
        <w:gridCol w:w="140"/>
        <w:gridCol w:w="140"/>
        <w:gridCol w:w="1119"/>
        <w:gridCol w:w="140"/>
        <w:gridCol w:w="140"/>
        <w:gridCol w:w="835"/>
        <w:gridCol w:w="140"/>
        <w:gridCol w:w="140"/>
        <w:gridCol w:w="1076"/>
        <w:gridCol w:w="158"/>
      </w:tblGrid>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6"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Awards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58"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(months)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pay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(Max)</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COBRA</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Equivalent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c>
          <w:tcPr>
            <w:tcW w:w="158"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 or for Good Reason</w:t>
            </w:r>
            <w:r>
              <w:rPr>
                <w:rFonts w:ascii="Times New Roman;Times;serif" w:hAnsi="Times New Roman;Times;serif"/>
                <w:color w:val="000000"/>
                <w:position w:val="7"/>
                <w:sz w:val="16"/>
                <w:sz w:val="20"/>
              </w:rPr>
              <w:t>(2)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$2,837,640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$5,675,280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8,276,537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$28,481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$16,817,938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$4,729,400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$9,458,800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$25,406,956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$47,469</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$39,642,624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283"/>
              <w:ind w:left="3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6" w:type="dxa"/>
            <w:tcBorders/>
            <w:vAlign w:val="center"/>
          </w:tcPr>
          <w:p>
            <w:pPr>
              <w:pStyle w:val="TableContents"/>
              <w:bidi w:val="0"/>
              <w:spacing w:before="0" w:after="283"/>
              <w:ind w:left="25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6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Carl Merton</w:t>
            </w:r>
            <w:r>
              <w:rPr>
                <w:rFonts w:ascii="Times New Roman;Times;serif" w:hAnsi="Times New Roman;Times;serif"/>
                <w:b/>
                <w:color w:val="000000"/>
                <w:position w:val="7"/>
                <w:sz w:val="16"/>
                <w:sz w:val="20"/>
              </w:rPr>
              <w:t>(3)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 or for Good Reason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388,304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388,304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1,184,312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1,963,995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776,608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776,608</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3,578,205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3,076</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5,134,497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283"/>
              <w:ind w:left="3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6" w:type="dxa"/>
            <w:tcBorders/>
            <w:vAlign w:val="center"/>
          </w:tcPr>
          <w:p>
            <w:pPr>
              <w:pStyle w:val="TableContents"/>
              <w:bidi w:val="0"/>
              <w:spacing w:before="0" w:after="283"/>
              <w:ind w:left="25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6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Denise Faltischek</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 or for Good Reason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1,509,367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$18,987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2,728,354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3,936,403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$18,987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6,355,390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283"/>
              <w:ind w:left="3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6" w:type="dxa"/>
            <w:tcBorders/>
            <w:vAlign w:val="center"/>
          </w:tcPr>
          <w:p>
            <w:pPr>
              <w:pStyle w:val="TableContents"/>
              <w:bidi w:val="0"/>
              <w:spacing w:before="0" w:after="283"/>
              <w:ind w:left="25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6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Roger Savell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 or for Good Reason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1,285,240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$12,191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2,347,431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3,122,400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$12,191</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5,234,591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506" w:type="dxa"/>
            <w:tcBorders/>
            <w:vAlign w:val="center"/>
          </w:tcPr>
          <w:p>
            <w:pPr>
              <w:pStyle w:val="TableContents"/>
              <w:bidi w:val="0"/>
              <w:spacing w:before="0" w:after="283"/>
              <w:ind w:left="3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6" w:type="dxa"/>
            <w:tcBorders/>
            <w:vAlign w:val="center"/>
          </w:tcPr>
          <w:p>
            <w:pPr>
              <w:pStyle w:val="TableContents"/>
              <w:bidi w:val="0"/>
              <w:spacing w:before="0" w:after="283"/>
              <w:ind w:left="25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9" w:type="dxa"/>
            <w:tcBorders/>
            <w:vAlign w:val="center"/>
          </w:tcPr>
          <w:p>
            <w:pPr>
              <w:pStyle w:val="TableContents"/>
              <w:bidi w:val="0"/>
              <w:spacing w:before="0" w:after="283"/>
              <w:ind w:left="6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7"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283"/>
              <w:ind w:left="0" w:right="0" w:hanging="0"/>
              <w:jc w:val="left"/>
              <w:rPr>
                <w:sz w:val="4"/>
                <w:szCs w:val="4"/>
              </w:rPr>
            </w:pPr>
            <w:r>
              <w:rPr>
                <w:sz w:val="4"/>
                <w:szCs w:val="4"/>
              </w:rPr>
            </w:r>
          </w:p>
        </w:tc>
        <w:tc>
          <w:tcPr>
            <w:tcW w:w="158"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Mitchell Gendel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sz w:val="4"/>
                <w:szCs w:val="4"/>
              </w:rPr>
            </w:pPr>
            <w:r>
              <w:rPr>
                <w:sz w:val="4"/>
                <w:szCs w:val="4"/>
              </w:rPr>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Termination Without Cause or for Good Reason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1,410,712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$14,233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2,544,945 </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$1,120,000</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283"/>
              <w:ind w:left="6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3,530,307</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283"/>
              <w:ind w:left="67" w:right="0" w:hanging="0"/>
              <w:jc w:val="left"/>
              <w:rPr>
                <w:rFonts w:ascii="Times New Roman;Times;serif" w:hAnsi="Times New Roman;Times;serif"/>
                <w:color w:val="000000"/>
                <w:sz w:val="20"/>
              </w:rPr>
            </w:pPr>
            <w:r>
              <w:rPr>
                <w:rFonts w:ascii="Times New Roman;Times;serif" w:hAnsi="Times New Roman;Times;serif"/>
                <w:color w:val="000000"/>
                <w:sz w:val="20"/>
              </w:rPr>
              <w:t>$14,233</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5,784,540</w:t>
            </w:r>
          </w:p>
        </w:tc>
        <w:tc>
          <w:tcPr>
            <w:tcW w:w="158"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2506"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6"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5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19"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76" w:type="dxa"/>
            <w:tcBorders/>
            <w:shd w:fill="C7CDE8" w:val="clear"/>
            <w:vAlign w:val="center"/>
          </w:tcPr>
          <w:p>
            <w:pPr>
              <w:pStyle w:val="TableContents"/>
              <w:bidi w:val="0"/>
              <w:spacing w:before="0" w:after="0"/>
              <w:jc w:val="left"/>
              <w:rPr/>
            </w:pPr>
            <w:r>
              <w:rPr/>
              <w:t> </w:t>
            </w:r>
          </w:p>
        </w:tc>
        <w:tc>
          <w:tcPr>
            <w:tcW w:w="158"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all NEOs, the value of equity award acceleration of vesting is based on the closing stock price of $1.80 per share of our common stock as reported on the Nasdaq Global Select Market on May 31, 2024, and based on a 100% target vesting. </w:t>
            </w:r>
          </w:p>
        </w:tc>
      </w:tr>
    </w:tbl>
    <w:tbl>
      <w:tblPr>
        <w:tblW w:w="7630" w:type="dxa"/>
        <w:jc w:val="left"/>
        <w:tblInd w:w="0" w:type="dxa"/>
        <w:tblLayout w:type="fixed"/>
        <w:tblCellMar>
          <w:top w:w="0" w:type="dxa"/>
          <w:left w:w="0" w:type="dxa"/>
          <w:bottom w:w="0" w:type="dxa"/>
          <w:right w:w="0" w:type="dxa"/>
        </w:tblCellMar>
      </w:tblPr>
      <w:tblGrid>
        <w:gridCol w:w="230"/>
        <w:gridCol w:w="74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Simon is also entitled to certain payments upon termination of employment due to death or disability. </w:t>
            </w:r>
          </w:p>
        </w:tc>
      </w:tr>
    </w:tbl>
    <w:tbl>
      <w:tblPr>
        <w:tblW w:w="8725" w:type="dxa"/>
        <w:jc w:val="left"/>
        <w:tblInd w:w="0" w:type="dxa"/>
        <w:tblLayout w:type="fixed"/>
        <w:tblCellMar>
          <w:top w:w="0" w:type="dxa"/>
          <w:left w:w="0" w:type="dxa"/>
          <w:bottom w:w="0" w:type="dxa"/>
          <w:right w:w="0" w:type="dxa"/>
        </w:tblCellMar>
      </w:tblPr>
      <w:tblGrid>
        <w:gridCol w:w="230"/>
        <w:gridCol w:w="84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shown for Mr. Merton are converted into USD with an exchange rate of $0.7326 (USD) to $1.0000 (CAD).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COBRA calculations are based on current employer paid benefits as of May 31, 2024, for medical and dental coverage and based on family status.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69" w:name="ny20034373x2_def14a_111-executive_pg13"/>
      <w:bookmarkEnd w:id="69"/>
      <w:r>
        <w:rPr>
          <w:rFonts w:ascii="Arial" w:hAnsi="Arial"/>
          <w:b/>
          <w:color w:val="00489A"/>
          <w:sz w:val="20"/>
        </w:rPr>
        <w:t xml:space="preserve">Say-On-Pay Results; Next Vote for 2025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Large Accelerated Filer, the Nasdaq Global Select Market requires the Company to periodically hold a nonbinding advisory vote on our NEO compensation. Pursuant to an advisory vote at the Fiscal Year 2021 annual meeting, the Company adopted a frequency of every two years for solicitation of an advisory vote on our NEO compensation. Accordingly, the most recent vote occurred at the 2023 annual meeting, and the next such vote is expected to be solicited at our 2025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and Compensation Committee greatly value shareholder engagement and are committed to maintaining ongoing dialogue and incorporating stockholder feedback into the design of the executive compensation program going forward.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600" w:right="0" w:hanging="0"/>
        <w:jc w:val="center"/>
        <w:rPr>
          <w:rFonts w:ascii="Arial" w:hAnsi="Arial"/>
          <w:b/>
          <w:color w:val="00489A"/>
          <w:sz w:val="20"/>
        </w:rPr>
      </w:pPr>
      <w:bookmarkStart w:id="70" w:name="ny20034373x2_def14a_112-pvp_pg1"/>
      <w:bookmarkEnd w:id="70"/>
      <w:r>
        <w:rPr>
          <w:rFonts w:ascii="Arial" w:hAnsi="Arial"/>
          <w:b/>
          <w:color w:val="00489A"/>
          <w:sz w:val="20"/>
        </w:rPr>
        <w:t xml:space="preserve">PAY VERSUS PERFORMANCE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 </w:t>
      </w:r>
    </w:p>
    <w:p>
      <w:pPr>
        <w:pStyle w:val="TextBody"/>
        <w:bidi w:val="0"/>
        <w:spacing w:before="12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was 100% for the Synergy PSUs and HEXO PSUs The awards described in the Compensation Discussion &amp; Analysis section under “2024 EBITDA PSU Awards” granted during Fiscal Year 2024 did not have a fair value for purposes of ASC 718 on the grant date or as the last day of Fiscal Year 2024 due to the three-year cumulative performance targets not having been set during Fiscal Year 2024. Therefore, there is no corresponding amount for the 2024 EBITDA PSU Awards included in the Pay Versus Performance Table or the tables in the footnotes to the Pay Versus Performance table below. See footnote 2 to the Summary Compensation Table for a discussion of the value of the 2024 EBITDA PSU Awards based on the value of a share of Company common stock as of the date of grant. Total shareholder return has been calculated in a manner consistent with Item 402(v) of Regulation S-K. </w:t>
      </w:r>
    </w:p>
    <w:tbl>
      <w:tblPr>
        <w:tblW w:w="13260" w:type="dxa"/>
        <w:jc w:val="left"/>
        <w:tblInd w:w="0" w:type="dxa"/>
        <w:tblLayout w:type="fixed"/>
        <w:tblCellMar>
          <w:top w:w="0" w:type="dxa"/>
          <w:left w:w="0" w:type="dxa"/>
          <w:bottom w:w="0" w:type="dxa"/>
          <w:right w:w="0" w:type="dxa"/>
        </w:tblCellMar>
      </w:tblPr>
      <w:tblGrid>
        <w:gridCol w:w="155"/>
        <w:gridCol w:w="455"/>
        <w:gridCol w:w="140"/>
        <w:gridCol w:w="140"/>
        <w:gridCol w:w="1130"/>
        <w:gridCol w:w="140"/>
        <w:gridCol w:w="140"/>
        <w:gridCol w:w="1055"/>
        <w:gridCol w:w="140"/>
        <w:gridCol w:w="140"/>
        <w:gridCol w:w="1130"/>
        <w:gridCol w:w="140"/>
        <w:gridCol w:w="140"/>
        <w:gridCol w:w="1055"/>
        <w:gridCol w:w="140"/>
        <w:gridCol w:w="140"/>
        <w:gridCol w:w="1130"/>
        <w:gridCol w:w="140"/>
        <w:gridCol w:w="140"/>
        <w:gridCol w:w="1055"/>
        <w:gridCol w:w="140"/>
        <w:gridCol w:w="140"/>
        <w:gridCol w:w="860"/>
        <w:gridCol w:w="140"/>
        <w:gridCol w:w="140"/>
        <w:gridCol w:w="605"/>
        <w:gridCol w:w="140"/>
        <w:gridCol w:w="140"/>
        <w:gridCol w:w="890"/>
        <w:gridCol w:w="140"/>
        <w:gridCol w:w="140"/>
        <w:gridCol w:w="785"/>
        <w:gridCol w:w="155"/>
      </w:tblGrid>
      <w:tr>
        <w:trPr/>
        <w:tc>
          <w:tcPr>
            <w:tcW w:w="155"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65"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5"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PEO</w:t>
            </w:r>
            <w:r>
              <w:rPr>
                <w:rFonts w:ascii="Times New Roman;Times;serif" w:hAnsi="Times New Roman;Times;serif"/>
                <w:b/>
                <w:color w:val="000000"/>
                <w:position w:val="5"/>
                <w:sz w:val="13"/>
                <w:sz w:val="16"/>
              </w:rPr>
              <w:t>2</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PEO</w:t>
            </w:r>
            <w:r>
              <w:rPr>
                <w:rFonts w:ascii="Times New Roman;Times;serif" w:hAnsi="Times New Roman;Times;serif"/>
                <w:b/>
                <w:color w:val="000000"/>
                <w:position w:val="5"/>
                <w:sz w:val="13"/>
                <w:sz w:val="16"/>
              </w:rPr>
              <w:t>2</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46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NEOs</w:t>
            </w:r>
            <w:r>
              <w:rPr>
                <w:rFonts w:ascii="Times New Roman;Times;serif" w:hAnsi="Times New Roman;Times;serif"/>
                <w:b/>
                <w:color w:val="000000"/>
                <w:position w:val="5"/>
                <w:sz w:val="13"/>
                <w:sz w:val="16"/>
              </w:rPr>
              <w:t>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4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r>
              <w:rPr>
                <w:rFonts w:ascii="Times New Roman;Times;serif" w:hAnsi="Times New Roman;Times;serif"/>
                <w:b/>
                <w:color w:val="000000"/>
                <w:position w:val="5"/>
                <w:sz w:val="13"/>
                <w:sz w:val="16"/>
              </w:rPr>
              <w:t>10</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($000)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EBITDA</w:t>
            </w:r>
            <w:r>
              <w:rPr>
                <w:rFonts w:ascii="Times New Roman;Times;serif" w:hAnsi="Times New Roman;Times;serif"/>
                <w:b/>
                <w:color w:val="000000"/>
                <w:position w:val="5"/>
                <w:sz w:val="13"/>
                <w:sz w:val="16"/>
              </w:rPr>
              <w:t>11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($000)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ind w:left="35"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r>
              <w:rPr>
                <w:rFonts w:ascii="Times New Roman;Times;serif" w:hAnsi="Times New Roman;Times;serif"/>
                <w:b/>
                <w:color w:val="000000"/>
                <w:position w:val="5"/>
                <w:sz w:val="13"/>
                <w:sz w:val="16"/>
              </w:rPr>
              <w:t>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5 13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6</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w:t>
            </w:r>
            <w:r>
              <w:rPr>
                <w:rFonts w:ascii="Times New Roman;Times;serif" w:hAnsi="Times New Roman;Times;serif"/>
                <w:b/>
                <w:color w:val="000000"/>
                <w:position w:val="5"/>
                <w:sz w:val="13"/>
                <w:sz w:val="16"/>
              </w:rPr>
              <w:t>7 13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Cumulative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8</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TSR</w:t>
            </w:r>
            <w:r>
              <w:rPr>
                <w:rFonts w:ascii="Times New Roman;Times;serif" w:hAnsi="Times New Roman;Times;serif"/>
                <w:b/>
                <w:color w:val="000000"/>
                <w:position w:val="5"/>
                <w:sz w:val="13"/>
                <w:sz w:val="16"/>
              </w:rPr>
              <w:t>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$10,142,971</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$11,153,152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$2,061,804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$2,224,106</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$21.79</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$35.58</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($222,404)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 xml:space="preserve">$60,465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$15,656,584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$6,053,926</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$2,371,929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$994,995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$10.68</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$25.91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($1,443,000)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 xml:space="preserve">$61,479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$19,456,767</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$5,599,894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$2,755,870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$957,950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$26.56</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$47.89</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($434,132)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 xml:space="preserve">$48,047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$13,683,998</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$16,536,484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$6,458,729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$7,535,144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$2,208,882</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$3,475,621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$97.31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0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$120.91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($336,014)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 xml:space="preserve">$40,771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55" w:type="dxa"/>
            <w:tcBorders/>
            <w:shd w:fill="C7CDE8" w:val="clear"/>
            <w:vAlign w:val="center"/>
          </w:tcPr>
          <w:p>
            <w:pPr>
              <w:pStyle w:val="TableContents"/>
              <w:bidi w:val="0"/>
              <w:spacing w:before="0" w:after="283"/>
              <w:ind w:left="35" w:right="0" w:hanging="0"/>
              <w:jc w:val="left"/>
              <w:rPr>
                <w:rFonts w:ascii="Times New Roman;Times;serif" w:hAnsi="Times New Roman;Times;serif"/>
                <w:color w:val="000000"/>
                <w:sz w:val="17"/>
              </w:rPr>
            </w:pPr>
            <w:r>
              <w:rPr>
                <w:rFonts w:ascii="Times New Roman;Times;serif" w:hAnsi="Times New Roman;Times;serif"/>
                <w:color w:val="000000"/>
                <w:sz w:val="17"/>
              </w:rPr>
              <w:t>2020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$1,907,812</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($7,205,882)</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$1,394,132</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$431,435</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$48.22</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$90.06</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($100,833)</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jc w:val="center"/>
              <w:rPr>
                <w:rFonts w:ascii="Times New Roman;Times;serif" w:hAnsi="Times New Roman;Times;serif"/>
                <w:color w:val="000000"/>
                <w:sz w:val="17"/>
                <w:u w:val="single"/>
              </w:rPr>
            </w:pPr>
            <w:r>
              <w:rPr>
                <w:rFonts w:ascii="Times New Roman;Times;serif" w:hAnsi="Times New Roman;Times;serif"/>
                <w:color w:val="000000"/>
                <w:sz w:val="17"/>
                <w:u w:val="single"/>
              </w:rPr>
              <w:t>$5,845</w:t>
            </w:r>
            <w:r>
              <w:rPr>
                <w:rFonts w:ascii="Times New Roman;Times;serif" w:hAnsi="Times New Roman;Times;serif"/>
                <w:color w:val="000000"/>
                <w:position w:val="6"/>
                <w:sz w:val="14"/>
                <w:sz w:val="17"/>
                <w:u w:val="single"/>
              </w:rPr>
              <w:t>12</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184"/>
        <w:gridCol w:w="94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accordance with the transitional relief under the SEC rules, only three fiscal years ending May 31</w:t>
            </w:r>
            <w:r>
              <w:rPr>
                <w:rFonts w:ascii="Times New Roman;Times;serif" w:hAnsi="Times New Roman;Times;serif"/>
                <w:color w:val="000000"/>
                <w:position w:val="5"/>
                <w:sz w:val="13"/>
                <w:sz w:val="16"/>
              </w:rPr>
              <w:t xml:space="preserve">st </w:t>
            </w:r>
            <w:r>
              <w:rPr>
                <w:rFonts w:ascii="Times New Roman;Times;serif" w:hAnsi="Times New Roman;Times;serif"/>
                <w:color w:val="000000"/>
                <w:sz w:val="16"/>
              </w:rPr>
              <w:t xml:space="preserve">of information is required as this is the Company’s first fiscal year of disclosure under Item 402(v) of Regulation S-K, with an additional year added in each of the two subsequent years of compliance. Fiscal year 2021 was a five-month transition period (January 1, 2021 to May 31, 2021) due to the change in the Company’s fiscal year-end. For 2020, the reportable year was January 1, 2020 to December 31, 2020. </w:t>
            </w:r>
          </w:p>
        </w:tc>
      </w:tr>
    </w:tbl>
    <w:tbl>
      <w:tblPr>
        <w:tblW w:w="9605" w:type="dxa"/>
        <w:jc w:val="left"/>
        <w:tblInd w:w="600" w:type="dxa"/>
        <w:tblLayout w:type="fixed"/>
        <w:tblCellMar>
          <w:top w:w="0" w:type="dxa"/>
          <w:left w:w="0" w:type="dxa"/>
          <w:bottom w:w="0" w:type="dxa"/>
          <w:right w:w="0" w:type="dxa"/>
        </w:tblCellMar>
      </w:tblPr>
      <w:tblGrid>
        <w:gridCol w:w="201"/>
        <w:gridCol w:w="9404"/>
      </w:tblGrid>
      <w:tr>
        <w:trPr/>
        <w:tc>
          <w:tcPr>
            <w:tcW w:w="2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fiscal year 2021, the PEOs included Irwin Simon (Current PEO) and Brendan Kennedy (Prior PEO). Mr. Simon served as the Company’s PEO for fiscal year 2022, 2023, and 2024. Mr. Kennedy served as the Company’s PEO in fiscal year 2020. </w:t>
            </w:r>
          </w:p>
        </w:tc>
      </w:tr>
    </w:tbl>
    <w:tbl>
      <w:tblPr>
        <w:tblW w:w="4930" w:type="dxa"/>
        <w:jc w:val="left"/>
        <w:tblInd w:w="600" w:type="dxa"/>
        <w:tblLayout w:type="fixed"/>
        <w:tblCellMar>
          <w:top w:w="0" w:type="dxa"/>
          <w:left w:w="0" w:type="dxa"/>
          <w:bottom w:w="0" w:type="dxa"/>
          <w:right w:w="0" w:type="dxa"/>
        </w:tblCellMar>
      </w:tblPr>
      <w:tblGrid>
        <w:gridCol w:w="230"/>
        <w:gridCol w:w="47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7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non-PEO NEOs for the applicable fiscal years were as follows: </w:t>
            </w:r>
          </w:p>
        </w:tc>
      </w:tr>
    </w:tbl>
    <w:p>
      <w:pPr>
        <w:pStyle w:val="TextBody"/>
        <w:bidi w:val="0"/>
        <w:spacing w:before="60" w:after="283"/>
        <w:ind w:left="10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2024: Carl Merton (CFO), Denise Faltischek (Head of International and Chief Strategy Officer), Roger Savell (Chief Administrative Officer), and Mitchell Gendel (Global General Counsel and Corporate Secretary </w:t>
      </w:r>
    </w:p>
    <w:p>
      <w:pPr>
        <w:pStyle w:val="TextBody"/>
        <w:bidi w:val="0"/>
        <w:spacing w:before="0" w:after="283"/>
        <w:ind w:left="10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2023: Carl Merton (CFO), Denise Faltischek (Head of International and Chief Strategy Officer), Roger Savell (Chief Administrative Officer), and Mitchell Gendel (Global General Counsel and Corporate Secretary </w:t>
      </w:r>
    </w:p>
    <w:p>
      <w:pPr>
        <w:pStyle w:val="TextBody"/>
        <w:bidi w:val="0"/>
        <w:spacing w:before="0" w:after="283"/>
        <w:ind w:left="10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2022: Carl Merton (CFO), Denise Faltischek (Head of International and Chief Strategy Officer), James Meiers (Head of Canada), and Mitchell Gendel (Global General Counsel and Corporate Secretary </w:t>
      </w:r>
    </w:p>
    <w:p>
      <w:pPr>
        <w:pStyle w:val="TextBody"/>
        <w:bidi w:val="0"/>
        <w:spacing w:before="0" w:after="283"/>
        <w:ind w:left="10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2021: Carl Merton (CFO), Denise Faltischek (Head of International and Chief Strategy Officer), James Meiers (Head of Canada), Michael Krutech (Former CFO), Jon Levin (Former COO), and Andrew Pucher (Former Chief Corporate Development Officer) </w:t>
      </w:r>
    </w:p>
    <w:p>
      <w:pPr>
        <w:pStyle w:val="TextBody"/>
        <w:bidi w:val="0"/>
        <w:spacing w:before="0" w:after="283"/>
        <w:ind w:left="10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2020: Michael Kruteck (Former CFO), Jon Levin (Former COO), Mark Castaneda (Former CFO &amp; Treasurer), Edward Wood Pastorius, Jr. (Former Chief Revenue Officer), Andrew Pucher (Former Chief Corporate Development Officer), and Kathryn Dickson (President, Manitoba Harvest USA, LLC). </w:t>
      </w:r>
    </w:p>
    <w:tbl>
      <w:tblPr>
        <w:tblW w:w="9605" w:type="dxa"/>
        <w:jc w:val="left"/>
        <w:tblInd w:w="600" w:type="dxa"/>
        <w:tblLayout w:type="fixed"/>
        <w:tblCellMar>
          <w:top w:w="0" w:type="dxa"/>
          <w:left w:w="0" w:type="dxa"/>
          <w:bottom w:w="0" w:type="dxa"/>
          <w:right w:w="0" w:type="dxa"/>
        </w:tblCellMar>
      </w:tblPr>
      <w:tblGrid>
        <w:gridCol w:w="196"/>
        <w:gridCol w:w="94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values in this column reflect the “Total” compensation set forth in the Summary Compensation Table (“</w:t>
            </w:r>
            <w:r>
              <w:rPr>
                <w:rFonts w:ascii="Times New Roman;Times;serif" w:hAnsi="Times New Roman;Times;serif"/>
                <w:b/>
                <w:i/>
                <w:color w:val="000000"/>
                <w:sz w:val="16"/>
              </w:rPr>
              <w:t>SCT</w:t>
            </w:r>
            <w:r>
              <w:rPr>
                <w:rFonts w:ascii="Times New Roman;Times;serif" w:hAnsi="Times New Roman;Times;serif"/>
                <w:color w:val="000000"/>
                <w:sz w:val="16"/>
              </w:rPr>
              <w:t xml:space="preserve">”) as stated in the Company’s past proxy filings for the corresponding fiscal year. See the footnotes to the applicable SCT for further detail regarding the amounts in this column. </w:t>
            </w:r>
          </w:p>
        </w:tc>
      </w:tr>
    </w:tbl>
    <w:tbl>
      <w:tblPr>
        <w:tblW w:w="260" w:type="dxa"/>
        <w:jc w:val="left"/>
        <w:tblInd w:w="60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71" w:name="ny20034373x2_def14a_112-pvp_pg2"/>
      <w:bookmarkStart w:id="72" w:name="ny20034373x2_def14a_112-pvp_pg2"/>
      <w:bookmarkEnd w:id="72"/>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compensation “actually paid” to our Current PEO during 2021, 2022, 2023, and 2024: </w:t>
            </w:r>
          </w:p>
        </w:tc>
      </w:tr>
    </w:tbl>
    <w:tbl>
      <w:tblPr>
        <w:tblW w:w="11175" w:type="dxa"/>
        <w:jc w:val="left"/>
        <w:tblInd w:w="0" w:type="dxa"/>
        <w:tblLayout w:type="fixed"/>
        <w:tblCellMar>
          <w:top w:w="0" w:type="dxa"/>
          <w:left w:w="0" w:type="dxa"/>
          <w:bottom w:w="0" w:type="dxa"/>
          <w:right w:w="0" w:type="dxa"/>
        </w:tblCellMar>
      </w:tblPr>
      <w:tblGrid>
        <w:gridCol w:w="155"/>
        <w:gridCol w:w="875"/>
        <w:gridCol w:w="140"/>
        <w:gridCol w:w="140"/>
        <w:gridCol w:w="935"/>
        <w:gridCol w:w="140"/>
        <w:gridCol w:w="140"/>
        <w:gridCol w:w="920"/>
        <w:gridCol w:w="140"/>
        <w:gridCol w:w="140"/>
        <w:gridCol w:w="830"/>
        <w:gridCol w:w="140"/>
        <w:gridCol w:w="140"/>
        <w:gridCol w:w="530"/>
        <w:gridCol w:w="140"/>
        <w:gridCol w:w="140"/>
        <w:gridCol w:w="890"/>
        <w:gridCol w:w="140"/>
        <w:gridCol w:w="140"/>
        <w:gridCol w:w="890"/>
        <w:gridCol w:w="140"/>
        <w:gridCol w:w="140"/>
        <w:gridCol w:w="620"/>
        <w:gridCol w:w="140"/>
        <w:gridCol w:w="140"/>
        <w:gridCol w:w="875"/>
        <w:gridCol w:w="140"/>
        <w:gridCol w:w="140"/>
        <w:gridCol w:w="980"/>
        <w:gridCol w:w="155"/>
      </w:tblGrid>
      <w:tr>
        <w:trPr/>
        <w:tc>
          <w:tcPr>
            <w:tcW w:w="15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Adjustments</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to Determine</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Compensation</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3"/>
              </w:rPr>
              <w:t>Actually</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Paid”</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for</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Current</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PEO</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SCT Total</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r>
              <w:rPr>
                <w:rFonts w:ascii="Times New Roman;Times;serif" w:hAnsi="Times New Roman;Times;serif"/>
                <w:b/>
                <w:color w:val="000000"/>
                <w:position w:val="4"/>
                <w:sz w:val="10"/>
                <w:sz w:val="13"/>
              </w:rPr>
              <w:t>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Amounts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Reported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Option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Column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SCT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Fair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the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Remain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as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Year 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Year-end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current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Outstanding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and Unvested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as of Year-end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Vesting Date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Forfeited 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Modified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Dollar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Dividends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or other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Earnings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Paid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on 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Vesting Date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not otherwise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included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Adjustments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SCT 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Compensation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$10,142,971</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$4,547,501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$4,241,192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$329,737</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$986,753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1,010,181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$15,656,584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$9,249,999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$4,363,700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($4,328,895)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($387,465)</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($9,602,659)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$19,456,767</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$17,599,962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$6,142,756</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($2,399,666)</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($13,856,872)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$13,683,998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$2,852,486</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$2,852,486</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compensation “actually paid” to our Prior PEO during fiscal years 2020 and 2021: </w:t>
            </w:r>
          </w:p>
        </w:tc>
      </w:tr>
    </w:tbl>
    <w:tbl>
      <w:tblPr>
        <w:tblW w:w="10725" w:type="dxa"/>
        <w:jc w:val="left"/>
        <w:tblInd w:w="0" w:type="dxa"/>
        <w:tblLayout w:type="fixed"/>
        <w:tblCellMar>
          <w:top w:w="0" w:type="dxa"/>
          <w:left w:w="0" w:type="dxa"/>
          <w:bottom w:w="0" w:type="dxa"/>
          <w:right w:w="0" w:type="dxa"/>
        </w:tblCellMar>
      </w:tblPr>
      <w:tblGrid>
        <w:gridCol w:w="155"/>
        <w:gridCol w:w="875"/>
        <w:gridCol w:w="140"/>
        <w:gridCol w:w="140"/>
        <w:gridCol w:w="935"/>
        <w:gridCol w:w="140"/>
        <w:gridCol w:w="140"/>
        <w:gridCol w:w="695"/>
        <w:gridCol w:w="140"/>
        <w:gridCol w:w="140"/>
        <w:gridCol w:w="695"/>
        <w:gridCol w:w="140"/>
        <w:gridCol w:w="140"/>
        <w:gridCol w:w="530"/>
        <w:gridCol w:w="140"/>
        <w:gridCol w:w="140"/>
        <w:gridCol w:w="890"/>
        <w:gridCol w:w="140"/>
        <w:gridCol w:w="140"/>
        <w:gridCol w:w="890"/>
        <w:gridCol w:w="140"/>
        <w:gridCol w:w="140"/>
        <w:gridCol w:w="620"/>
        <w:gridCol w:w="140"/>
        <w:gridCol w:w="140"/>
        <w:gridCol w:w="875"/>
        <w:gridCol w:w="140"/>
        <w:gridCol w:w="140"/>
        <w:gridCol w:w="890"/>
        <w:gridCol w:w="155"/>
      </w:tblGrid>
      <w:tr>
        <w:trPr/>
        <w:tc>
          <w:tcPr>
            <w:tcW w:w="15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Adjustments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to Determine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3"/>
              </w:rPr>
              <w:t xml:space="preserve">Actually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Paid” for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Prior PEO</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SCT 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r>
              <w:rPr>
                <w:rFonts w:ascii="Times New Roman;Times;serif" w:hAnsi="Times New Roman;Times;serif"/>
                <w:b/>
                <w:color w:val="000000"/>
                <w:position w:val="4"/>
                <w:sz w:val="10"/>
                <w:sz w:val="13"/>
              </w:rPr>
              <w:t>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Amounts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Reported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Option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Column in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SCT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Remain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Unvested as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of Year 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Year-end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current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Outstanding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and Unvested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as of Year-end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Vesting Date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Forfeited 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Modified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Dollar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Dividends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or other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Earnings Paid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on 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Vesting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Date not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otherwise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included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Adjustments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SCT 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Compensation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$6,458,729</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1,076,415</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$1,076,415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$1,907,812</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$934,401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$916,645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($4,086,941)</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($5,008,998)</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($9,113,695)</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the adjustments made during each fiscal year presented in the Pay Versus Performance Table to arrive at the average compensation “actually paid” to our Non-PEO NEOs during each of the reportable years: </w:t>
            </w:r>
          </w:p>
        </w:tc>
      </w:tr>
    </w:tbl>
    <w:tbl>
      <w:tblPr>
        <w:tblW w:w="10620" w:type="dxa"/>
        <w:jc w:val="left"/>
        <w:tblInd w:w="0" w:type="dxa"/>
        <w:tblLayout w:type="fixed"/>
        <w:tblCellMar>
          <w:top w:w="0" w:type="dxa"/>
          <w:left w:w="0" w:type="dxa"/>
          <w:bottom w:w="0" w:type="dxa"/>
          <w:right w:w="0" w:type="dxa"/>
        </w:tblCellMar>
      </w:tblPr>
      <w:tblGrid>
        <w:gridCol w:w="155"/>
        <w:gridCol w:w="875"/>
        <w:gridCol w:w="140"/>
        <w:gridCol w:w="140"/>
        <w:gridCol w:w="875"/>
        <w:gridCol w:w="140"/>
        <w:gridCol w:w="140"/>
        <w:gridCol w:w="830"/>
        <w:gridCol w:w="140"/>
        <w:gridCol w:w="140"/>
        <w:gridCol w:w="695"/>
        <w:gridCol w:w="140"/>
        <w:gridCol w:w="140"/>
        <w:gridCol w:w="530"/>
        <w:gridCol w:w="140"/>
        <w:gridCol w:w="140"/>
        <w:gridCol w:w="770"/>
        <w:gridCol w:w="140"/>
        <w:gridCol w:w="140"/>
        <w:gridCol w:w="830"/>
        <w:gridCol w:w="140"/>
        <w:gridCol w:w="140"/>
        <w:gridCol w:w="620"/>
        <w:gridCol w:w="140"/>
        <w:gridCol w:w="140"/>
        <w:gridCol w:w="875"/>
        <w:gridCol w:w="140"/>
        <w:gridCol w:w="140"/>
        <w:gridCol w:w="890"/>
        <w:gridCol w:w="155"/>
      </w:tblGrid>
      <w:tr>
        <w:trPr/>
        <w:tc>
          <w:tcPr>
            <w:tcW w:w="155"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Adjustments to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Determine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Times;serif" w:hAnsi="Times New Roman;Times;serif"/>
                <w:b/>
                <w:color w:val="000000"/>
                <w:sz w:val="13"/>
              </w:rPr>
              <w:t xml:space="preserve">Actually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 xml:space="preserve">Paid” </w:t>
            </w:r>
          </w:p>
          <w:p>
            <w:pPr>
              <w:pStyle w:val="TableContents"/>
              <w:bidi w:val="0"/>
              <w:spacing w:before="0" w:after="283"/>
              <w:ind w:left="35" w:right="0" w:hanging="0"/>
              <w:jc w:val="left"/>
              <w:rPr>
                <w:rFonts w:ascii="Times New Roman;Times;serif" w:hAnsi="Times New Roman;Times;serif"/>
                <w:b/>
                <w:color w:val="000000"/>
                <w:sz w:val="13"/>
              </w:rPr>
            </w:pPr>
            <w:r>
              <w:rPr>
                <w:rFonts w:ascii="Times New Roman;Times;serif" w:hAnsi="Times New Roman;Times;serif"/>
                <w:b/>
                <w:color w:val="000000"/>
                <w:sz w:val="13"/>
              </w:rPr>
              <w:t>for Current PEO</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SCT 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Average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Non-PEO NE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Amounts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Reported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under the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3"/>
              </w:rPr>
              <w:t xml:space="preserve">Option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Column in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SCT</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Remain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Unvested as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of Year 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Increase for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during the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 during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Year-end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current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 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Outstanding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and Unvested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as of Year-end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Increase/</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 Change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from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Year-end to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Vesting Date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Vested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Deduction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Fair Value of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Granted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Prior to year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that were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Forfeited 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Modified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during year</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Dollar Value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of Dividends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or other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Earnings Paid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on Stock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Awards prior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Vesting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Date not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otherwise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included in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Compensation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Adjustments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to SCT Total </w:t>
            </w:r>
          </w:p>
          <w:p>
            <w:pPr>
              <w:pStyle w:val="TableContents"/>
              <w:bidi w:val="0"/>
              <w:spacing w:before="0" w:after="283"/>
              <w:jc w:val="center"/>
              <w:rPr>
                <w:rFonts w:ascii="Times New Roman;Times;serif" w:hAnsi="Times New Roman;Times;serif"/>
                <w:b/>
                <w:color w:val="000000"/>
                <w:sz w:val="13"/>
              </w:rPr>
            </w:pPr>
            <w:r>
              <w:rPr>
                <w:rFonts w:ascii="Times New Roman;Times;serif" w:hAnsi="Times New Roman;Times;serif"/>
                <w:b/>
                <w:color w:val="000000"/>
                <w:sz w:val="13"/>
              </w:rPr>
              <w:t xml:space="preserve">Compensation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$2,061,804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850,870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793,558</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$45,740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$173,875</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$162,302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$2,371,929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$1,270,317</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$599,274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($629,633)</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($76,258)</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($1,376,934)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$2,755,870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$2,294,777</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$752,084</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($255,227)</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($1,797,920)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$2,208,882</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$1,266,739</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2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 xml:space="preserve">$1,266,739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2020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$1,394,132</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$950,676</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95"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$878,066</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3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($204,937)</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($685,150)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2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$0</w:t>
            </w:r>
          </w:p>
        </w:tc>
        <w:tc>
          <w:tcPr>
            <w:tcW w:w="14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jc w:val="center"/>
              <w:rPr>
                <w:rFonts w:ascii="Times New Roman;Times;serif" w:hAnsi="Times New Roman;Times;serif"/>
                <w:color w:val="000000"/>
                <w:sz w:val="16"/>
                <w:u w:val="single"/>
              </w:rPr>
            </w:pPr>
            <w:r>
              <w:rPr>
                <w:rFonts w:ascii="Times New Roman;Times;serif" w:hAnsi="Times New Roman;Times;serif"/>
                <w:color w:val="000000"/>
                <w:sz w:val="16"/>
                <w:u w:val="single"/>
              </w:rPr>
              <w:t>($962,697)</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9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7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9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Total shareholder return is calculated for each fiscal year based on a fixed investment of $100 from the day before the beginning of the earliest period reported in the table (December 30, 2020) through the end of each applicable year, assuming reinvestment of dividends.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Horizons Marijuana Life Sciences Index is the peer group index selected by the Company for this purpose and for purposes of the Stock Performance Graph in our Annual Report.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represents the amount of net income (loss) reflected in the Company's audited financial statements for the applicable year or period.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has identified Adjusted EBITDA as the Company-selected measure for this pay versus performance disclosure, as it represents the most significant financial performance measure used to link compensation actually paid to the PEOs and Non-PEO NEOs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05" w:after="283"/>
        <w:ind w:left="400" w:right="0" w:hanging="0"/>
        <w:jc w:val="left"/>
        <w:rPr>
          <w:rFonts w:ascii="Times New Roman;Times;serif" w:hAnsi="Times New Roman;Times;serif"/>
          <w:color w:val="000000"/>
          <w:sz w:val="16"/>
        </w:rPr>
      </w:pPr>
      <w:bookmarkStart w:id="73" w:name="ny20034373x2_def14a_112-pvp_pg3"/>
      <w:bookmarkEnd w:id="73"/>
      <w:r>
        <w:rPr>
          <w:rFonts w:ascii="Times New Roman;Times;serif" w:hAnsi="Times New Roman;Times;serif"/>
          <w:color w:val="000000"/>
          <w:sz w:val="16"/>
        </w:rPr>
        <w:t xml:space="preserve">to the Company's performance in fiscal year 2024. The Adjusted EBITDA for all years except the year ended May 31, 2024 and the year ended May 31, 2020 includes an adjustment for lease expenses. Please see “Reconciliation of Non-GAAP Financial Measures to GAAP Measures” in our Annual Report on Form 10-K for the fiscal year ended May 31, 2024 for a reconciliation of such non-GAAP Measures to the most directly comparable GAAP financial measures </w:t>
      </w:r>
    </w:p>
    <w:tbl>
      <w:tblPr>
        <w:tblW w:w="9070" w:type="dxa"/>
        <w:jc w:val="left"/>
        <w:tblInd w:w="0" w:type="dxa"/>
        <w:tblLayout w:type="fixed"/>
        <w:tblCellMar>
          <w:top w:w="0" w:type="dxa"/>
          <w:left w:w="0" w:type="dxa"/>
          <w:bottom w:w="0" w:type="dxa"/>
          <w:right w:w="0" w:type="dxa"/>
        </w:tblCellMar>
      </w:tblPr>
      <w:tblGrid>
        <w:gridCol w:w="320"/>
        <w:gridCol w:w="875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87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Aphria Inc.’s Adjusted EBITDA for the year ended May 31, 2020, presented in USD and according to US GAAP.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“2024 EBITDA PSU Awards” as described in the Compensation Discussion &amp; Analysis section are not included because there was no change in fair value as of the end of Fiscal Year 2024 based upon the probable outcome of the performance conditions as of the last day of Fiscal Year 2024. There was no grant date fair value for purposes of ASC 718 due to the three-year cumulative performance targets not having been set during Fiscal Year 2024. </w:t>
            </w:r>
          </w:p>
        </w:tc>
      </w:tr>
    </w:tbl>
    <w:p>
      <w:pPr>
        <w:pStyle w:val="TextBody"/>
        <w:bidi w:val="0"/>
        <w:spacing w:before="230" w:after="283"/>
        <w:ind w:left="0" w:right="0" w:hanging="0"/>
        <w:jc w:val="left"/>
        <w:rPr>
          <w:rFonts w:ascii="Arial" w:hAnsi="Arial"/>
          <w:b/>
          <w:i/>
          <w:color w:val="000000"/>
          <w:sz w:val="20"/>
        </w:rPr>
      </w:pPr>
      <w:r>
        <w:rPr>
          <w:rFonts w:ascii="Arial" w:hAnsi="Arial"/>
          <w:b/>
          <w:i/>
          <w:color w:val="000000"/>
          <w:sz w:val="20"/>
        </w:rPr>
        <w:t xml:space="preserve">Financial Performance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 </w:t>
      </w:r>
    </w:p>
    <w:tbl>
      <w:tblPr>
        <w:tblW w:w="2520" w:type="dxa"/>
        <w:jc w:val="left"/>
        <w:tblInd w:w="0" w:type="dxa"/>
        <w:tblLayout w:type="fixed"/>
        <w:tblCellMar>
          <w:top w:w="0" w:type="dxa"/>
          <w:left w:w="0" w:type="dxa"/>
          <w:bottom w:w="0" w:type="dxa"/>
          <w:right w:w="0" w:type="dxa"/>
        </w:tblCellMar>
      </w:tblPr>
      <w:tblGrid>
        <w:gridCol w:w="155"/>
        <w:gridCol w:w="2210"/>
        <w:gridCol w:w="155"/>
      </w:tblGrid>
      <w:tr>
        <w:trPr/>
        <w:tc>
          <w:tcPr>
            <w:tcW w:w="15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EBITDA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Consolidated Net Revenue</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i/>
          <w:color w:val="000000"/>
          <w:sz w:val="20"/>
        </w:rPr>
      </w:pPr>
      <w:r>
        <w:rPr>
          <w:rFonts w:ascii="Arial" w:hAnsi="Arial"/>
          <w:b/>
          <w:i/>
          <w:color w:val="000000"/>
          <w:sz w:val="20"/>
        </w:rPr>
        <w:t xml:space="preserve">Narrative Disclosure of the Relationship between Financial Performance Measures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graphs below compare the compensation actually paid to our Current PEO and Prior PEO and the average of the compensation actually paid to our remaining NEOs, with (i) our cumulative TSR, (ii) Peer Group TSR, (iii) our Net Income, and (iv) our Adjusted EBITDA, in each case, for all reportable years. </w:t>
      </w:r>
    </w:p>
    <w:p>
      <w:pPr>
        <w:pStyle w:val="TextBody"/>
        <w:bidi w:val="0"/>
        <w:spacing w:before="305" w:after="283"/>
        <w:jc w:val="center"/>
        <w:rPr>
          <w:color w:val="000000"/>
        </w:rPr>
      </w:pPr>
      <w:r>
        <w:rPr>
          <w:color w:val="000000"/>
        </w:rPr>
        <w:drawing>
          <wp:inline distT="0" distB="0" distL="0" distR="0">
            <wp:extent cx="5667375" cy="3267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67375" cy="3267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74" w:name="ny20034373x2_def14a_112-pvp_pg4"/>
      <w:bookmarkEnd w:id="74"/>
      <w:r>
        <w:rPr>
          <w:color w:val="000000"/>
        </w:rPr>
        <w:drawing>
          <wp:inline distT="0" distB="0" distL="0" distR="0">
            <wp:extent cx="5667375" cy="3248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67375" cy="3248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705475" cy="3248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05475" cy="3248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5" w:name="ny20034373x2_def14a_113-plan_pg1"/>
      <w:bookmarkEnd w:id="75"/>
      <w:r>
        <w:rPr>
          <w:rFonts w:ascii="Arial" w:hAnsi="Arial"/>
          <w:b/>
          <w:color w:val="00489A"/>
          <w:sz w:val="20"/>
        </w:rPr>
        <w:t xml:space="preserve">EQUITY COMPENSATION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information with respect to all of the Company’s equity compensation plans in effect as of May 31, 2024. </w:t>
      </w:r>
    </w:p>
    <w:tbl>
      <w:tblPr>
        <w:tblW w:w="10205" w:type="dxa"/>
        <w:jc w:val="left"/>
        <w:tblInd w:w="0" w:type="dxa"/>
        <w:tblLayout w:type="fixed"/>
        <w:tblCellMar>
          <w:top w:w="0" w:type="dxa"/>
          <w:left w:w="0" w:type="dxa"/>
          <w:bottom w:w="0" w:type="dxa"/>
          <w:right w:w="0" w:type="dxa"/>
        </w:tblCellMar>
      </w:tblPr>
      <w:tblGrid>
        <w:gridCol w:w="155"/>
        <w:gridCol w:w="4114"/>
        <w:gridCol w:w="140"/>
        <w:gridCol w:w="140"/>
        <w:gridCol w:w="1665"/>
        <w:gridCol w:w="140"/>
        <w:gridCol w:w="140"/>
        <w:gridCol w:w="1733"/>
        <w:gridCol w:w="140"/>
        <w:gridCol w:w="140"/>
        <w:gridCol w:w="1541"/>
        <w:gridCol w:w="157"/>
      </w:tblGrid>
      <w:tr>
        <w:trPr/>
        <w:tc>
          <w:tcPr>
            <w:tcW w:w="155"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114"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Number of 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issued upon 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warrants and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Number 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(a))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114"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665" w:type="dxa"/>
            <w:tcBorders/>
            <w:shd w:fill="C7CDE8" w:val="clear"/>
            <w:vAlign w:val="center"/>
          </w:tcPr>
          <w:p>
            <w:pPr>
              <w:pStyle w:val="TableContents"/>
              <w:bidi w:val="0"/>
              <w:spacing w:before="0" w:after="283"/>
              <w:ind w:left="516"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33" w:type="dxa"/>
            <w:tcBorders/>
            <w:shd w:fill="C7CDE8" w:val="clear"/>
            <w:vAlign w:val="center"/>
          </w:tcPr>
          <w:p>
            <w:pPr>
              <w:pStyle w:val="TableContents"/>
              <w:bidi w:val="0"/>
              <w:spacing w:before="0" w:after="283"/>
              <w:ind w:left="765" w:right="0" w:hanging="0"/>
              <w:jc w:val="left"/>
              <w:rPr>
                <w:sz w:val="4"/>
                <w:szCs w:val="4"/>
              </w:rPr>
            </w:pPr>
            <w:r>
              <w:rPr>
                <w:sz w:val="4"/>
                <w:szCs w:val="4"/>
              </w:rPr>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541" w:type="dxa"/>
            <w:tcBorders/>
            <w:shd w:fill="C7CDE8" w:val="clear"/>
            <w:vAlign w:val="center"/>
          </w:tcPr>
          <w:p>
            <w:pPr>
              <w:pStyle w:val="TableContents"/>
              <w:bidi w:val="0"/>
              <w:spacing w:before="0" w:after="283"/>
              <w:ind w:left="454" w:right="0" w:hanging="0"/>
              <w:jc w:val="left"/>
              <w:rPr>
                <w:sz w:val="4"/>
                <w:szCs w:val="4"/>
              </w:rPr>
            </w:pPr>
            <w:r>
              <w:rPr>
                <w:sz w:val="4"/>
                <w:szCs w:val="4"/>
              </w:rPr>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Amended and Restated Tilray, Inc. 2018 equity Incentive Plan</w:t>
            </w:r>
            <w:r>
              <w:rPr>
                <w:rFonts w:ascii="Times New Roman;Times;serif" w:hAnsi="Times New Roman;Times;serif"/>
                <w:color w:val="000000"/>
                <w:position w:val="7"/>
                <w:sz w:val="16"/>
                <w:sz w:val="20"/>
              </w:rPr>
              <w:t>(2)(3)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28,767,293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7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23,541,017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114"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Aphria Equity Incentive Plan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665" w:type="dxa"/>
            <w:tcBorders/>
            <w:shd w:fill="C7CDE8" w:val="clear"/>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678,405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33" w:type="dxa"/>
            <w:tcBorders/>
            <w:shd w:fill="C7CDE8" w:val="clear"/>
            <w:vAlign w:val="center"/>
          </w:tcPr>
          <w:p>
            <w:pPr>
              <w:pStyle w:val="TableContents"/>
              <w:bidi w:val="0"/>
              <w:spacing w:before="0" w:after="283"/>
              <w:ind w:left="7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7.56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541" w:type="dxa"/>
            <w:tcBorders/>
            <w:shd w:fill="C7CDE8" w:val="clear"/>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283"/>
              <w:ind w:left="430" w:right="0" w:hanging="200"/>
              <w:jc w:val="left"/>
              <w:rPr>
                <w:rFonts w:ascii="Times New Roman;Times;serif" w:hAnsi="Times New Roman;Times;serif"/>
                <w:color w:val="000000"/>
                <w:sz w:val="20"/>
              </w:rPr>
            </w:pPr>
            <w:r>
              <w:rPr>
                <w:rFonts w:ascii="Times New Roman;Times;serif" w:hAnsi="Times New Roman;Times;serif"/>
                <w:color w:val="000000"/>
                <w:sz w:val="20"/>
              </w:rPr>
              <w:t>Privateer Holdings, Inc. 2011 Equity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49,166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76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vAlign w:val="center"/>
          </w:tcPr>
          <w:p>
            <w:pPr>
              <w:pStyle w:val="TableContents"/>
              <w:bidi w:val="0"/>
              <w:spacing w:before="0" w:after="283"/>
              <w:ind w:left="4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4114"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665" w:type="dxa"/>
            <w:tcBorders/>
            <w:shd w:fill="C7CDE8" w:val="clear"/>
            <w:vAlign w:val="center"/>
          </w:tcPr>
          <w:p>
            <w:pPr>
              <w:pStyle w:val="TableContents"/>
              <w:bidi w:val="0"/>
              <w:spacing w:before="0" w:after="283"/>
              <w:ind w:left="516" w:right="0" w:hanging="0"/>
              <w:jc w:val="left"/>
              <w:rPr>
                <w:color w:val="000000"/>
                <w:bdr w:val="single" w:sz="8" w:space="4" w:color="000000"/>
              </w:rPr>
            </w:pPr>
            <w:r>
              <w:rPr>
                <w:color w:val="000000"/>
                <w:bdr w:val="single" w:sz="8" w:space="4" w:color="000000"/>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733" w:type="dxa"/>
            <w:tcBorders/>
            <w:shd w:fill="C7CDE8" w:val="clear"/>
            <w:vAlign w:val="center"/>
          </w:tcPr>
          <w:p>
            <w:pPr>
              <w:pStyle w:val="TableContents"/>
              <w:bidi w:val="0"/>
              <w:spacing w:before="0" w:after="283"/>
              <w:ind w:left="765" w:right="0" w:hanging="0"/>
              <w:jc w:val="left"/>
              <w:rPr>
                <w:color w:val="000000"/>
                <w:bdr w:val="single" w:sz="8" w:space="4" w:color="000000"/>
              </w:rPr>
            </w:pPr>
            <w:r>
              <w:rPr>
                <w:color w:val="000000"/>
                <w:bdr w:val="single" w:sz="8" w:space="4" w:color="000000"/>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541" w:type="dxa"/>
            <w:tcBorders/>
            <w:shd w:fill="C7CDE8" w:val="clear"/>
            <w:vAlign w:val="center"/>
          </w:tcPr>
          <w:p>
            <w:pPr>
              <w:pStyle w:val="TableContents"/>
              <w:bidi w:val="0"/>
              <w:spacing w:before="0" w:after="283"/>
              <w:ind w:left="454" w:right="0" w:hanging="0"/>
              <w:jc w:val="left"/>
              <w:rPr>
                <w:color w:val="000000"/>
                <w:bdr w:val="single" w:sz="8" w:space="4" w:color="000000"/>
              </w:rPr>
            </w:pPr>
            <w:r>
              <w:rPr>
                <w:color w:val="000000"/>
                <w:bdr w:val="single" w:sz="8" w:space="4" w:color="000000"/>
              </w:rPr>
              <w:t>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vAlign w:val="center"/>
          </w:tcPr>
          <w:p>
            <w:pPr>
              <w:pStyle w:val="TableContents"/>
              <w:bidi w:val="0"/>
              <w:spacing w:before="0" w:after="283"/>
              <w:ind w:left="51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29,494,864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7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vAlign w:val="center"/>
          </w:tcPr>
          <w:p>
            <w:pPr>
              <w:pStyle w:val="TableContents"/>
              <w:bidi w:val="0"/>
              <w:spacing w:before="0" w:after="283"/>
              <w:ind w:left="45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23,541,017</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41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41"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bl>
    <w:tbl>
      <w:tblPr>
        <w:tblW w:w="4375" w:type="dxa"/>
        <w:jc w:val="left"/>
        <w:tblInd w:w="0" w:type="dxa"/>
        <w:tblLayout w:type="fixed"/>
        <w:tblCellMar>
          <w:top w:w="0" w:type="dxa"/>
          <w:left w:w="0" w:type="dxa"/>
          <w:bottom w:w="0" w:type="dxa"/>
          <w:right w:w="0" w:type="dxa"/>
        </w:tblCellMar>
      </w:tblPr>
      <w:tblGrid>
        <w:gridCol w:w="230"/>
        <w:gridCol w:w="41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1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Excludes RSU awards because they have no exercise price. </w:t>
            </w:r>
          </w:p>
        </w:tc>
      </w:tr>
    </w:tbl>
    <w:tbl>
      <w:tblPr>
        <w:tblW w:w="9730" w:type="dxa"/>
        <w:jc w:val="left"/>
        <w:tblInd w:w="0" w:type="dxa"/>
        <w:tblLayout w:type="fixed"/>
        <w:tblCellMar>
          <w:top w:w="0" w:type="dxa"/>
          <w:left w:w="0" w:type="dxa"/>
          <w:bottom w:w="0" w:type="dxa"/>
          <w:right w:w="0" w:type="dxa"/>
        </w:tblCellMar>
      </w:tblPr>
      <w:tblGrid>
        <w:gridCol w:w="230"/>
        <w:gridCol w:w="95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5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26,307,972 shares of our common stock subject to RSU awards and options to purchase 3,231,999 shares of common stock.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Our Amended and Restated 2018 Equity Incentive Plan includes provisions providing for an annual increase in the number of securities available for future issuance on the first day of each Fiscal Year 2024, equal to the least of: (a) 4% of the outstanding shares of capital stock as of the last day of the immediately preceding Fiscal Year 2024; and (b) such lesser amount as the Board may determine.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6" w:name="AUD"/>
      <w:bookmarkStart w:id="77" w:name="ny20034373x2_def14a_114-audit_pg1"/>
      <w:bookmarkEnd w:id="76"/>
      <w:bookmarkEnd w:id="77"/>
      <w:r>
        <w:rPr>
          <w:rFonts w:ascii="Arial" w:hAnsi="Arial"/>
          <w:b/>
          <w:color w:val="00489A"/>
          <w:sz w:val="20"/>
        </w:rPr>
        <w:t xml:space="preserve">AUDIT COMMITTEE REPORT </w:t>
      </w:r>
    </w:p>
    <w:p>
      <w:pPr>
        <w:pStyle w:val="TextBody"/>
        <w:bidi w:val="0"/>
        <w:spacing w:lineRule="atLeast" w:line="234"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consists of Messrs. Clanachan,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has reviewed and discussed the audited financial statements for the fiscal year ended May 31, 2024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Times;serif" w:hAnsi="Times New Roman;Times;serif"/>
          <w:b/>
          <w:i/>
          <w:color w:val="000000"/>
          <w:sz w:val="20"/>
        </w:rPr>
        <w:t>PCAOB</w:t>
      </w:r>
      <w:r>
        <w:rPr>
          <w:rFonts w:ascii="Times New Roman;Times;serif" w:hAnsi="Times New Roman;Times;serif"/>
          <w:color w:val="000000"/>
          <w:sz w:val="20"/>
        </w:rPr>
        <w:t xml:space="preserve">”).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 </w:t>
      </w:r>
    </w:p>
    <w:p>
      <w:pPr>
        <w:pStyle w:val="TextBody"/>
        <w:bidi w:val="0"/>
        <w:spacing w:lineRule="atLeast" w:line="234" w:before="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foregoing, the Audit Committee has recommended to the board of directors that the audited financial statements be included in the Company’s Annual Report on Form 10-K for the fiscal year ended May 31, 2024. </w:t>
      </w:r>
    </w:p>
    <w:p>
      <w:pPr>
        <w:pStyle w:val="TextBody"/>
        <w:bidi w:val="0"/>
        <w:spacing w:lineRule="atLeast" w:line="234" w:before="6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Times;serif" w:hAnsi="Times New Roman;Times;serif"/>
          <w:i/>
          <w:caps w:val="false"/>
          <w:smallCaps w:val="false"/>
          <w:color w:val="000000"/>
          <w:sz w:val="20"/>
        </w:rPr>
        <w:t xml:space="preserve"> </w:t>
      </w:r>
    </w:p>
    <w:p>
      <w:pPr>
        <w:pStyle w:val="TextBody"/>
        <w:bidi w:val="0"/>
        <w:spacing w:before="154" w:after="283"/>
        <w:jc w:val="center"/>
        <w:rPr>
          <w:rFonts w:ascii="Times New Roman;Times;serif" w:hAnsi="Times New Roman;Times;serif"/>
          <w:color w:val="000000"/>
          <w:sz w:val="20"/>
        </w:rPr>
      </w:pPr>
      <w:r>
        <w:rPr>
          <w:rFonts w:ascii="Times New Roman;Times;serif" w:hAnsi="Times New Roman;Times;serif"/>
          <w:color w:val="000000"/>
          <w:sz w:val="20"/>
        </w:rPr>
        <w:t>THE AUDIT COMMITTEE</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John M. Herhalt, </w:t>
      </w:r>
      <w:r>
        <w:rPr>
          <w:rFonts w:ascii="Times New Roman;Times;serif" w:hAnsi="Times New Roman;Times;serif"/>
          <w:i/>
          <w:color w:val="000000"/>
          <w:sz w:val="20"/>
        </w:rPr>
        <w:t xml:space="preserve">Chair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David Clanachan, </w:t>
      </w:r>
    </w:p>
    <w:p>
      <w:pPr>
        <w:pStyle w:val="TextBody"/>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 xml:space="preserve">David Hopkinson and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i/>
          <w:color w:val="000000"/>
          <w:sz w:val="20"/>
        </w:rPr>
        <w:t>Tom Looney</w:t>
      </w:r>
      <w:r>
        <w:rPr>
          <w:rFonts w:ascii="Times New Roman;Times;serif" w:hAnsi="Times New Roman;Times;serif"/>
          <w:color w:val="000000"/>
          <w:sz w:val="20"/>
        </w:rPr>
        <w:t xml:space="preser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8" w:name="tPRO2"/>
      <w:bookmarkStart w:id="79" w:name="ny20034373x2_def14a_115-prop2_pg1"/>
      <w:bookmarkEnd w:id="78"/>
      <w:bookmarkEnd w:id="79"/>
      <w:r>
        <w:rPr>
          <w:rFonts w:ascii="Arial" w:hAnsi="Arial"/>
          <w:b/>
          <w:color w:val="00489A"/>
          <w:sz w:val="20"/>
        </w:rPr>
        <w:t xml:space="preserve">PROPOSAL 2 </w:t>
      </w:r>
    </w:p>
    <w:p>
      <w:pPr>
        <w:pStyle w:val="TextBody"/>
        <w:bidi w:val="0"/>
        <w:spacing w:before="0" w:after="283"/>
        <w:jc w:val="center"/>
        <w:rPr>
          <w:rFonts w:ascii="Arial" w:hAnsi="Arial"/>
          <w:b/>
          <w:color w:val="00489A"/>
          <w:sz w:val="20"/>
        </w:rPr>
      </w:pPr>
      <w:r>
        <w:rPr>
          <w:rFonts w:ascii="Arial" w:hAnsi="Arial"/>
          <w:b/>
          <w:color w:val="00489A"/>
          <w:sz w:val="20"/>
        </w:rPr>
        <w:t xml:space="preserve">RATIFICATION OF APPOINTMENT OF INDEPENDENT </w:t>
      </w:r>
    </w:p>
    <w:p>
      <w:pPr>
        <w:pStyle w:val="TextBody"/>
        <w:bidi w:val="0"/>
        <w:spacing w:before="0" w:after="283"/>
        <w:jc w:val="center"/>
        <w:rPr>
          <w:rFonts w:ascii="Arial" w:hAnsi="Arial"/>
          <w:b/>
          <w:color w:val="00489A"/>
          <w:sz w:val="20"/>
        </w:rPr>
      </w:pPr>
      <w:r>
        <w:rPr>
          <w:rFonts w:ascii="Arial" w:hAnsi="Arial"/>
          <w:b/>
          <w:color w:val="00489A"/>
          <w:sz w:val="20"/>
        </w:rPr>
        <w:t xml:space="preserve">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has selected PricewaterhouseCoopers LLP as the Company’s independent registered public accounting firm for the fiscal year ending May 31, 2025 and has further directed that management submit the selection of its independent registered public accounting firm for ratification by the stockholders at the Annual Meeting. Representatives of PricewaterhouseCoopers LLP are expected to attend the Annual Meeting virtually.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shares present or represented by proxy and entitled to vote on the matter at the Annual Meeting will be required to ratify the selection of PricewaterhouseCoopers LLP. </w:t>
      </w:r>
    </w:p>
    <w:p>
      <w:pPr>
        <w:pStyle w:val="TextBody"/>
        <w:bidi w:val="0"/>
        <w:spacing w:before="200" w:after="283"/>
        <w:jc w:val="center"/>
        <w:rPr>
          <w:rFonts w:ascii="Arial" w:hAnsi="Arial"/>
          <w:b/>
          <w:color w:val="00489A"/>
          <w:sz w:val="20"/>
        </w:rPr>
      </w:pPr>
      <w:r>
        <w:rPr>
          <w:rFonts w:ascii="Arial" w:hAnsi="Arial"/>
          <w:b/>
          <w:color w:val="00489A"/>
          <w:sz w:val="20"/>
        </w:rPr>
        <w:t xml:space="preserve">THE BOARD UNANIMOUSLY RECOMMENDS THAT YOU VOTE “FOR” THE RATIFICATION OF THE APPOINTMENT OF PRICEWATERHOUSECOOPERS LLP AS OUR INDEPENDENT REGISTERED PUBLIC ACCOUNTING FIRM FOR THE NEXT FISCAL YEAR.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Principal Accountant Fees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aggregate fees billed for professional services rendered by PricewaterhouseCoopers LLP for the fiscal year ended May 31, 2024. </w:t>
      </w:r>
    </w:p>
    <w:tbl>
      <w:tblPr>
        <w:tblW w:w="4635" w:type="dxa"/>
        <w:jc w:val="left"/>
        <w:tblInd w:w="0" w:type="dxa"/>
        <w:tblLayout w:type="fixed"/>
        <w:tblCellMar>
          <w:top w:w="0" w:type="dxa"/>
          <w:left w:w="0" w:type="dxa"/>
          <w:bottom w:w="0" w:type="dxa"/>
          <w:right w:w="0" w:type="dxa"/>
        </w:tblCellMar>
      </w:tblPr>
      <w:tblGrid>
        <w:gridCol w:w="155"/>
        <w:gridCol w:w="1775"/>
        <w:gridCol w:w="140"/>
        <w:gridCol w:w="140"/>
        <w:gridCol w:w="995"/>
        <w:gridCol w:w="140"/>
        <w:gridCol w:w="140"/>
        <w:gridCol w:w="995"/>
        <w:gridCol w:w="155"/>
      </w:tblGrid>
      <w:tr>
        <w:trPr/>
        <w:tc>
          <w:tcPr>
            <w:tcW w:w="15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Type of Fees</w:t>
            </w:r>
            <w:r>
              <w:rPr>
                <w:rFonts w:ascii="Times New Roman;Times;serif" w:hAnsi="Times New Roman;Times;serif"/>
                <w:b/>
                <w:color w:val="000000"/>
                <w:position w:val="5"/>
                <w:sz w:val="13"/>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77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(2)</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1,125,111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$1,477,595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Audit Related Fees</w:t>
            </w:r>
            <w:r>
              <w:rPr>
                <w:rFonts w:ascii="Times New Roman;Times;serif" w:hAnsi="Times New Roman;Times;serif"/>
                <w:color w:val="000000"/>
                <w:position w:val="7"/>
                <w:sz w:val="16"/>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127,364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83,518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77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112,380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148,000 </w:t>
            </w:r>
          </w:p>
        </w:tc>
        <w:tc>
          <w:tcPr>
            <w:tcW w:w="155"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775" w:type="dxa"/>
            <w:tcBorders/>
            <w:shd w:fill="C7CDE8"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$1,364,855</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$1,709,113</w:t>
            </w:r>
          </w:p>
        </w:tc>
        <w:tc>
          <w:tcPr>
            <w:tcW w:w="155"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77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995" w:type="dxa"/>
            <w:tcBorders/>
            <w:shd w:fill="C7CDE8" w:val="clear"/>
            <w:vAlign w:val="center"/>
          </w:tcPr>
          <w:p>
            <w:pPr>
              <w:pStyle w:val="TableContents"/>
              <w:bidi w:val="0"/>
              <w:spacing w:before="0" w:after="0"/>
              <w:jc w:val="left"/>
              <w:rPr/>
            </w:pPr>
            <w:r>
              <w:rPr/>
              <w:t> </w:t>
            </w:r>
          </w:p>
        </w:tc>
        <w:tc>
          <w:tcPr>
            <w:tcW w:w="155" w:type="dxa"/>
            <w:tcBorders/>
            <w:shd w:fill="C7CDE8" w:val="clear"/>
            <w:vAlign w:val="center"/>
          </w:tcPr>
          <w:p>
            <w:pPr>
              <w:pStyle w:val="TableContents"/>
              <w:bidi w:val="0"/>
              <w:spacing w:before="0" w:after="0"/>
              <w:jc w:val="left"/>
              <w:rPr/>
            </w:pPr>
            <w:r>
              <w:rPr/>
              <w:t> </w:t>
            </w:r>
          </w:p>
        </w:tc>
      </w:tr>
    </w:tbl>
    <w:tbl>
      <w:tblPr>
        <w:tblW w:w="2545" w:type="dxa"/>
        <w:jc w:val="left"/>
        <w:tblInd w:w="0" w:type="dxa"/>
        <w:tblLayout w:type="fixed"/>
        <w:tblCellMar>
          <w:top w:w="0" w:type="dxa"/>
          <w:left w:w="0" w:type="dxa"/>
          <w:bottom w:w="0" w:type="dxa"/>
          <w:right w:w="0" w:type="dxa"/>
        </w:tblCellMar>
      </w:tblPr>
      <w:tblGrid>
        <w:gridCol w:w="230"/>
        <w:gridCol w:w="23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23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shown are in USD.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are fees for services related to accounting consultation, compliance with regulatory requirements, and additional audit and audit-related fees for statutory audits and statutory reviews of non-consolidated controlled related entities.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Audit Committee’s Pre-Approval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has determined that the rendering of services other than audit services by PricewaterhouseCoopers LLP is compatible with maintaining the principal accountant’s independence.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0" w:name="ny20034373x2_def14a_116-prop3_pg1"/>
      <w:bookmarkEnd w:id="80"/>
      <w:r>
        <w:rPr>
          <w:rFonts w:ascii="Arial" w:hAnsi="Arial"/>
          <w:b/>
          <w:color w:val="00489A"/>
          <w:sz w:val="20"/>
        </w:rPr>
        <w:t xml:space="preserve">PROPOSAL 3 </w:t>
      </w:r>
    </w:p>
    <w:p>
      <w:pPr>
        <w:pStyle w:val="TextBody"/>
        <w:bidi w:val="0"/>
        <w:spacing w:before="0" w:after="283"/>
        <w:jc w:val="center"/>
        <w:rPr>
          <w:rFonts w:ascii="Arial" w:hAnsi="Arial"/>
          <w:b/>
          <w:color w:val="00489A"/>
          <w:sz w:val="20"/>
        </w:rPr>
      </w:pPr>
      <w:r>
        <w:rPr>
          <w:rFonts w:ascii="Arial" w:hAnsi="Arial"/>
          <w:b/>
          <w:color w:val="00489A"/>
          <w:sz w:val="20"/>
        </w:rPr>
        <w:t xml:space="preserve">AUTHORIZED SHARES PROPOSAL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Board has unanimously approved an amendment (the “</w:t>
      </w:r>
      <w:r>
        <w:rPr>
          <w:rFonts w:ascii="Times New Roman;Times;serif" w:hAnsi="Times New Roman;Times;serif"/>
          <w:b/>
          <w:i/>
          <w:color w:val="000000"/>
          <w:sz w:val="20"/>
        </w:rPr>
        <w:t>Authorized Shares Proposal</w:t>
      </w:r>
      <w:r>
        <w:rPr>
          <w:rFonts w:ascii="Times New Roman;Times;serif" w:hAnsi="Times New Roman;Times;serif"/>
          <w:color w:val="000000"/>
          <w:sz w:val="20"/>
        </w:rPr>
        <w:t>”) to the Charter to increase the number of authorized shares of capital stock from 1,208,000,000 to 1,426,000000, consisting of 1,416,000,000 shares of common stock, par value $0.0001 per share (“</w:t>
      </w:r>
      <w:r>
        <w:rPr>
          <w:rFonts w:ascii="Times New Roman;Times;serif" w:hAnsi="Times New Roman;Times;serif"/>
          <w:b/>
          <w:i/>
          <w:color w:val="000000"/>
          <w:sz w:val="20"/>
        </w:rPr>
        <w:t>Common Stock</w:t>
      </w:r>
      <w:r>
        <w:rPr>
          <w:rFonts w:ascii="Times New Roman;Times;serif" w:hAnsi="Times New Roman;Times;serif"/>
          <w:color w:val="000000"/>
          <w:sz w:val="20"/>
        </w:rPr>
        <w:t xml:space="preserve">”), and 10,000,000 shares of preferred stock, par value $0.0001 per share. The Authorized Shares Proposal only increases the number of authorized shares of Common Stock and will not change the number of authorized shares of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additional shares of Common Stock authorized for issuance by the Authorized Shares Proposal would be a part of the existing class of Common Stock and, if and when issued, would have the same rights and privileges as the Common Stock presently issued and outstanding. The Company’s stockholders do not have preemptive rights with respect to its Common Stock and accordingly, should the Board elect to issue additional shares of common stock, existing stockholders would not have any preferential rights to purchase the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Provided the stockholders approve the Authorized Shares Proposal, the increased number of shares would be authorized for issuance but would remain unissued until such time as the Board approves a specific issuance of such shares. Other than future issuances under the Company’s equity compensation plans, the Company currently has no plans or arrangements to issue the additional authorized shares of Common Stock that will result in the event that the Company’s stockholders approve, and the Company implements, the Authorized Shares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 of the Authorized Shares Proposal amendment to the Charter is qualified in its entirety by reference to the text of the proposed revisions, which are attached as Appendix A. Additions are indicated by underlining, and deletions are indicated by strike-throughs. However, the text of the Authorized Shares Proposal is subject to revision to include such changes as may be required by the Secretary of State of the State of Delaware and as deemed necessary and advisable to effect the Authorized Shares Proposal. The Board reserves its right to elect not to proceed with and abandon the Authorized Shares Proposal if it determines, in its sole discretion at any time, that this proposal is no longer in the best interests of our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we fail to obtain stockholder approval of this proposal at the Annual Meeting, we intend to continue to seek to obtain stockholder approval at each subsequent annual meeting of stockholders and/or special meeting of stockholders until such approval has been obtained, and we will incur the costs associated therewith.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Authorized Shares Proposal amendment to the Charter would become effective upon the filing of a Certificate of Amendment with the Secretary of State of the State of Delaware, which we would file promptly following the Annual Meeting if our stockholders approve the Authorized Shares Proposal.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Background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Charter currently authorizes the issuance of up to 1,208,000,000 shares of capital stock, of which (a) 1,198,000,000 shares were classified as Common Stock and (b) 10,000,000 shares were classified as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the close of business on September 14, 2024, there were approximately 875,444,828 shares of Common Stock issued and outstanding, no preferred stock issued and outstanding, and 105,606,883 shares of Common Stock reserved for issuance pursuant to outstanding option awards and other equity compensation awards, meaning that we presently have 226,948,289 authorized shares available for issuance.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Purpose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it is in the best interest of the Company and its stockholders to have a greater number of authorized shares of Common Stock to provide the Company with flexibility to issue shares of common stock for any proper corporate purpose, which could include strategic investments, strategic partnership arrangements, awards or grants under employee equity incentive plans, equity based financing to support the execution of the Company’s business strategy, or other general purposes.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color w:val="000000"/>
          <w:sz w:val="20"/>
        </w:rPr>
      </w:pPr>
      <w:bookmarkStart w:id="81" w:name="ny20034373x2_def14a_116-prop3_pg2"/>
      <w:bookmarkEnd w:id="81"/>
      <w:r>
        <w:rPr>
          <w:rFonts w:ascii="Times New Roman;Times;serif" w:hAnsi="Times New Roman;Times;serif"/>
          <w:color w:val="000000"/>
          <w:sz w:val="20"/>
        </w:rPr>
        <w:t xml:space="preserve">The availability of additional authorized shares of Common Stock would enhance the business and financial flexibility and allow the Company to execute any of these transactions in the future without the possible delays and significant expense of obtaining additional shareholder approval, except as may be required in particular cases by the Charter, applicable law or the rules of any stock exchange or other system on which the Company’s securities may then be listed.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believes that additional authorized shares of capital stock will enable the Company to take timely advantage of market conditions and favorable financing and acquisition opportunities that become available to the Company. We anticipate that having additional flexibility will allow us to pursue our strategic objectives, in addition to allowing us to provide equity incentives to our employees in order to attract, retain and motivate key talent.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Rights of Additional Authorized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newly authorized shares of Common Stock will be identical to the shares of Common Stock now authorized and outstanding. The amendment will not affect the rights of current holders of Common Stock, none of whom have preemptive or similar rights to acquire the newly authorized shares.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Effects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Adoption of the Authorized Shares Proposal will have no immediate dilutive effect on the proportionate voting power or other rights of the Company’s existing stockholders. The Board has no current plan, arrangement, commitment or understanding to issue shares from the additional authorized shares provided by the Authorized Shares Proposal. However, any future issuance of additional authorized shares of our Common Stock, at the future direction of the Board, generally without the requirement of stockholder approval (unless specifically required by applicable law or Nasdaq regulation) may, among other things, dilute the earnings per share of Common Stock and the equity and voting rights of those holding Common Stock at the time such additional shares are issued.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Potential Anti-Takeover Effects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Authorized Shares Proposal could adversely affect the ability of third parties to effect a takeover or a change in control by, for example, permitting issuances that would dilute the ownership of a person seeking to effect a change in the composition of our Board or contemplating a tender offer or other transaction that the Board determines is not in our best interests or in the best interests of our stockholders. The Board’s ability to issue substantial amounts of Common Stock without the need for stockholder approval, except as may be required by law or regulation, upon such terms and conditions as our Board may determine from time to time in the exercise of its business judgment, may, among other things, be used to create voting impediments with respect to a change in control or to dilute the stock ownership of stockholders seeking to obtain control of the Company. The issuance of Common Stock, while providing desirable flexibility in connection with potential financings and other corporate transactions, may have the effect of discouraging, delaying or preventing a change in control of the Company. Our Board, however, does not intend or view the Authorized Shares Proposal as an anti-takeover measure, nor does it contemplate its use in this manner at any time in the foreseeable future.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Appraisal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DGCL, stockholders are not entitled to appraisal rights with respect to the Authorized Shares Proposal.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Authorized Shares Proposal amendment to the Charter requires the affirmative “FOR” vote of at least a majority of the voting power shares of common stock casting votes in person (online during the virtual meeting) or by proxy at the Annual Meeting by the holders entitled to vote thereon. This means that the Authorized Shares Proposal will be approved if the votes cast “FOR” the proposal exceed the votes cast “AGAINST” the proposal. You may vote “FOR,” “AGAINST,” or “ABSTAIN” on this proposal. Abstentions are not counted as votes cast and will have no effect on the vote on this proposal. We do not expect there to be any broker non-votes with respect to this proposal, however, if there are any broker non-votes, they will not be counted as votes cast, and they will have no effect on the vote on this proposal.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2" w:name="ny20034373x2_def14a_117-prop4_pg1"/>
      <w:bookmarkEnd w:id="82"/>
      <w:r>
        <w:rPr>
          <w:rFonts w:ascii="Arial" w:hAnsi="Arial"/>
          <w:b/>
          <w:color w:val="00489A"/>
          <w:sz w:val="20"/>
        </w:rPr>
        <w:t xml:space="preserve">PROPOSAL 4 </w:t>
      </w:r>
    </w:p>
    <w:p>
      <w:pPr>
        <w:pStyle w:val="TextBody"/>
        <w:bidi w:val="0"/>
        <w:spacing w:before="0" w:after="283"/>
        <w:jc w:val="center"/>
        <w:rPr>
          <w:rFonts w:ascii="Arial" w:hAnsi="Arial"/>
          <w:b/>
          <w:color w:val="00489A"/>
          <w:sz w:val="20"/>
        </w:rPr>
      </w:pPr>
      <w:r>
        <w:rPr>
          <w:rFonts w:ascii="Arial" w:hAnsi="Arial"/>
          <w:b/>
          <w:color w:val="00489A"/>
          <w:sz w:val="20"/>
        </w:rPr>
        <w:t xml:space="preserve">GOVERNANCE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description of the Governance Proposal amendment to the Charter is qualified in its entirety by reference to the text of the proposed revisions, which are set forth Appendix A. Additions are indicated by underlining, and deletions are indicated by strike-throughs.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stockholders were previously asked to approve the amendments described in this proposal at the Company’s 2023 annual meeting of stockholders. The proposed amendments did not receive a vote of the requisite 66 2/3% of the voting power of shares outstanding and entitled to vote generally in the election of directors of the Company. In the furtherance of good governance, we are once again seeking the approval of our stockholders of the Governance Proposal amendment to the Charter.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Declassification of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Currently, the Charter provides that the Board is divided into three classes, with each class serving a staggered three-year term, and only one class being eligible for re-election each annual meeting. Specifically: </w:t>
      </w:r>
    </w:p>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 directors have terms expiring at the 2025 annual meeting of stockholders;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II directors have terms expiring at the 2026 annual meeting of stockholders; and </w:t>
            </w:r>
          </w:p>
        </w:tc>
      </w:tr>
    </w:tbl>
    <w:tbl>
      <w:tblPr>
        <w:tblW w:w="9085" w:type="dxa"/>
        <w:jc w:val="left"/>
        <w:tblInd w:w="0" w:type="dxa"/>
        <w:tblLayout w:type="fixed"/>
        <w:tblCellMar>
          <w:top w:w="0" w:type="dxa"/>
          <w:left w:w="0" w:type="dxa"/>
          <w:bottom w:w="0" w:type="dxa"/>
          <w:right w:w="0" w:type="dxa"/>
        </w:tblCellMar>
      </w:tblPr>
      <w:tblGrid>
        <w:gridCol w:w="110"/>
        <w:gridCol w:w="8975"/>
      </w:tblGrid>
      <w:tr>
        <w:trPr/>
        <w:tc>
          <w:tcPr>
            <w:tcW w:w="110" w:type="dxa"/>
            <w:tcBorders/>
            <w:vAlign w:val="center"/>
          </w:tcPr>
          <w:p>
            <w:pPr>
              <w:pStyle w:val="TableContents"/>
              <w:bidi w:val="0"/>
              <w:spacing w:before="0" w:after="0"/>
              <w:jc w:val="left"/>
              <w:rPr>
                <w:color w:val="000000"/>
              </w:rPr>
            </w:pPr>
            <w:r>
              <w:rPr>
                <w:color w:val="000000"/>
              </w:rPr>
              <w:t>•</w:t>
            </w:r>
          </w:p>
        </w:tc>
        <w:tc>
          <w:tcPr>
            <w:tcW w:w="8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directors designated as Class III directors have terms expiring at the 2024 annual meeting of stockholders.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current Board members and their respective designations are as follow: </w:t>
      </w:r>
    </w:p>
    <w:tbl>
      <w:tblPr>
        <w:tblW w:w="10205" w:type="dxa"/>
        <w:jc w:val="left"/>
        <w:tblInd w:w="0" w:type="dxa"/>
        <w:tblLayout w:type="fixed"/>
        <w:tblCellMar>
          <w:top w:w="0" w:type="dxa"/>
          <w:left w:w="0" w:type="dxa"/>
          <w:bottom w:w="0" w:type="dxa"/>
          <w:right w:w="0" w:type="dxa"/>
        </w:tblCellMar>
      </w:tblPr>
      <w:tblGrid>
        <w:gridCol w:w="155"/>
        <w:gridCol w:w="1215"/>
        <w:gridCol w:w="140"/>
        <w:gridCol w:w="140"/>
        <w:gridCol w:w="5081"/>
        <w:gridCol w:w="140"/>
        <w:gridCol w:w="140"/>
        <w:gridCol w:w="680"/>
        <w:gridCol w:w="140"/>
        <w:gridCol w:w="140"/>
        <w:gridCol w:w="2077"/>
        <w:gridCol w:w="157"/>
      </w:tblGrid>
      <w:tr>
        <w:trPr/>
        <w:tc>
          <w:tcPr>
            <w:tcW w:w="155"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7"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Current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Expires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5"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Jodi Butts</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&amp; Governance Committee Member;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Clanachan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5"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John M. Herhalt</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 of the Audit Committee;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David Hopkinson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Nominating and Governance Committee &amp; Compensation Committee Member;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5"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Thomas Looney</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1"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 xml:space="preserve">Chair of the Compensation Committee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 Member; Independent Director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annual meeting of stockholders </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15" w:type="dxa"/>
            <w:tcBorders/>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Renah Persofsky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Vice-Chair (Lead Director) and Chair of the Nominating and Governance Committee; Independent 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annual meeting of stockholders </w:t>
            </w:r>
          </w:p>
        </w:tc>
        <w:tc>
          <w:tcPr>
            <w:tcW w:w="157" w:type="dxa"/>
            <w:tcBorders/>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5" w:type="dxa"/>
            <w:tcBorders/>
            <w:shd w:fill="C7CDE8" w:val="clear"/>
            <w:vAlign w:val="center"/>
          </w:tcPr>
          <w:p>
            <w:pPr>
              <w:pStyle w:val="TableContents"/>
              <w:bidi w:val="0"/>
              <w:spacing w:before="0" w:after="283"/>
              <w:ind w:left="30" w:right="0" w:hanging="0"/>
              <w:jc w:val="left"/>
              <w:rPr>
                <w:rFonts w:ascii="Times New Roman;Times;serif" w:hAnsi="Times New Roman;Times;serif"/>
                <w:b/>
                <w:color w:val="000000"/>
                <w:sz w:val="20"/>
              </w:rPr>
            </w:pPr>
            <w:r>
              <w:rPr>
                <w:rFonts w:ascii="Times New Roman;Times;serif" w:hAnsi="Times New Roman;Times;serif"/>
                <w:b/>
                <w:color w:val="000000"/>
                <w:sz w:val="20"/>
              </w:rPr>
              <w:t>Irwin D. Simon</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1"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of Directors; President and Chief Executive Officer</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II</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7" w:type="dxa"/>
            <w:tcBorders/>
            <w:shd w:fill="C7CDE8"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annual meeting of stockholders</w:t>
            </w:r>
          </w:p>
        </w:tc>
        <w:tc>
          <w:tcPr>
            <w:tcW w:w="157" w:type="dxa"/>
            <w:tcBorders/>
            <w:shd w:fill="C7CDE8" w:val="clear"/>
            <w:vAlign w:val="center"/>
          </w:tcPr>
          <w:p>
            <w:pPr>
              <w:pStyle w:val="TableContents"/>
              <w:bidi w:val="0"/>
              <w:spacing w:before="0" w:after="0"/>
              <w:jc w:val="left"/>
              <w:rPr/>
            </w:pPr>
            <w:r>
              <w:rPr/>
              <w:t> </w:t>
            </w:r>
          </w:p>
        </w:tc>
      </w:tr>
      <w:tr>
        <w:trPr/>
        <w:tc>
          <w:tcPr>
            <w:tcW w:w="155" w:type="dxa"/>
            <w:tcBorders/>
            <w:shd w:fill="C7CDE8" w:val="clear"/>
            <w:vAlign w:val="center"/>
          </w:tcPr>
          <w:p>
            <w:pPr>
              <w:pStyle w:val="TableContents"/>
              <w:bidi w:val="0"/>
              <w:spacing w:before="0" w:after="0"/>
              <w:jc w:val="left"/>
              <w:rPr/>
            </w:pPr>
            <w:r>
              <w:rPr/>
              <w:t> </w:t>
            </w:r>
          </w:p>
        </w:tc>
        <w:tc>
          <w:tcPr>
            <w:tcW w:w="1215"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5081"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68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140" w:type="dxa"/>
            <w:tcBorders/>
            <w:shd w:fill="C7CDE8" w:val="clear"/>
            <w:vAlign w:val="center"/>
          </w:tcPr>
          <w:p>
            <w:pPr>
              <w:pStyle w:val="TableContents"/>
              <w:bidi w:val="0"/>
              <w:spacing w:before="0" w:after="0"/>
              <w:jc w:val="left"/>
              <w:rPr/>
            </w:pPr>
            <w:r>
              <w:rPr/>
              <w:t> </w:t>
            </w:r>
          </w:p>
        </w:tc>
        <w:tc>
          <w:tcPr>
            <w:tcW w:w="2077" w:type="dxa"/>
            <w:tcBorders/>
            <w:shd w:fill="C7CDE8" w:val="clear"/>
            <w:vAlign w:val="center"/>
          </w:tcPr>
          <w:p>
            <w:pPr>
              <w:pStyle w:val="TableContents"/>
              <w:bidi w:val="0"/>
              <w:spacing w:before="0" w:after="0"/>
              <w:jc w:val="left"/>
              <w:rPr/>
            </w:pPr>
            <w:r>
              <w:rPr/>
              <w:t> </w:t>
            </w:r>
          </w:p>
        </w:tc>
        <w:tc>
          <w:tcPr>
            <w:tcW w:w="157" w:type="dxa"/>
            <w:tcBorders/>
            <w:shd w:fill="C7CDE8" w:val="clear"/>
            <w:vAlign w:val="center"/>
          </w:tcPr>
          <w:p>
            <w:pPr>
              <w:pStyle w:val="TableContents"/>
              <w:bidi w:val="0"/>
              <w:spacing w:before="0" w:after="0"/>
              <w:jc w:val="left"/>
              <w:rPr/>
            </w:pPr>
            <w:r>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3" w:name="ny20034373x2_def14a_117-prop4_pg2"/>
      <w:bookmarkEnd w:id="83"/>
      <w:r>
        <w:rPr>
          <w:rFonts w:ascii="Arial" w:hAnsi="Arial"/>
          <w:b/>
          <w:color w:val="00489A"/>
          <w:sz w:val="20"/>
        </w:rPr>
        <w:t xml:space="preserve">Purpose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Times;serif" w:hAnsi="Times New Roman;Times;serif"/>
          <w:b/>
          <w:i/>
          <w:color w:val="000000"/>
          <w:sz w:val="20"/>
        </w:rPr>
        <w:t>Declassification</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Impact of the Proposal - Annual Elections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2025 annual meeting of our stockholders and until his or her successor shall be elected and qualified, or his or her earlier death, resignation, or removal from office.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Governance Proposal requires the affirmative “FOR” vote from the holders of at least 66 2/3% of the voting power of shares outstanding and entitled to vote generally in the election of directors of the Company. You may vote “FOR,” “AGAINST,” or “ABSTAIN” on this proposal. Abstentions have the same effect as a vote against the proposal. </w:t>
      </w:r>
    </w:p>
    <w:p>
      <w:pPr>
        <w:pStyle w:val="TextBody"/>
        <w:bidi w:val="0"/>
        <w:spacing w:before="240" w:after="283"/>
        <w:jc w:val="center"/>
        <w:rPr>
          <w:rFonts w:ascii="Arial" w:hAnsi="Arial"/>
          <w:b/>
          <w:color w:val="00489A"/>
          <w:sz w:val="20"/>
        </w:rPr>
      </w:pPr>
      <w:r>
        <w:rPr>
          <w:rFonts w:ascii="Arial" w:hAnsi="Arial"/>
          <w:b/>
          <w:color w:val="00489A"/>
          <w:sz w:val="20"/>
        </w:rPr>
        <w:t xml:space="preserve">OUR BOARD UNANIMOUSLY RECOMMENDS A VOTE “FOR” </w:t>
      </w:r>
    </w:p>
    <w:p>
      <w:pPr>
        <w:pStyle w:val="TextBody"/>
        <w:bidi w:val="0"/>
        <w:spacing w:before="0" w:after="283"/>
        <w:jc w:val="center"/>
        <w:rPr>
          <w:rFonts w:ascii="Arial" w:hAnsi="Arial"/>
          <w:b/>
          <w:color w:val="00489A"/>
          <w:sz w:val="20"/>
        </w:rPr>
      </w:pPr>
      <w:r>
        <w:rPr>
          <w:rFonts w:ascii="Arial" w:hAnsi="Arial"/>
          <w:b/>
          <w:color w:val="00489A"/>
          <w:sz w:val="20"/>
        </w:rPr>
        <w:t xml:space="preserve">THE APPROVAL OF GOVERNANCE PROPOSAL.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4" w:name="ny20034373x2_def14a_118-stockholder_pg1"/>
      <w:bookmarkEnd w:id="84"/>
      <w:r>
        <w:rPr>
          <w:rFonts w:ascii="Arial" w:hAnsi="Arial"/>
          <w:b/>
          <w:color w:val="00489A"/>
          <w:sz w:val="20"/>
        </w:rPr>
        <w:t xml:space="preserve">STOCKHOLDER PROPOSALS AND COMPANY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Stockholder Proposals and Director Nominations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 14a-8 under the Exchange Act and the advance notice provisions of our Bylaws, stockholder proposals and director nominations for the Annual Meeting of Stockholders for the fiscal year ended May 31, 2025 must be received by our Corporate Secretary at our principal executive office on or before May 30,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order for proposals submitted outside of Rule 14a-8 to be considered at the Annual Meeting of Stockholders for the fiscal year ended May 31, 2025,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265 Talbot Street West, Leamington, Ontario N8H 4H3, Canada.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order to be timely, a stockholder’s notice must be delivered not later than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first anniversary of the date of mailing of the notice for the preceding year’s annual meeting of stockholders nor earlier than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2025 must be received by the Company not earlier than May 29, 2025 and not later than June 28, 2025. However, in the event that the date of the Annual Meeting of Stockholders for the fiscal year ended May 31, 2025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2025. An untimely or incomplete proposal or nomination may be excluded from consideration at the Annual Meeting of Stockholders for the fiscal year ended May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also advised to review our bylaws, which contain additional requirements about advance notice of stockholder proposals and director nominations.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Annual Report to Stockholders and Form 10-K</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copy of the Company’s Annual Report to the Securities and Exchange Commission on Form 10-K for the fiscal year ended May 31, 2024 is available without charge upon written request to: 265 Talbot Street West, Leamington, Ontario N8H 4H3, Canada.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Householding of Proxy Materials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265 Talbot Street West, Leamington, Ontario N8H 4H3, Canada. Stockholders who currently receive multiple copies of the Proxy Materials at their addresses and would like to request “householding” of their communications should contact their brokers.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5" w:name="ny20034373x2_def14a_119-other_pg1"/>
      <w:bookmarkEnd w:id="85"/>
      <w:r>
        <w:rPr>
          <w:rFonts w:ascii="Arial" w:hAnsi="Arial"/>
          <w:b/>
          <w:color w:val="00489A"/>
          <w:sz w:val="20"/>
        </w:rPr>
        <w:t xml:space="preserve">OTHER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Other Matters That May Come Before the Annual Meeting</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Solicitation of Proxies at the Annual Meeting</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Websites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0"/>
              <w:jc w:val="left"/>
              <w:rPr/>
            </w:pPr>
            <w:r>
              <w:rPr/>
              <w:t> </w:t>
            </w:r>
          </w:p>
        </w:tc>
      </w:tr>
      <w:tr>
        <w:trPr/>
        <w:tc>
          <w:tcPr>
            <w:tcW w:w="2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63</w:t>
            </w:r>
          </w:p>
        </w:tc>
      </w:tr>
      <w:tr>
        <w:trPr/>
        <w:tc>
          <w:tcPr>
            <w:tcW w:w="2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right"/>
        <w:rPr>
          <w:rFonts w:ascii="Arial" w:hAnsi="Arial"/>
          <w:b/>
          <w:color w:val="00489A"/>
          <w:sz w:val="20"/>
        </w:rPr>
      </w:pPr>
      <w:bookmarkStart w:id="86" w:name="ny20034373x2_def14a_300-appa_pg1"/>
      <w:bookmarkEnd w:id="86"/>
      <w:r>
        <w:rPr>
          <w:rFonts w:ascii="Arial" w:hAnsi="Arial"/>
          <w:b/>
          <w:color w:val="00489A"/>
          <w:sz w:val="20"/>
        </w:rPr>
        <w:t xml:space="preserve">Appendix A </w:t>
      </w:r>
    </w:p>
    <w:p>
      <w:pPr>
        <w:pStyle w:val="TextBody"/>
        <w:bidi w:val="0"/>
        <w:spacing w:before="230" w:after="283"/>
        <w:jc w:val="center"/>
        <w:rPr>
          <w:rFonts w:ascii="Arial" w:hAnsi="Arial"/>
          <w:b/>
          <w:color w:val="00489A"/>
          <w:sz w:val="20"/>
        </w:rPr>
      </w:pPr>
      <w:r>
        <w:rPr>
          <w:rFonts w:ascii="Arial" w:hAnsi="Arial"/>
          <w:b/>
          <w:color w:val="00489A"/>
          <w:sz w:val="20"/>
          <w:u w:val="single"/>
        </w:rPr>
        <w:t>FIFTH</w:t>
      </w:r>
      <w:r>
        <w:rPr>
          <w:rFonts w:ascii="Arial" w:hAnsi="Arial"/>
          <w:b/>
          <w:strike/>
          <w:color w:val="EB002A"/>
          <w:sz w:val="20"/>
          <w:u w:val="single"/>
        </w:rPr>
        <w:t>FOURTH</w:t>
      </w:r>
      <w:r>
        <w:rPr>
          <w:rFonts w:ascii="Arial" w:hAnsi="Arial"/>
          <w:b/>
          <w:color w:val="000000"/>
          <w:sz w:val="20"/>
        </w:rPr>
        <w:t xml:space="preserve"> </w:t>
      </w:r>
      <w:r>
        <w:rPr>
          <w:rFonts w:ascii="Arial" w:hAnsi="Arial"/>
          <w:b/>
          <w:color w:val="00489A"/>
          <w:sz w:val="20"/>
        </w:rPr>
        <w:t>AMENDED AND RESTATED</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rPr>
        <w:t xml:space="preserve">CERTIFICATE OF INCORPORATION </w:t>
      </w:r>
    </w:p>
    <w:p>
      <w:pPr>
        <w:pStyle w:val="TextBody"/>
        <w:bidi w:val="0"/>
        <w:spacing w:before="230" w:after="283"/>
        <w:jc w:val="center"/>
        <w:rPr>
          <w:rFonts w:ascii="Arial" w:hAnsi="Arial"/>
          <w:b/>
          <w:color w:val="00489A"/>
          <w:sz w:val="20"/>
        </w:rPr>
      </w:pPr>
      <w:r>
        <w:rPr>
          <w:rFonts w:ascii="Arial" w:hAnsi="Arial"/>
          <w:b/>
          <w:color w:val="00489A"/>
          <w:sz w:val="20"/>
        </w:rPr>
        <w:t xml:space="preserve">OF </w:t>
      </w:r>
    </w:p>
    <w:p>
      <w:pPr>
        <w:pStyle w:val="TextBody"/>
        <w:bidi w:val="0"/>
        <w:spacing w:before="230" w:after="283"/>
        <w:jc w:val="center"/>
        <w:rPr>
          <w:rFonts w:ascii="Arial" w:hAnsi="Arial"/>
          <w:b/>
          <w:color w:val="00489A"/>
          <w:sz w:val="20"/>
        </w:rPr>
      </w:pPr>
      <w:r>
        <w:rPr>
          <w:rFonts w:ascii="Arial" w:hAnsi="Arial"/>
          <w:b/>
          <w:color w:val="00489A"/>
          <w:sz w:val="20"/>
        </w:rPr>
        <w:t xml:space="preserve">TILRAY BRANDS, INC. </w:t>
      </w:r>
    </w:p>
    <w:p>
      <w:pPr>
        <w:pStyle w:val="TextBody"/>
        <w:bidi w:val="0"/>
        <w:spacing w:before="230" w:after="283"/>
        <w:jc w:val="center"/>
        <w:rPr>
          <w:rFonts w:ascii="Arial" w:hAnsi="Arial"/>
          <w:b/>
          <w:color w:val="EB002A"/>
          <w:sz w:val="20"/>
        </w:rPr>
      </w:pPr>
      <w:r>
        <w:rPr>
          <w:rFonts w:ascii="Arial" w:hAnsi="Arial"/>
          <w:b/>
          <w:strike/>
          <w:color w:val="EB002A"/>
          <w:sz w:val="20"/>
          <w:u w:val="single"/>
        </w:rPr>
        <w:t>November 30, 2023</w:t>
      </w:r>
      <w:r>
        <w:rPr>
          <w:rFonts w:ascii="Arial" w:hAnsi="Arial"/>
          <w:b/>
          <w:color w:val="00489A"/>
          <w:sz w:val="20"/>
        </w:rPr>
        <w:t>[</w:t>
      </w:r>
      <w:r>
        <w:rPr>
          <w:rFonts w:ascii="Arial" w:hAnsi="Arial"/>
          <w:b/>
          <w:color w:val="00489A"/>
          <w:sz w:val="20"/>
          <w:u w:val="single"/>
        </w:rPr>
        <w:t>   </w:t>
      </w:r>
      <w:r>
        <w:rPr>
          <w:rFonts w:ascii="Arial" w:hAnsi="Arial"/>
          <w:b/>
          <w:color w:val="00489A"/>
          <w:sz w:val="20"/>
        </w:rPr>
        <w:t>], 2024</w:t>
      </w:r>
      <w:r>
        <w:rPr>
          <w:rFonts w:ascii="Arial" w:hAnsi="Arial"/>
          <w:b/>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undersigned, for the purposes of amending and restating the certificate of incorporation of Tilray Brands, Inc. (the “</w:t>
      </w:r>
      <w:r>
        <w:rPr>
          <w:rFonts w:ascii="Times New Roman;Times;serif" w:hAnsi="Times New Roman;Times;serif"/>
          <w:b/>
          <w:i/>
          <w:color w:val="000000"/>
          <w:sz w:val="20"/>
        </w:rPr>
        <w:t>Corporation</w:t>
      </w:r>
      <w:r>
        <w:rPr>
          <w:rFonts w:ascii="Times New Roman;Times;serif" w:hAnsi="Times New Roman;Times;serif"/>
          <w:color w:val="000000"/>
          <w:sz w:val="20"/>
        </w:rPr>
        <w:t xml:space="preserve">”), does hereby certify that: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ONE: </w:t>
      </w:r>
      <w:r>
        <w:rPr>
          <w:rFonts w:ascii="Times New Roman;Times;serif" w:hAnsi="Times New Roman;Times;serif"/>
          <w:b w:val="false"/>
          <w:color w:val="000000"/>
          <w:sz w:val="20"/>
        </w:rPr>
        <w:t xml:space="preserve">The present name of the Corporation is Tilray Brands, Inc. The Corporation was originally incorporated under the name “Tilray, Inc.,” by the filing of the original certificate of incorporation of the Corporation (the </w:t>
      </w:r>
      <w:r>
        <w:rPr>
          <w:rFonts w:ascii="Times New Roman;Times;serif" w:hAnsi="Times New Roman;Times;serif"/>
          <w:b/>
          <w:color w:val="000000"/>
          <w:sz w:val="20"/>
        </w:rPr>
        <w:t>“</w:t>
      </w:r>
      <w:r>
        <w:rPr>
          <w:rFonts w:ascii="Times New Roman;Times;serif" w:hAnsi="Times New Roman;Times;serif"/>
          <w:b/>
          <w:i/>
          <w:color w:val="000000"/>
          <w:sz w:val="20"/>
        </w:rPr>
        <w:t>Original Certificate”</w:t>
      </w:r>
      <w:r>
        <w:rPr>
          <w:rFonts w:ascii="Times New Roman;Times;serif" w:hAnsi="Times New Roman;Times;serif"/>
          <w:b w:val="false"/>
          <w:color w:val="000000"/>
          <w:sz w:val="20"/>
        </w:rPr>
        <w:t>) with the Secretary of State of the State of Delaware on January 24, 2018, thereby causing the Corporation to become organized and existing under and by virtue of the General Corporation Law of the State of Delaware, as amended (the</w:t>
      </w:r>
      <w:r>
        <w:rPr>
          <w:rFonts w:ascii="Times New Roman;Times;serif" w:hAnsi="Times New Roman;Times;serif"/>
          <w:b/>
          <w:color w:val="000000"/>
          <w:sz w:val="20"/>
        </w:rPr>
        <w:t xml:space="preserve"> “</w:t>
      </w:r>
      <w:r>
        <w:rPr>
          <w:rFonts w:ascii="Times New Roman;Times;serif" w:hAnsi="Times New Roman;Times;serif"/>
          <w:b/>
          <w:i/>
          <w:color w:val="000000"/>
          <w:sz w:val="20"/>
        </w:rPr>
        <w:t>DGCL”</w:t>
      </w:r>
      <w:r>
        <w:rPr>
          <w:rFonts w:ascii="Times New Roman;Times;serif" w:hAnsi="Times New Roman;Times;serif"/>
          <w:b w:val="false"/>
          <w:color w:val="000000"/>
          <w:sz w:val="20"/>
        </w:rPr>
        <w:t xml:space="preserv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TWO: </w:t>
      </w:r>
      <w:r>
        <w:rPr>
          <w:rFonts w:ascii="Times New Roman;Times;serif" w:hAnsi="Times New Roman;Times;serif"/>
          <w:b w:val="false"/>
          <w:color w:val="000000"/>
          <w:sz w:val="20"/>
        </w:rPr>
        <w:t xml:space="preserve">The amended and restated certificate of incorporation of the Corporation (the </w:t>
      </w:r>
      <w:r>
        <w:rPr>
          <w:rFonts w:ascii="Times New Roman;Times;serif" w:hAnsi="Times New Roman;Times;serif"/>
          <w:b/>
          <w:color w:val="000000"/>
          <w:sz w:val="20"/>
        </w:rPr>
        <w:t>“</w:t>
      </w:r>
      <w:r>
        <w:rPr>
          <w:rFonts w:ascii="Times New Roman;Times;serif" w:hAnsi="Times New Roman;Times;serif"/>
          <w:b/>
          <w:i/>
          <w:color w:val="000000"/>
          <w:sz w:val="20"/>
        </w:rPr>
        <w:t>First Amended and Restated Certificate”</w:t>
      </w:r>
      <w:r>
        <w:rPr>
          <w:rFonts w:ascii="Times New Roman;Times;serif" w:hAnsi="Times New Roman;Times;serif"/>
          <w:b w:val="false"/>
          <w:color w:val="000000"/>
          <w:sz w:val="20"/>
        </w:rPr>
        <w:t xml:space="preserve">), which amended and restated in its entirety the Original Certificate, was filed with the Secretary of State of the State of Delaware on July 23, 2018.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THREE: </w:t>
      </w:r>
      <w:r>
        <w:rPr>
          <w:rFonts w:ascii="Times New Roman;Times;serif" w:hAnsi="Times New Roman;Times;serif"/>
          <w:b w:val="false"/>
          <w:color w:val="000000"/>
          <w:sz w:val="20"/>
        </w:rPr>
        <w:t xml:space="preserve">The amended and restated certificate of incorporation of the Corporation (the </w:t>
      </w:r>
      <w:r>
        <w:rPr>
          <w:rFonts w:ascii="Times New Roman;Times;serif" w:hAnsi="Times New Roman;Times;serif"/>
          <w:b/>
          <w:color w:val="000000"/>
          <w:sz w:val="20"/>
        </w:rPr>
        <w:t>“</w:t>
      </w:r>
      <w:r>
        <w:rPr>
          <w:rFonts w:ascii="Times New Roman;Times;serif" w:hAnsi="Times New Roman;Times;serif"/>
          <w:b/>
          <w:i/>
          <w:color w:val="000000"/>
          <w:sz w:val="20"/>
        </w:rPr>
        <w:t>Second Amended and Restated Certificate”</w:t>
      </w:r>
      <w:r>
        <w:rPr>
          <w:rFonts w:ascii="Times New Roman;Times;serif" w:hAnsi="Times New Roman;Times;serif"/>
          <w:b w:val="false"/>
          <w:color w:val="000000"/>
          <w:sz w:val="20"/>
        </w:rPr>
        <w:t xml:space="preserve">), which amended and restated in its entirety the First Amended and Restated Certificate, was filed with the Secretary of State of the State of Delaware on December 12, 2019.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FOUR: </w:t>
      </w:r>
      <w:r>
        <w:rPr>
          <w:rFonts w:ascii="Times New Roman;Times;serif" w:hAnsi="Times New Roman;Times;serif"/>
          <w:b w:val="false"/>
          <w:color w:val="000000"/>
          <w:sz w:val="20"/>
        </w:rPr>
        <w:t xml:space="preserve">The certificate of retirement of Class 1 common stock of the Corporation (the </w:t>
      </w:r>
      <w:r>
        <w:rPr>
          <w:rFonts w:ascii="Times New Roman;Times;serif" w:hAnsi="Times New Roman;Times;serif"/>
          <w:b/>
          <w:color w:val="000000"/>
          <w:sz w:val="20"/>
        </w:rPr>
        <w:t>“</w:t>
      </w:r>
      <w:r>
        <w:rPr>
          <w:rFonts w:ascii="Times New Roman;Times;serif" w:hAnsi="Times New Roman;Times;serif"/>
          <w:b/>
          <w:i/>
          <w:color w:val="000000"/>
          <w:sz w:val="20"/>
        </w:rPr>
        <w:t>Certificate of Retirement”</w:t>
      </w:r>
      <w:r>
        <w:rPr>
          <w:rFonts w:ascii="Times New Roman;Times;serif" w:hAnsi="Times New Roman;Times;serif"/>
          <w:b w:val="false"/>
          <w:color w:val="000000"/>
          <w:sz w:val="20"/>
        </w:rPr>
        <w:t xml:space="preserve">), which amended certain provisions of the Second Amended and Restated Certificate, was filed with the Secretary of State of the State of Delaware on October 1, 2020.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FIVE: </w:t>
      </w:r>
      <w:r>
        <w:rPr>
          <w:rFonts w:ascii="Times New Roman;Times;serif" w:hAnsi="Times New Roman;Times;serif"/>
          <w:b w:val="false"/>
          <w:color w:val="000000"/>
          <w:sz w:val="20"/>
        </w:rPr>
        <w:t xml:space="preserve">The certificate of amendment (the </w:t>
      </w:r>
      <w:r>
        <w:rPr>
          <w:rFonts w:ascii="Times New Roman;Times;serif" w:hAnsi="Times New Roman;Times;serif"/>
          <w:b/>
          <w:color w:val="000000"/>
          <w:sz w:val="20"/>
        </w:rPr>
        <w:t>“</w:t>
      </w:r>
      <w:r>
        <w:rPr>
          <w:rFonts w:ascii="Times New Roman;Times;serif" w:hAnsi="Times New Roman;Times;serif"/>
          <w:b/>
          <w:i/>
          <w:color w:val="000000"/>
          <w:sz w:val="20"/>
        </w:rPr>
        <w:t>First Certificate of Amendment”</w:t>
      </w:r>
      <w:r>
        <w:rPr>
          <w:rFonts w:ascii="Times New Roman;Times;serif" w:hAnsi="Times New Roman;Times;serif"/>
          <w:b w:val="false"/>
          <w:color w:val="000000"/>
          <w:sz w:val="20"/>
        </w:rPr>
        <w:t xml:space="preserve">), which amended certain provisions of the Second Amended and Restated Certificate, was filed with the Secretary of State of the State of Delaware on September 10, 2021.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SIX: </w:t>
      </w:r>
      <w:r>
        <w:rPr>
          <w:rFonts w:ascii="Times New Roman;Times;serif" w:hAnsi="Times New Roman;Times;serif"/>
          <w:b w:val="false"/>
          <w:color w:val="000000"/>
          <w:sz w:val="20"/>
        </w:rPr>
        <w:t xml:space="preserve">The second certificate of amendment (the </w:t>
      </w:r>
      <w:r>
        <w:rPr>
          <w:rFonts w:ascii="Times New Roman;Times;serif" w:hAnsi="Times New Roman;Times;serif"/>
          <w:b/>
          <w:color w:val="000000"/>
          <w:sz w:val="20"/>
        </w:rPr>
        <w:t>“</w:t>
      </w:r>
      <w:r>
        <w:rPr>
          <w:rFonts w:ascii="Times New Roman;Times;serif" w:hAnsi="Times New Roman;Times;serif"/>
          <w:b/>
          <w:i/>
          <w:color w:val="000000"/>
          <w:sz w:val="20"/>
        </w:rPr>
        <w:t>Second Certificate of Amendment”</w:t>
      </w:r>
      <w:r>
        <w:rPr>
          <w:rFonts w:ascii="Times New Roman;Times;serif" w:hAnsi="Times New Roman;Times;serif"/>
          <w:b w:val="false"/>
          <w:color w:val="000000"/>
          <w:sz w:val="20"/>
        </w:rPr>
        <w:t xml:space="preserve">), which amended certain provisions of the Second Amended and Restated Certificate, was filed with the Secretary of State of the State of Delaware on January 10, 2022, and a Certificate of Designation of Series A Preferred Stock (the </w:t>
      </w:r>
      <w:r>
        <w:rPr>
          <w:rFonts w:ascii="Times New Roman;Times;serif" w:hAnsi="Times New Roman;Times;serif"/>
          <w:b/>
          <w:color w:val="000000"/>
          <w:sz w:val="20"/>
        </w:rPr>
        <w:t>“</w:t>
      </w:r>
      <w:r>
        <w:rPr>
          <w:rFonts w:ascii="Times New Roman;Times;serif" w:hAnsi="Times New Roman;Times;serif"/>
          <w:b/>
          <w:i/>
          <w:color w:val="000000"/>
          <w:sz w:val="20"/>
        </w:rPr>
        <w:t>Certificate of Designation”</w:t>
      </w:r>
      <w:r>
        <w:rPr>
          <w:rFonts w:ascii="Times New Roman;Times;serif" w:hAnsi="Times New Roman;Times;serif"/>
          <w:b w:val="false"/>
          <w:color w:val="000000"/>
          <w:sz w:val="20"/>
        </w:rPr>
        <w:t xml:space="preserve">),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SEVEN</w:t>
      </w:r>
      <w:r>
        <w:rPr>
          <w:rFonts w:ascii="Times New Roman;Times;serif" w:hAnsi="Times New Roman;Times;serif"/>
          <w:b w:val="false"/>
          <w:color w:val="000000"/>
          <w:sz w:val="20"/>
        </w:rPr>
        <w:t xml:space="preserve">: The third amended and restated certificate of incorporation (the </w:t>
      </w:r>
      <w:r>
        <w:rPr>
          <w:rFonts w:ascii="Times New Roman;Times;serif" w:hAnsi="Times New Roman;Times;serif"/>
          <w:b/>
          <w:color w:val="000000"/>
          <w:sz w:val="20"/>
        </w:rPr>
        <w:t>“</w:t>
      </w:r>
      <w:r>
        <w:rPr>
          <w:rFonts w:ascii="Times New Roman;Times;serif" w:hAnsi="Times New Roman;Times;serif"/>
          <w:b/>
          <w:i/>
          <w:strike/>
          <w:color w:val="EB002A"/>
          <w:sz w:val="20"/>
          <w:u w:val="single"/>
        </w:rPr>
        <w:t>Existing</w:t>
      </w:r>
      <w:r>
        <w:rPr>
          <w:rFonts w:ascii="Times New Roman;Times;serif" w:hAnsi="Times New Roman;Times;serif"/>
          <w:b/>
          <w:i/>
          <w:color w:val="00489A"/>
          <w:sz w:val="20"/>
          <w:u w:val="single"/>
        </w:rPr>
        <w:t>Third Amended and Restated</w:t>
      </w:r>
      <w:r>
        <w:rPr>
          <w:rFonts w:ascii="Times New Roman;Times;serif" w:hAnsi="Times New Roman;Times;serif"/>
          <w:b/>
          <w:color w:val="000000"/>
          <w:sz w:val="20"/>
        </w:rPr>
        <w:t xml:space="preserve"> </w:t>
      </w:r>
      <w:r>
        <w:rPr>
          <w:rFonts w:ascii="Times New Roman;Times;serif" w:hAnsi="Times New Roman;Times;serif"/>
          <w:b/>
          <w:i/>
          <w:color w:val="000000"/>
          <w:sz w:val="20"/>
        </w:rPr>
        <w:t>Certificate”</w:t>
      </w:r>
      <w:r>
        <w:rPr>
          <w:rFonts w:ascii="Times New Roman;Times;serif" w:hAnsi="Times New Roman;Times;serif"/>
          <w:b w:val="false"/>
          <w:color w:val="000000"/>
          <w:sz w:val="20"/>
        </w:rPr>
        <w:t xml:space="preserve">), which amended </w:t>
      </w:r>
      <w:r>
        <w:rPr>
          <w:rFonts w:ascii="Times New Roman;Times;serif" w:hAnsi="Times New Roman;Times;serif"/>
          <w:b w:val="false"/>
          <w:strike/>
          <w:color w:val="EB002A"/>
          <w:sz w:val="20"/>
          <w:u w:val="single"/>
        </w:rPr>
        <w:t>certain provisions of</w:t>
      </w:r>
      <w:r>
        <w:rPr>
          <w:rFonts w:ascii="Times New Roman;Times;serif" w:hAnsi="Times New Roman;Times;serif"/>
          <w:b/>
          <w:color w:val="000000"/>
          <w:sz w:val="20"/>
        </w:rPr>
        <w:t xml:space="preserve"> </w:t>
      </w:r>
      <w:r>
        <w:rPr>
          <w:rFonts w:ascii="Times New Roman;Times;serif" w:hAnsi="Times New Roman;Times;serif"/>
          <w:b w:val="false"/>
          <w:color w:val="00489A"/>
          <w:sz w:val="20"/>
          <w:u w:val="single"/>
        </w:rPr>
        <w:t>and restated in its entirety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Second Amended and Restated Certificate, was filed with the Secretary of State of the State of Delaware on March 20, 2023. </w:t>
      </w:r>
    </w:p>
    <w:p>
      <w:pPr>
        <w:pStyle w:val="TextBody"/>
        <w:bidi w:val="0"/>
        <w:spacing w:before="120" w:after="283"/>
        <w:ind w:left="0" w:right="0" w:firstLine="400"/>
        <w:jc w:val="left"/>
        <w:rPr>
          <w:rFonts w:ascii="Times New Roman;Times;serif" w:hAnsi="Times New Roman;Times;serif"/>
          <w:b/>
          <w:color w:val="00489A"/>
          <w:sz w:val="20"/>
        </w:rPr>
      </w:pPr>
      <w:r>
        <w:rPr>
          <w:rFonts w:ascii="Times New Roman;Times;serif" w:hAnsi="Times New Roman;Times;serif"/>
          <w:b/>
          <w:color w:val="00489A"/>
          <w:sz w:val="20"/>
          <w:u w:val="single"/>
        </w:rPr>
        <w:t>EIGHT</w:t>
      </w:r>
      <w:r>
        <w:rPr>
          <w:rFonts w:ascii="Times New Roman;Times;serif" w:hAnsi="Times New Roman;Times;serif"/>
          <w:b w:val="false"/>
          <w:color w:val="00489A"/>
          <w:sz w:val="20"/>
          <w:u w:val="single"/>
        </w:rPr>
        <w:t xml:space="preserve">: The fourth amended and restated certificate of incorporation (the </w:t>
      </w:r>
      <w:r>
        <w:rPr>
          <w:rFonts w:ascii="Times New Roman;Times;serif" w:hAnsi="Times New Roman;Times;serif"/>
          <w:b/>
          <w:color w:val="00489A"/>
          <w:sz w:val="20"/>
          <w:u w:val="single"/>
        </w:rPr>
        <w:t>“</w:t>
      </w:r>
      <w:r>
        <w:rPr>
          <w:rFonts w:ascii="Times New Roman;Times;serif" w:hAnsi="Times New Roman;Times;serif"/>
          <w:b/>
          <w:i/>
          <w:color w:val="00489A"/>
          <w:sz w:val="20"/>
          <w:u w:val="single"/>
        </w:rPr>
        <w:t>Existing Certificate</w:t>
      </w:r>
      <w:r>
        <w:rPr>
          <w:rFonts w:ascii="Times New Roman;Times;serif" w:hAnsi="Times New Roman;Times;serif"/>
          <w:b/>
          <w:color w:val="00489A"/>
          <w:sz w:val="20"/>
          <w:u w:val="single"/>
        </w:rPr>
        <w:t>”</w:t>
      </w:r>
      <w:r>
        <w:rPr>
          <w:rFonts w:ascii="Times New Roman;Times;serif" w:hAnsi="Times New Roman;Times;serif"/>
          <w:b w:val="false"/>
          <w:color w:val="00489A"/>
          <w:sz w:val="20"/>
          <w:u w:val="single"/>
        </w:rPr>
        <w:t>), which amended and restated in its entirety the Third Amended and Restated Certificate, was filed with the Secretary of State of the State of Delaware on November 30, 2023.</w:t>
      </w:r>
      <w:r>
        <w:rPr>
          <w:rFonts w:ascii="Times New Roman;Times;serif" w:hAnsi="Times New Roman;Times;serif"/>
          <w:b/>
          <w:color w:val="000000"/>
          <w:sz w:val="20"/>
        </w:rPr>
        <w:t xml:space="preserve"> </w:t>
      </w:r>
    </w:p>
    <w:p>
      <w:pPr>
        <w:pStyle w:val="TextBody"/>
        <w:bidi w:val="0"/>
        <w:spacing w:before="120" w:after="283"/>
        <w:ind w:left="0" w:right="0" w:firstLine="400"/>
        <w:jc w:val="left"/>
        <w:rPr>
          <w:rFonts w:ascii="Times New Roman;Times;serif" w:hAnsi="Times New Roman;Times;serif"/>
          <w:b/>
          <w:color w:val="EB002A"/>
          <w:sz w:val="20"/>
        </w:rPr>
      </w:pPr>
      <w:r>
        <w:rPr>
          <w:rFonts w:ascii="Times New Roman;Times;serif" w:hAnsi="Times New Roman;Times;serif"/>
          <w:b/>
          <w:strike/>
          <w:color w:val="EB002A"/>
          <w:sz w:val="20"/>
          <w:u w:val="single"/>
        </w:rPr>
        <w:t>EIGHT</w:t>
      </w:r>
      <w:r>
        <w:rPr>
          <w:rFonts w:ascii="Times New Roman;Times;serif" w:hAnsi="Times New Roman;Times;serif"/>
          <w:b/>
          <w:color w:val="00489A"/>
          <w:sz w:val="20"/>
          <w:u w:val="single"/>
        </w:rPr>
        <w:t>NINE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fifth amended and restated certificate of incorporation (this </w:t>
      </w:r>
      <w:r>
        <w:rPr>
          <w:rFonts w:ascii="Times New Roman;Times;serif" w:hAnsi="Times New Roman;Times;serif"/>
          <w:b/>
          <w:color w:val="000000"/>
          <w:sz w:val="20"/>
        </w:rPr>
        <w:t>“</w:t>
      </w:r>
      <w:r>
        <w:rPr>
          <w:rFonts w:ascii="Times New Roman;Times;serif" w:hAnsi="Times New Roman;Times;serif"/>
          <w:b/>
          <w:i/>
          <w:color w:val="000000"/>
          <w:sz w:val="20"/>
        </w:rPr>
        <w:t>Amended and Restated Certificate of Incorporation”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Restated Certificate”</w:t>
      </w:r>
      <w:r>
        <w:rPr>
          <w:rFonts w:ascii="Times New Roman;Times;serif" w:hAnsi="Times New Roman;Times;serif"/>
          <w:b w:val="false"/>
          <w:color w:val="000000"/>
          <w:sz w:val="20"/>
        </w:rPr>
        <w:t xml:space="preserve">), which amends and restates the Existing Certificate in its entirety, was duly adopted in accordance with Sections 242 and 245 of the DGCL, and by the Corporation’s stockholders in accordance with Section 212 of the DGCL. </w:t>
      </w:r>
    </w:p>
    <w:p>
      <w:pPr>
        <w:pStyle w:val="TextBody"/>
        <w:bidi w:val="0"/>
        <w:spacing w:before="120" w:after="283"/>
        <w:ind w:left="0" w:right="0" w:firstLine="400"/>
        <w:jc w:val="left"/>
        <w:rPr>
          <w:rFonts w:ascii="Times New Roman;Times;serif" w:hAnsi="Times New Roman;Times;serif"/>
          <w:b/>
          <w:color w:val="EB002A"/>
          <w:sz w:val="20"/>
        </w:rPr>
      </w:pPr>
      <w:r>
        <w:rPr>
          <w:rFonts w:ascii="Times New Roman;Times;serif" w:hAnsi="Times New Roman;Times;serif"/>
          <w:b/>
          <w:strike/>
          <w:color w:val="EB002A"/>
          <w:sz w:val="20"/>
          <w:u w:val="single"/>
        </w:rPr>
        <w:t>NINE</w:t>
      </w:r>
      <w:r>
        <w:rPr>
          <w:rFonts w:ascii="Times New Roman;Times;serif" w:hAnsi="Times New Roman;Times;serif"/>
          <w:b/>
          <w:color w:val="00489A"/>
          <w:sz w:val="20"/>
          <w:u w:val="single"/>
        </w:rPr>
        <w:t>TEN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This Amended and Restated Certificate of Incorporation shall become effective upon filing with the Secretary of State of the State of Delaware (the </w:t>
      </w:r>
      <w:r>
        <w:rPr>
          <w:rFonts w:ascii="Times New Roman;Times;serif" w:hAnsi="Times New Roman;Times;serif"/>
          <w:b/>
          <w:color w:val="000000"/>
          <w:sz w:val="20"/>
        </w:rPr>
        <w:t>“</w:t>
      </w:r>
      <w:r>
        <w:rPr>
          <w:rFonts w:ascii="Times New Roman;Times;serif" w:hAnsi="Times New Roman;Times;serif"/>
          <w:b/>
          <w:i/>
          <w:color w:val="000000"/>
          <w:sz w:val="20"/>
        </w:rPr>
        <w:t>Effective Time”</w:t>
      </w:r>
      <w:r>
        <w:rPr>
          <w:rFonts w:ascii="Times New Roman;Times;serif" w:hAnsi="Times New Roman;Times;serif"/>
          <w:b w:val="false"/>
          <w:color w:val="000000"/>
          <w:sz w:val="20"/>
        </w:rPr>
        <w:t xml:space="preser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A-1</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Times;serif" w:hAnsi="Times New Roman;Times;serif"/>
          <w:b/>
          <w:color w:val="EB002A"/>
          <w:sz w:val="20"/>
        </w:rPr>
      </w:pPr>
      <w:bookmarkStart w:id="87" w:name="ny20034373x2_def14a_300-appa_pg2"/>
      <w:bookmarkEnd w:id="87"/>
      <w:r>
        <w:rPr>
          <w:rFonts w:ascii="Times New Roman;Times;serif" w:hAnsi="Times New Roman;Times;serif"/>
          <w:b/>
          <w:strike/>
          <w:color w:val="EB002A"/>
          <w:sz w:val="20"/>
          <w:u w:val="single"/>
        </w:rPr>
        <w:t>TEN</w:t>
      </w:r>
      <w:r>
        <w:rPr>
          <w:rFonts w:ascii="Times New Roman;Times;serif" w:hAnsi="Times New Roman;Times;serif"/>
          <w:b/>
          <w:color w:val="00489A"/>
          <w:sz w:val="20"/>
          <w:u w:val="single"/>
        </w:rPr>
        <w:t>ELEVEN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The Existing Certificate is hereby amended and restated to read as follows: </w:t>
      </w:r>
    </w:p>
    <w:p>
      <w:pPr>
        <w:pStyle w:val="TextBody"/>
        <w:bidi w:val="0"/>
        <w:spacing w:before="250" w:after="283"/>
        <w:jc w:val="center"/>
        <w:rPr>
          <w:rFonts w:ascii="Arial" w:hAnsi="Arial"/>
          <w:b/>
          <w:color w:val="00489A"/>
          <w:sz w:val="20"/>
        </w:rPr>
      </w:pPr>
      <w:r>
        <w:rPr>
          <w:rFonts w:ascii="Arial" w:hAnsi="Arial"/>
          <w:b/>
          <w:color w:val="00489A"/>
          <w:sz w:val="20"/>
        </w:rPr>
        <w:t xml:space="preserve">I.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name of this corporation shall be </w:t>
      </w:r>
      <w:r>
        <w:rPr>
          <w:rFonts w:ascii="Times New Roman;Times;serif" w:hAnsi="Times New Roman;Times;serif"/>
          <w:b/>
          <w:color w:val="000000"/>
          <w:sz w:val="20"/>
        </w:rPr>
        <w:t>T</w:t>
      </w:r>
      <w:r>
        <w:rPr>
          <w:rFonts w:ascii="Times New Roman;Times;serif" w:hAnsi="Times New Roman;Times;serif"/>
          <w:b/>
          <w:smallCaps/>
          <w:color w:val="000000"/>
          <w:sz w:val="20"/>
        </w:rPr>
        <w:t>ilray</w:t>
      </w:r>
      <w:r>
        <w:rPr>
          <w:rFonts w:ascii="Times New Roman;Times;serif" w:hAnsi="Times New Roman;Times;serif"/>
          <w:color w:val="000000"/>
          <w:sz w:val="20"/>
        </w:rPr>
        <w:t xml:space="preserve"> </w:t>
      </w:r>
      <w:r>
        <w:rPr>
          <w:rFonts w:ascii="Times New Roman;Times;serif" w:hAnsi="Times New Roman;Times;serif"/>
          <w:b/>
          <w:color w:val="000000"/>
          <w:sz w:val="20"/>
        </w:rPr>
        <w:t>B</w:t>
      </w:r>
      <w:r>
        <w:rPr>
          <w:rFonts w:ascii="Times New Roman;Times;serif" w:hAnsi="Times New Roman;Times;serif"/>
          <w:b/>
          <w:smallCaps/>
          <w:color w:val="000000"/>
          <w:sz w:val="20"/>
        </w:rPr>
        <w:t>rands</w:t>
      </w:r>
      <w:r>
        <w:rPr>
          <w:rFonts w:ascii="Times New Roman;Times;serif" w:hAnsi="Times New Roman;Times;serif"/>
          <w:b/>
          <w:color w:val="000000"/>
          <w:sz w:val="20"/>
        </w:rPr>
        <w:t>, I</w:t>
      </w:r>
      <w:r>
        <w:rPr>
          <w:rFonts w:ascii="Times New Roman;Times;serif" w:hAnsi="Times New Roman;Times;serif"/>
          <w:b/>
          <w:smallCaps/>
          <w:color w:val="000000"/>
          <w:sz w:val="20"/>
        </w:rPr>
        <w:t>nc</w:t>
      </w:r>
      <w:r>
        <w:rPr>
          <w:rFonts w:ascii="Times New Roman;Times;serif" w:hAnsi="Times New Roman;Times;serif"/>
          <w:b/>
          <w:color w:val="000000"/>
          <w:sz w:val="20"/>
        </w:rPr>
        <w:t xml:space="preserve">. </w:t>
      </w:r>
      <w:r>
        <w:rPr>
          <w:rFonts w:ascii="Times New Roman;Times;serif" w:hAnsi="Times New Roman;Times;serif"/>
          <w:color w:val="000000"/>
          <w:sz w:val="20"/>
        </w:rPr>
        <w:t>(the “</w:t>
      </w:r>
      <w:r>
        <w:rPr>
          <w:rFonts w:ascii="Times New Roman;Times;serif" w:hAnsi="Times New Roman;Times;serif"/>
          <w:b/>
          <w:i/>
          <w:color w:val="000000"/>
          <w:sz w:val="20"/>
        </w:rPr>
        <w:t>Company”</w:t>
      </w:r>
      <w:r>
        <w:rPr>
          <w:rFonts w:ascii="Times New Roman;Times;serif" w:hAnsi="Times New Roman;Times;serif"/>
          <w:color w:val="000000"/>
          <w:sz w:val="20"/>
        </w:rPr>
        <w:t xml:space="preserve">). </w:t>
      </w:r>
    </w:p>
    <w:p>
      <w:pPr>
        <w:pStyle w:val="TextBody"/>
        <w:bidi w:val="0"/>
        <w:spacing w:before="250" w:after="283"/>
        <w:jc w:val="center"/>
        <w:rPr>
          <w:rFonts w:ascii="Arial" w:hAnsi="Arial"/>
          <w:b/>
          <w:color w:val="00489A"/>
          <w:sz w:val="20"/>
        </w:rPr>
      </w:pPr>
      <w:r>
        <w:rPr>
          <w:rFonts w:ascii="Arial" w:hAnsi="Arial"/>
          <w:b/>
          <w:color w:val="00489A"/>
          <w:sz w:val="20"/>
        </w:rPr>
        <w:t xml:space="preserve">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address of the registered office of the Company in the State of Delaware is to be 251 Little Falls Drive, Wilmington, DE 19808, County of New Castle and the name of the registered agent of the Company in the State of Delaware at such address is Corporation Service Company. </w:t>
      </w:r>
    </w:p>
    <w:p>
      <w:pPr>
        <w:pStyle w:val="TextBody"/>
        <w:bidi w:val="0"/>
        <w:spacing w:before="250" w:after="283"/>
        <w:jc w:val="center"/>
        <w:rPr>
          <w:rFonts w:ascii="Arial" w:hAnsi="Arial"/>
          <w:b/>
          <w:color w:val="00489A"/>
          <w:sz w:val="20"/>
        </w:rPr>
      </w:pPr>
      <w:r>
        <w:rPr>
          <w:rFonts w:ascii="Arial" w:hAnsi="Arial"/>
          <w:b/>
          <w:color w:val="00489A"/>
          <w:sz w:val="20"/>
        </w:rPr>
        <w:t xml:space="preserve">III.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Company is to engage in any lawful act or activity for which a corporation may be organized under the DGCL. </w:t>
      </w:r>
    </w:p>
    <w:p>
      <w:pPr>
        <w:pStyle w:val="TextBody"/>
        <w:bidi w:val="0"/>
        <w:spacing w:before="250" w:after="283"/>
        <w:jc w:val="center"/>
        <w:rPr>
          <w:rFonts w:ascii="Arial" w:hAnsi="Arial"/>
          <w:b/>
          <w:color w:val="00489A"/>
          <w:sz w:val="20"/>
        </w:rPr>
      </w:pPr>
      <w:r>
        <w:rPr>
          <w:rFonts w:ascii="Arial" w:hAnsi="Arial"/>
          <w:b/>
          <w:color w:val="00489A"/>
          <w:sz w:val="20"/>
        </w:rPr>
        <w:t xml:space="preserve">IV.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The Company is authorized to issue two classes of stock to be designated, respectively, “Common Stock” and “Preferred Stock.” The total number of shares that the Company is authorized to issue is </w:t>
            </w:r>
            <w:r>
              <w:rPr>
                <w:rFonts w:ascii="Times New Roman;Times;serif" w:hAnsi="Times New Roman;Times;serif"/>
                <w:b w:val="false"/>
                <w:strike/>
                <w:color w:val="EB002A"/>
                <w:sz w:val="20"/>
                <w:u w:val="single"/>
              </w:rPr>
              <w:t>One Billion Two Hundred Eight Million_(1,208,000,000)</w:t>
            </w:r>
            <w:r>
              <w:rPr>
                <w:rFonts w:ascii="Times New Roman;Times;serif" w:hAnsi="Times New Roman;Times;serif"/>
                <w:b/>
                <w:color w:val="00489A"/>
                <w:sz w:val="20"/>
              </w:rPr>
              <w:t xml:space="preserve"> </w:t>
            </w:r>
            <w:r>
              <w:rPr>
                <w:rFonts w:ascii="Times New Roman;Times;serif" w:hAnsi="Times New Roman;Times;serif"/>
                <w:b w:val="false"/>
                <w:color w:val="00489A"/>
                <w:sz w:val="20"/>
                <w:u w:val="single"/>
              </w:rPr>
              <w:t>One Billion Four Hundred Twenty-Six Million (1,426,000,000)</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shares of which </w:t>
            </w:r>
            <w:r>
              <w:rPr>
                <w:rFonts w:ascii="Times New Roman;Times;serif" w:hAnsi="Times New Roman;Times;serif"/>
                <w:b w:val="false"/>
                <w:color w:val="EB002A"/>
                <w:sz w:val="20"/>
                <w:u w:val="single"/>
              </w:rPr>
              <w:t>One Billion One Hundred Ninety-Eight Million (1,198,000,000)</w:t>
            </w:r>
            <w:r>
              <w:rPr>
                <w:rFonts w:ascii="Times New Roman;Times;serif" w:hAnsi="Times New Roman;Times;serif"/>
                <w:b/>
                <w:color w:val="00489A"/>
                <w:sz w:val="20"/>
              </w:rPr>
              <w:t xml:space="preserve"> </w:t>
            </w:r>
            <w:r>
              <w:rPr>
                <w:rFonts w:ascii="Times New Roman;Times;serif" w:hAnsi="Times New Roman;Times;serif"/>
                <w:b w:val="false"/>
                <w:color w:val="00489A"/>
                <w:sz w:val="20"/>
                <w:u w:val="single"/>
              </w:rPr>
              <w:t>One Billion Four Hundred Sixteen Million (1,416,000,000)</w:t>
            </w:r>
            <w:r>
              <w:rPr>
                <w:rFonts w:ascii="Times New Roman;Times;serif" w:hAnsi="Times New Roman;Times;serif"/>
                <w:b/>
                <w:color w:val="000000"/>
                <w:sz w:val="20"/>
              </w:rPr>
              <w:t xml:space="preserve"> </w:t>
            </w:r>
            <w:r>
              <w:rPr>
                <w:rFonts w:ascii="Times New Roman;Times;serif" w:hAnsi="Times New Roman;Times;serif"/>
                <w:b w:val="false"/>
                <w:color w:val="000000"/>
                <w:sz w:val="20"/>
              </w:rPr>
              <w:t>shares shall be Common Stock (</w:t>
            </w:r>
            <w:r>
              <w:rPr>
                <w:rFonts w:ascii="Times New Roman;Times;serif" w:hAnsi="Times New Roman;Times;serif"/>
                <w:b/>
                <w:color w:val="000000"/>
                <w:sz w:val="20"/>
              </w:rPr>
              <w:t>“</w:t>
            </w:r>
            <w:r>
              <w:rPr>
                <w:rFonts w:ascii="Times New Roman;Times;serif" w:hAnsi="Times New Roman;Times;serif"/>
                <w:b/>
                <w:i/>
                <w:color w:val="000000"/>
                <w:sz w:val="20"/>
              </w:rPr>
              <w:t>Common Stock”</w:t>
            </w:r>
            <w:r>
              <w:rPr>
                <w:rFonts w:ascii="Times New Roman;Times;serif" w:hAnsi="Times New Roman;Times;serif"/>
                <w:b w:val="false"/>
                <w:color w:val="000000"/>
                <w:sz w:val="20"/>
              </w:rPr>
              <w:t xml:space="preserve">), and Ten Million (10,000,000) shares of which shall be Preferred Stock (the </w:t>
            </w:r>
            <w:r>
              <w:rPr>
                <w:rFonts w:ascii="Times New Roman;Times;serif" w:hAnsi="Times New Roman;Times;serif"/>
                <w:b/>
                <w:color w:val="000000"/>
                <w:sz w:val="20"/>
              </w:rPr>
              <w:t>“</w:t>
            </w:r>
            <w:r>
              <w:rPr>
                <w:rFonts w:ascii="Times New Roman;Times;serif" w:hAnsi="Times New Roman;Times;serif"/>
                <w:b/>
                <w:i/>
                <w:color w:val="000000"/>
                <w:sz w:val="20"/>
              </w:rPr>
              <w:t>Preferred Stock”</w:t>
            </w:r>
            <w:r>
              <w:rPr>
                <w:rFonts w:ascii="Times New Roman;Times;serif" w:hAnsi="Times New Roman;Times;serif"/>
                <w:b w:val="false"/>
                <w:color w:val="000000"/>
                <w:sz w:val="20"/>
              </w:rPr>
              <w:t xml:space="preserve">). The Preferred Stock shall have a par value of $0.0001 per share, and the Common Stock shall have a par value of $0.0001 per share. </w:t>
            </w:r>
          </w:p>
        </w:tc>
      </w:tr>
    </w:tbl>
    <w:p>
      <w:pPr>
        <w:pStyle w:val="TextBody"/>
        <w:bidi w:val="0"/>
        <w:spacing w:before="120" w:after="283"/>
        <w:ind w:left="800" w:right="0" w:hanging="0"/>
        <w:jc w:val="left"/>
        <w:rPr>
          <w:rFonts w:ascii="Times New Roman;Times;serif" w:hAnsi="Times New Roman;Times;serif"/>
          <w:strike/>
          <w:color w:val="EB002A"/>
          <w:sz w:val="20"/>
          <w:u w:val="single"/>
        </w:rPr>
      </w:pPr>
      <w:r>
        <w:rPr>
          <w:rFonts w:ascii="Times New Roman;Times;serif" w:hAnsi="Times New Roman;Times;serif"/>
          <w:strike/>
          <w:color w:val="EB002A"/>
          <w:sz w:val="20"/>
          <w:u w:val="single"/>
        </w:rPr>
        <w:t>Immediately upon the Effective Time, and without any further action on the part of</w:t>
      </w:r>
    </w:p>
    <w:p>
      <w:pPr>
        <w:pStyle w:val="TextBody"/>
        <w:bidi w:val="0"/>
        <w:spacing w:before="120" w:after="283"/>
        <w:jc w:val="left"/>
        <w:rPr>
          <w:rFonts w:ascii="Times New Roman;Times;serif" w:hAnsi="Times New Roman;Times;serif"/>
          <w:color w:val="EB002A"/>
          <w:sz w:val="20"/>
        </w:rPr>
      </w:pPr>
      <w:r>
        <w:rPr>
          <w:rFonts w:ascii="Times New Roman;Times;serif" w:hAnsi="Times New Roman;Times;serif"/>
          <w:color w:val="00489A"/>
          <w:sz w:val="20"/>
          <w:u w:val="single"/>
        </w:rPr>
        <w:t>The</w:t>
      </w:r>
      <w:r>
        <w:rPr>
          <w:rFonts w:ascii="Times New Roman;Times;serif" w:hAnsi="Times New Roman;Times;serif"/>
          <w:color w:val="000000"/>
          <w:sz w:val="20"/>
        </w:rPr>
        <w:t xml:space="preserve"> Company </w:t>
      </w:r>
      <w:r>
        <w:rPr>
          <w:rFonts w:ascii="Times New Roman;Times;serif" w:hAnsi="Times New Roman;Times;serif"/>
          <w:color w:val="00489A"/>
          <w:sz w:val="20"/>
          <w:u w:val="single"/>
        </w:rPr>
        <w:t>previously reclassified</w:t>
      </w:r>
      <w:r>
        <w:rPr>
          <w:rFonts w:ascii="Times New Roman;Times;serif" w:hAnsi="Times New Roman;Times;serif"/>
          <w:color w:val="000000"/>
          <w:sz w:val="20"/>
        </w:rPr>
        <w:t xml:space="preserve"> each share of Class 2 common stock, par value $0.0001 per share, of the Company </w:t>
      </w:r>
      <w:r>
        <w:rPr>
          <w:rFonts w:ascii="Times New Roman;Times;serif" w:hAnsi="Times New Roman;Times;serif"/>
          <w:strike/>
          <w:color w:val="EB002A"/>
          <w:sz w:val="20"/>
          <w:u w:val="single"/>
        </w:rPr>
        <w:t>issued and outstanding prior to the Effective Time, shall automatically be reclassified</w:t>
      </w:r>
      <w:r>
        <w:rPr>
          <w:rFonts w:ascii="Times New Roman;Times;serif" w:hAnsi="Times New Roman;Times;serif"/>
          <w:color w:val="000000"/>
          <w:sz w:val="20"/>
        </w:rPr>
        <w:t xml:space="preserve"> as one fully paid and nonassessable share of Common Stock.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Times;serif" w:hAnsi="Times New Roman;Times;serif"/>
                <w:b/>
                <w:color w:val="000000"/>
                <w:sz w:val="20"/>
              </w:rPr>
              <w:t>“</w:t>
            </w:r>
            <w:r>
              <w:rPr>
                <w:rFonts w:ascii="Times New Roman;Times;serif" w:hAnsi="Times New Roman;Times;serif"/>
                <w:b/>
                <w:i/>
                <w:color w:val="000000"/>
                <w:sz w:val="20"/>
              </w:rPr>
              <w:t>Certificate of Designation”</w:t>
            </w:r>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The Preferred Stock authorized by this Amended and Restated Certificate of Incorporation may be issued from time to time in one or more series. The board of directors of the Company (the </w:t>
            </w:r>
            <w:r>
              <w:rPr>
                <w:rFonts w:ascii="Times New Roman;Times;serif" w:hAnsi="Times New Roman;Times;serif"/>
                <w:b/>
                <w:color w:val="000000"/>
                <w:sz w:val="20"/>
              </w:rPr>
              <w:t>“</w:t>
            </w:r>
            <w:r>
              <w:rPr>
                <w:rFonts w:ascii="Times New Roman;Times;serif" w:hAnsi="Times New Roman;Times;serif"/>
                <w:b/>
                <w:i/>
                <w:color w:val="000000"/>
                <w:sz w:val="20"/>
              </w:rPr>
              <w:t>Board of Directors”</w:t>
            </w:r>
            <w:r>
              <w:rPr>
                <w:rFonts w:ascii="Times New Roman;Times;serif" w:hAnsi="Times New Roman;Times;serif"/>
                <w:b w:val="false"/>
                <w:color w:val="000000"/>
                <w:sz w:val="20"/>
              </w:rPr>
              <w:t xml:space="preserve">)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A-2</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88" w:name="ny20034373x2_def14a_300-appa_pg3"/>
      <w:bookmarkStart w:id="89" w:name="ny20034373x2_def14a_300-appa_pg3"/>
      <w:bookmarkEnd w:id="89"/>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Except as provided above, the rights, preferences, privileges, restrictions and other matters relating to the Common Stock are as follows: </w:t>
            </w:r>
          </w:p>
        </w:tc>
      </w:tr>
    </w:tbl>
    <w:tbl>
      <w:tblPr>
        <w:tblW w:w="7450" w:type="dxa"/>
        <w:jc w:val="left"/>
        <w:tblInd w:w="0" w:type="dxa"/>
        <w:tblLayout w:type="fixed"/>
        <w:tblCellMar>
          <w:top w:w="0" w:type="dxa"/>
          <w:left w:w="0" w:type="dxa"/>
          <w:bottom w:w="0" w:type="dxa"/>
          <w:right w:w="0" w:type="dxa"/>
        </w:tblCellMar>
      </w:tblPr>
      <w:tblGrid>
        <w:gridCol w:w="185"/>
        <w:gridCol w:w="7265"/>
      </w:tblGrid>
      <w:tr>
        <w:trPr/>
        <w:tc>
          <w:tcPr>
            <w:tcW w:w="18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1.</w:t>
            </w:r>
          </w:p>
        </w:tc>
        <w:tc>
          <w:tcPr>
            <w:tcW w:w="726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Definitions</w:t>
            </w:r>
            <w:r>
              <w:rPr>
                <w:rFonts w:ascii="Arial" w:hAnsi="Arial"/>
                <w:b w:val="false"/>
                <w:color w:val="00489A"/>
                <w:sz w:val="20"/>
              </w:rPr>
              <w:t xml:space="preserve">. For purposes of this Article IV(D), the following definitions shall apply: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74"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Change of Control Transaction”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94"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Distribution”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(i) any dividend or distribution of cash, property or shares of the Company’s capital stock; and (ii) any distribution following or in connection with any liquidation, dissolution, or winding up of the Company, whether voluntary or involuntary.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6"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IPO”</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Company’s first firmly underwritten public offering pursuant to an effective registration statement under the Securities Act of 1933, as amended, covering the offer and sale of Common Stock for the account of the Company. </w:t>
            </w:r>
          </w:p>
        </w:tc>
      </w:tr>
    </w:tbl>
    <w:tbl>
      <w:tblPr>
        <w:tblW w:w="8125" w:type="dxa"/>
        <w:jc w:val="left"/>
        <w:tblInd w:w="0" w:type="dxa"/>
        <w:tblLayout w:type="fixed"/>
        <w:tblCellMar>
          <w:top w:w="0" w:type="dxa"/>
          <w:left w:w="0" w:type="dxa"/>
          <w:bottom w:w="0" w:type="dxa"/>
          <w:right w:w="0" w:type="dxa"/>
        </w:tblCellMar>
      </w:tblPr>
      <w:tblGrid>
        <w:gridCol w:w="185"/>
        <w:gridCol w:w="7940"/>
      </w:tblGrid>
      <w:tr>
        <w:trPr/>
        <w:tc>
          <w:tcPr>
            <w:tcW w:w="18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2.</w:t>
            </w:r>
          </w:p>
        </w:tc>
        <w:tc>
          <w:tcPr>
            <w:tcW w:w="7940"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Rights relating to Distributions, Subdivisions, Combinations and Change of Control.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Times;serif" w:hAnsi="Times New Roman;Times;serif"/>
                <w:b w:val="false"/>
                <w:i/>
                <w:color w:val="000000"/>
                <w:sz w:val="20"/>
              </w:rPr>
              <w:t>provided, however</w:t>
            </w:r>
            <w:r>
              <w:rPr>
                <w:rFonts w:ascii="Times New Roman;Times;serif" w:hAnsi="Times New Roman;Times;serif"/>
                <w:b w:val="false"/>
                <w:color w:val="000000"/>
                <w:sz w:val="20"/>
              </w:rPr>
              <w:t xml:space="preserve">, that in the event a Distribution is paid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A-3</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Times;serif" w:hAnsi="Times New Roman;Times;serif"/>
          <w:color w:val="000000"/>
          <w:sz w:val="20"/>
        </w:rPr>
      </w:pPr>
      <w:bookmarkStart w:id="90" w:name="ny20034373x2_def14a_300-appa_pg4"/>
      <w:bookmarkEnd w:id="90"/>
      <w:r>
        <w:rPr>
          <w:rFonts w:ascii="Times New Roman;Times;serif" w:hAnsi="Times New Roman;Times;serif"/>
          <w:color w:val="000000"/>
          <w:sz w:val="20"/>
        </w:rPr>
        <w:t xml:space="preserve">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98"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 </w:t>
            </w:r>
          </w:p>
        </w:tc>
      </w:tr>
    </w:tbl>
    <w:tbl>
      <w:tblPr>
        <w:tblW w:w="1600" w:type="dxa"/>
        <w:jc w:val="left"/>
        <w:tblInd w:w="0" w:type="dxa"/>
        <w:tblLayout w:type="fixed"/>
        <w:tblCellMar>
          <w:top w:w="0" w:type="dxa"/>
          <w:left w:w="0" w:type="dxa"/>
          <w:bottom w:w="0" w:type="dxa"/>
          <w:right w:w="0" w:type="dxa"/>
        </w:tblCellMar>
      </w:tblPr>
      <w:tblGrid>
        <w:gridCol w:w="185"/>
        <w:gridCol w:w="1415"/>
      </w:tblGrid>
      <w:tr>
        <w:trPr/>
        <w:tc>
          <w:tcPr>
            <w:tcW w:w="18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3.</w:t>
            </w:r>
          </w:p>
        </w:tc>
        <w:tc>
          <w:tcPr>
            <w:tcW w:w="14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Voting Rights. </w:t>
            </w:r>
          </w:p>
        </w:tc>
      </w:tr>
    </w:tbl>
    <w:tbl>
      <w:tblPr>
        <w:tblW w:w="9700" w:type="dxa"/>
        <w:jc w:val="left"/>
        <w:tblInd w:w="0" w:type="dxa"/>
        <w:tblLayout w:type="fixed"/>
        <w:tblCellMar>
          <w:top w:w="0" w:type="dxa"/>
          <w:left w:w="0" w:type="dxa"/>
          <w:bottom w:w="0" w:type="dxa"/>
          <w:right w:w="0" w:type="dxa"/>
        </w:tblCellMar>
      </w:tblPr>
      <w:tblGrid>
        <w:gridCol w:w="245"/>
        <w:gridCol w:w="9455"/>
      </w:tblGrid>
      <w:tr>
        <w:trPr/>
        <w:tc>
          <w:tcPr>
            <w:tcW w:w="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45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Common Stock. Each holder of shares of Common Stock shall be entitled to one (1) vote for each share thereof held.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998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General. Except as otherwise expressly provided herein or as required by law, the holders of Preferred Stock and Common Stock shall vote together and not as separate series or classes.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liability of the directors of the Company for monetary damages shall be eliminated to the fullest extent under applicable law.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VI.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w:t>
      </w:r>
    </w:p>
    <w:p>
      <w:pPr>
        <w:pStyle w:val="TextBody"/>
        <w:bidi w:val="0"/>
        <w:spacing w:before="1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A. Board of Directors.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A-4</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1" w:name="ny20034373x2_def14a_300-appa_pg5"/>
      <w:bookmarkStart w:id="92" w:name="ny20034373x2_def14a_300-appa_pg5"/>
      <w:bookmarkEnd w:id="92"/>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006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w:t>
            </w:r>
          </w:p>
        </w:tc>
      </w:tr>
    </w:tbl>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Election.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strike/>
                <w:color w:val="EB002A"/>
                <w:sz w:val="20"/>
                <w:u w:val="single"/>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r>
              <w:rPr>
                <w:rFonts w:ascii="Times New Roman;Times;serif" w:hAnsi="Times New Roman;Times;serif"/>
                <w:b/>
                <w:color w:val="000000"/>
                <w:sz w:val="20"/>
              </w:rPr>
              <w:t xml:space="preserve"> </w:t>
            </w:r>
          </w:p>
        </w:tc>
      </w:tr>
    </w:tbl>
    <w:p>
      <w:pPr>
        <w:pStyle w:val="TextBody"/>
        <w:bidi w:val="0"/>
        <w:spacing w:before="120" w:after="283"/>
        <w:ind w:left="1600" w:right="0" w:hanging="0"/>
        <w:jc w:val="left"/>
        <w:rPr>
          <w:rFonts w:ascii="Times New Roman;Times;serif" w:hAnsi="Times New Roman;Times;serif"/>
          <w:color w:val="EB002A"/>
          <w:sz w:val="20"/>
        </w:rPr>
      </w:pPr>
      <w:r>
        <w:rPr>
          <w:rFonts w:ascii="Times New Roman;Times;serif" w:hAnsi="Times New Roman;Times;serif"/>
          <w:strike/>
          <w:color w:val="EB002A"/>
          <w:sz w:val="20"/>
          <w:u w:val="single"/>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r>
        <w:rPr>
          <w:rFonts w:ascii="Times New Roman;Times;serif" w:hAnsi="Times New Roman;Times;serif"/>
          <w:color w:val="000000"/>
          <w:sz w:val="20"/>
        </w:rPr>
        <w:t xml:space="preserve"> </w:t>
      </w:r>
    </w:p>
    <w:p>
      <w:pPr>
        <w:pStyle w:val="TextBody"/>
        <w:bidi w:val="0"/>
        <w:spacing w:before="120" w:after="283"/>
        <w:ind w:left="1600" w:right="0" w:hanging="0"/>
        <w:jc w:val="left"/>
        <w:rPr>
          <w:rFonts w:ascii="Times New Roman;Times;serif" w:hAnsi="Times New Roman;Times;serif"/>
          <w:color w:val="00489A"/>
          <w:sz w:val="20"/>
        </w:rPr>
      </w:pPr>
      <w:r>
        <w:rPr>
          <w:rFonts w:ascii="Times New Roman;Times;serif" w:hAnsi="Times New Roman;Times;serif"/>
          <w:color w:val="00489A"/>
          <w:sz w:val="20"/>
          <w:u w:val="single"/>
        </w:rPr>
        <w:t>From and after the effective time of this Amended and Restated Certificate of Incorporation, the directors shall no longer be divided into three classes and, commencing with the 2024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1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14"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 </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005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Removal of Directors. </w:t>
            </w:r>
            <w:r>
              <w:rPr>
                <w:rFonts w:ascii="Times New Roman;Times;serif" w:hAnsi="Times New Roman;Times;serif"/>
                <w:b w:val="false"/>
                <w:color w:val="000000"/>
                <w:sz w:val="20"/>
              </w:rPr>
              <w:t xml:space="preserve">Subject to any limitations imposed by applicable law and subject to the rights of the holders of any series of Preferred Stock, any individual director or directors may be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A-5</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200" w:right="0" w:hanging="0"/>
        <w:jc w:val="left"/>
        <w:rPr>
          <w:rFonts w:ascii="Times New Roman;Times;serif" w:hAnsi="Times New Roman;Times;serif"/>
          <w:color w:val="000000"/>
          <w:sz w:val="20"/>
        </w:rPr>
      </w:pPr>
      <w:bookmarkStart w:id="93" w:name="ny20034373x2_def14a_300-appa_pg6"/>
      <w:bookmarkEnd w:id="93"/>
      <w:r>
        <w:rPr>
          <w:rFonts w:ascii="Times New Roman;Times;serif" w:hAnsi="Times New Roman;Times;serif"/>
          <w:color w:val="000000"/>
          <w:sz w:val="20"/>
        </w:rPr>
        <w:t xml:space="preserve">removed </w:t>
      </w:r>
      <w:r>
        <w:rPr>
          <w:rFonts w:ascii="Times New Roman;Times;serif" w:hAnsi="Times New Roman;Times;serif"/>
          <w:strike/>
          <w:color w:val="EB002A"/>
          <w:sz w:val="20"/>
          <w:u w:val="single"/>
        </w:rPr>
        <w:t xml:space="preserve">(a) </w:t>
      </w:r>
      <w:r>
        <w:rPr>
          <w:rFonts w:ascii="Times New Roman;Times;serif" w:hAnsi="Times New Roman;Times;serif"/>
          <w:color w:val="000000"/>
          <w:sz w:val="20"/>
        </w:rPr>
        <w:t>with or without cause, by the affirmative vote of the holders of a majority of the voting power of all then-outstanding shares of capital stock of the Company entitled to vote generally at an election of directors</w:t>
      </w:r>
      <w:r>
        <w:rPr>
          <w:rFonts w:ascii="Times New Roman;Times;serif" w:hAnsi="Times New Roman;Times;serif"/>
          <w:strike/>
          <w:color w:val="EB002A"/>
          <w:sz w:val="20"/>
          <w:u w:val="single"/>
        </w:rPr>
        <w:t>, or (b) with cause by the affirmative vote of the holders of at least 66 2/3% of the voting power of all then-outstanding shares of capital stock of the Company entitled to vote generally at an election of directors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0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val="false"/>
                <w:color w:val="000000"/>
                <w:sz w:val="20"/>
              </w:rPr>
              <w:t>Vacancies.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r>
              <w:rPr>
                <w:rFonts w:ascii="Times New Roman;Times;serif" w:hAnsi="Times New Roman;Times;serif"/>
                <w:b/>
                <w:color w:val="00489A"/>
                <w:sz w:val="20"/>
                <w:u w:val="single"/>
              </w:rPr>
              <w:t xml:space="preserve"> </w:t>
            </w:r>
            <w:r>
              <w:rPr>
                <w:rFonts w:ascii="Times New Roman;Times;serif" w:hAnsi="Times New Roman;Times;serif"/>
                <w:b w:val="false"/>
                <w:color w:val="00489A"/>
                <w:sz w:val="20"/>
                <w:u w:val="single"/>
              </w:rPr>
              <w:t>or until his earlier death, resignation or removal</w:t>
            </w:r>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Actions. </w:t>
            </w:r>
            <w:r>
              <w:rPr>
                <w:rFonts w:ascii="Times New Roman;Times;serif" w:hAnsi="Times New Roman;Times;serif"/>
                <w:b w:val="false"/>
                <w:color w:val="000000"/>
                <w:sz w:val="20"/>
              </w:rPr>
              <w:t>No action shall be taken by the stockholders of the Company except at an annual or special meeting of stockholders called in 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r>
              <w:rPr>
                <w:rFonts w:ascii="Times New Roman;Times;serif" w:hAnsi="Times New Roman;Times;serif"/>
                <w:b/>
                <w:color w:val="00489A"/>
                <w:sz w:val="20"/>
                <w:u w:val="single"/>
              </w:rPr>
              <w:t xml:space="preserve"> </w:t>
            </w:r>
            <w:r>
              <w:rPr>
                <w:rFonts w:ascii="Times New Roman;Times;serif" w:hAnsi="Times New Roman;Times;serif"/>
                <w:b w:val="false"/>
                <w:color w:val="00489A"/>
                <w:sz w:val="20"/>
                <w:u w:val="single"/>
              </w:rPr>
              <w:t>and subject to applicable law</w:t>
            </w:r>
            <w:r>
              <w:rPr>
                <w:rFonts w:ascii="Times New Roman;Times;serif" w:hAnsi="Times New Roman;Times;serif"/>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Bylaws. </w:t>
            </w:r>
            <w:r>
              <w:rPr>
                <w:rFonts w:ascii="Times New Roman;Times;serif" w:hAnsi="Times New Roman;Times;serif"/>
                <w:b w:val="false"/>
                <w:color w:val="000000"/>
                <w:sz w:val="20"/>
              </w:rPr>
              <w:t xml:space="preserve">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Times;serif" w:hAnsi="Times New Roman;Times;serif"/>
                <w:b w:val="false"/>
                <w:i/>
                <w:color w:val="000000"/>
                <w:sz w:val="20"/>
              </w:rPr>
              <w:t xml:space="preserve">provided, however, </w:t>
            </w:r>
            <w:r>
              <w:rPr>
                <w:rFonts w:ascii="Times New Roman;Times;serif" w:hAnsi="Times New Roman;Times;serif"/>
                <w:b w:val="false"/>
                <w:color w:val="000000"/>
                <w:sz w:val="20"/>
              </w:rPr>
              <w:t xml:space="preserve">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VII.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A-6</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Times;serif" w:hAnsi="Times New Roman;Times;serif"/>
          <w:color w:val="000000"/>
          <w:sz w:val="20"/>
        </w:rPr>
      </w:pPr>
      <w:bookmarkStart w:id="94" w:name="ny20034373x2_def14a_300-appa_pg7"/>
      <w:bookmarkEnd w:id="94"/>
      <w:r>
        <w:rPr>
          <w:rFonts w:ascii="Times New Roman;Times;serif" w:hAnsi="Times New Roman;Times;serif"/>
          <w:color w:val="000000"/>
          <w:sz w:val="20"/>
        </w:rPr>
        <w:t xml:space="preserve">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 </w:t>
      </w:r>
    </w:p>
    <w:tbl>
      <w:tblPr>
        <w:tblW w:w="2815" w:type="dxa"/>
        <w:jc w:val="left"/>
        <w:tblInd w:w="0" w:type="dxa"/>
        <w:tblLayout w:type="fixed"/>
        <w:tblCellMar>
          <w:top w:w="0" w:type="dxa"/>
          <w:left w:w="0" w:type="dxa"/>
          <w:bottom w:w="0" w:type="dxa"/>
          <w:right w:w="0" w:type="dxa"/>
        </w:tblCellMar>
      </w:tblPr>
      <w:tblGrid>
        <w:gridCol w:w="200"/>
        <w:gridCol w:w="261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261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For purposes of this Article VII: </w:t>
            </w:r>
          </w:p>
        </w:tc>
      </w:tr>
    </w:tbl>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Affiliate”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Affiliated Company”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Dual Opportunity”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any potential transaction or matter which may be a corporate opportunity for both the Investment Fund or its Affiliated Companies, on the one hand, and the Company or any of its Affiliated Companies, on the other hand.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Dual Role Person”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any individual who is an officer or director of the Company and an officer, director, or general partner of the Investment Fund.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Investment Fund”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b/>
          <w:i/>
          <w:color w:val="000000"/>
          <w:sz w:val="20"/>
        </w:rPr>
        <w:t>Person”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means an individual, a partnership, a corporation, a limited liability company, an association, a joint stock company, a trust, a joint venture, an unincorporated organization and a governmental entity or any department, agency or political subdivision thereof.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Any person or entity purchasing or otherwise acquiring or obtaining any interest in any capital stock of the Company shall be deemed to have notice and to have consented to the provisions of this Article VII.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w:t>
            </w:r>
          </w:p>
        </w:tc>
        <w:tc>
          <w:tcPr>
            <w:tcW w:w="1002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A-7</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95" w:name="ny20034373x2_def14a_300-appa_pg8"/>
      <w:bookmarkEnd w:id="95"/>
      <w:r>
        <w:rPr>
          <w:rFonts w:ascii="Arial" w:hAnsi="Arial"/>
          <w:b/>
          <w:color w:val="00489A"/>
          <w:sz w:val="20"/>
        </w:rPr>
        <w:t xml:space="preserve">VIII.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100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 </w:t>
            </w:r>
          </w:p>
        </w:tc>
      </w:tr>
    </w:tbl>
    <w:p>
      <w:pPr>
        <w:pStyle w:val="TextBody"/>
        <w:bidi w:val="0"/>
        <w:spacing w:before="240" w:after="283"/>
        <w:jc w:val="center"/>
        <w:rPr>
          <w:rFonts w:ascii="Arial" w:hAnsi="Arial"/>
          <w:b/>
          <w:color w:val="00489A"/>
          <w:sz w:val="20"/>
        </w:rPr>
      </w:pPr>
      <w:r>
        <w:rPr>
          <w:rFonts w:ascii="Arial" w:hAnsi="Arial"/>
          <w:b/>
          <w:color w:val="00489A"/>
          <w:sz w:val="20"/>
        </w:rPr>
        <w:t xml:space="preserve">* * * *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ELEVEN: </w:t>
      </w:r>
      <w:r>
        <w:rPr>
          <w:rFonts w:ascii="Times New Roman;Times;serif" w:hAnsi="Times New Roman;Times;serif"/>
          <w:b w:val="false"/>
          <w:color w:val="000000"/>
          <w:sz w:val="20"/>
        </w:rPr>
        <w:t xml:space="preserve">This Amended and Restated Certificate of Incorporation has been duly approved by the Board of Directors of this Corporation.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TWELVE: </w:t>
      </w:r>
      <w:r>
        <w:rPr>
          <w:rFonts w:ascii="Times New Roman;Times;serif" w:hAnsi="Times New Roman;Times;serif"/>
          <w:b w:val="false"/>
          <w:color w:val="000000"/>
          <w:sz w:val="20"/>
        </w:rPr>
        <w:t xml:space="preserve">This Amended and Restated Certificate of Incorporation was approved by the holders of the requisite number of shares of this Corporation in accordance with Section 228 of the DGCL. This Amended and Restated Certificate of Incorporation has been duly adopted in accordance with the provisions of Sections 242 and 245 of the DGCL by the stockholders of this Corporation.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Tilray Brands, Inc. has caused this Amended and Restated Certificate of Incorporation to be duly executed and acknowledged in its name and on its behalf by the undersigned officer, thereunto duly authorized, as of the date first set forth above.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0"/>
              <w:jc w:val="left"/>
              <w:rPr/>
            </w:pPr>
            <w:r>
              <w:rPr/>
              <w:t> </w:t>
            </w:r>
          </w:p>
        </w:tc>
      </w:tr>
      <w:tr>
        <w:trPr/>
        <w:tc>
          <w:tcPr>
            <w:tcW w:w="3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A-8</w:t>
            </w:r>
          </w:p>
        </w:tc>
      </w:tr>
      <w:tr>
        <w:trPr/>
        <w:tc>
          <w:tcPr>
            <w:tcW w:w="35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6" w:name="ny20034373x2_def14a_500-proxycard_pg1"/>
      <w:bookmarkEnd w:id="96"/>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7" w:name="ny20034373x2_def14a_500-proxycard_pg2"/>
      <w:bookmarkEnd w:id="97"/>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40284</Words>
  <Characters>220724</Characters>
  <CharactersWithSpaces>264825</CharactersWithSpaces>
  <Paragraphs>8388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