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2826.htm"/>
      <w:bookmarkStart w:id="1" w:name="ksf8k_0728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28, 2026</w:t>
      </w:r>
    </w:p>
    <w:p>
      <w:pPr>
        <w:pStyle w:val="TextBody"/>
        <w:bidi w:val="0"/>
        <w:jc w:val="center"/>
        <w:rPr/>
      </w:pPr>
      <w:r>
        <w:rPr/>
        <w:t>_______________________________</w:t>
      </w:r>
    </w:p>
    <w:p>
      <w:pPr>
        <w:pStyle w:val="TextBody"/>
        <w:bidi w:val="0"/>
        <w:spacing w:before="120" w:after="283"/>
        <w:jc w:val="center"/>
        <w:rPr>
          <w:b/>
          <w:sz w:val="24"/>
        </w:rPr>
      </w:pPr>
      <w:r>
        <w:rPr>
          <w:b/>
          <w:sz w:val="24"/>
        </w:rPr>
        <w:t>Tilray Brands,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001-38594</w:t>
            </w:r>
          </w:p>
        </w:tc>
        <w:tc>
          <w:tcPr>
            <w:tcW w:w="2900" w:type="dxa"/>
            <w:tcBorders/>
            <w:vAlign w:val="center"/>
          </w:tcPr>
          <w:p>
            <w:pPr>
              <w:pStyle w:val="TableContents"/>
              <w:bidi w:val="0"/>
              <w:spacing w:before="0" w:after="283"/>
              <w:jc w:val="center"/>
              <w:rPr>
                <w:b/>
                <w:sz w:val="20"/>
              </w:rPr>
            </w:pPr>
            <w:r>
              <w:rPr>
                <w:b/>
                <w:sz w:val="20"/>
              </w:rPr>
              <w:t>82-4310622</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265 Talbot Street West</w:t>
      </w:r>
    </w:p>
    <w:p>
      <w:pPr>
        <w:pStyle w:val="TextBody"/>
        <w:bidi w:val="0"/>
        <w:spacing w:before="0" w:after="0"/>
        <w:jc w:val="center"/>
        <w:rPr>
          <w:b/>
          <w:sz w:val="20"/>
        </w:rPr>
      </w:pPr>
      <w:r>
        <w:rPr>
          <w:b/>
          <w:sz w:val="20"/>
        </w:rPr>
        <w:t>Leamington, Ontario N8H 4H3</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(844) 845-7291</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85" w:type="dxa"/>
        <w:jc w:val="left"/>
        <w:tblInd w:w="0" w:type="dxa"/>
        <w:tblLayout w:type="fixed"/>
        <w:tblCellMar>
          <w:top w:w="0" w:type="dxa"/>
          <w:left w:w="0" w:type="dxa"/>
          <w:bottom w:w="28" w:type="dxa"/>
          <w:right w:w="0" w:type="dxa"/>
        </w:tblCellMar>
      </w:tblPr>
      <w:tblGrid>
        <w:gridCol w:w="3575"/>
        <w:gridCol w:w="1535"/>
        <w:gridCol w:w="3575"/>
      </w:tblGrid>
      <w:tr>
        <w:trPr/>
        <w:tc>
          <w:tcPr>
            <w:tcW w:w="357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75" w:type="dxa"/>
            <w:tcBorders/>
            <w:tcMar>
              <w:bottom w:w="0" w:type="dxa"/>
            </w:tcMar>
            <w:vAlign w:val="center"/>
          </w:tcPr>
          <w:p>
            <w:pPr>
              <w:pStyle w:val="TableContents"/>
              <w:bidi w:val="0"/>
              <w:spacing w:before="0" w:after="283"/>
              <w:jc w:val="center"/>
              <w:rPr>
                <w:sz w:val="20"/>
              </w:rPr>
            </w:pPr>
            <w:r>
              <w:rPr>
                <w:sz w:val="20"/>
              </w:rPr>
              <w:t>Common stock, par value $0.0001 per share</w:t>
            </w:r>
          </w:p>
        </w:tc>
        <w:tc>
          <w:tcPr>
            <w:tcW w:w="1535" w:type="dxa"/>
            <w:tcBorders/>
            <w:tcMar>
              <w:bottom w:w="0" w:type="dxa"/>
            </w:tcMar>
            <w:vAlign w:val="center"/>
          </w:tcPr>
          <w:p>
            <w:pPr>
              <w:pStyle w:val="TableContents"/>
              <w:bidi w:val="0"/>
              <w:spacing w:before="0" w:after="283"/>
              <w:jc w:val="center"/>
              <w:rPr>
                <w:sz w:val="20"/>
              </w:rPr>
            </w:pPr>
            <w:r>
              <w:rPr>
                <w:sz w:val="20"/>
              </w:rPr>
              <w:t>TLRY</w:t>
            </w:r>
          </w:p>
        </w:tc>
        <w:tc>
          <w:tcPr>
            <w:tcW w:w="3575" w:type="dxa"/>
            <w:tcBorders/>
            <w:tcMar>
              <w:bottom w:w="0" w:type="dxa"/>
            </w:tcMar>
            <w:vAlign w:val="center"/>
          </w:tcPr>
          <w:p>
            <w:pPr>
              <w:pStyle w:val="TableContents"/>
              <w:bidi w:val="0"/>
              <w:spacing w:before="0" w:after="283"/>
              <w:jc w:val="center"/>
              <w:rPr>
                <w:sz w:val="20"/>
              </w:rPr>
            </w:pPr>
            <w:r>
              <w:rPr>
                <w:sz w:val="20"/>
              </w:rPr>
              <w:t>The NASDAQ Global Select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jc w:val="left"/>
        <w:rPr>
          <w:sz w:val="20"/>
        </w:rPr>
      </w:pPr>
      <w:r>
        <w:rPr>
          <w:sz w:val="20"/>
        </w:rPr>
        <w:t>On July 28, 2026, the Registrant issued a press release, a copy of which is attached hereto as Exhibit 99.1 and is incorporated herein by reference.</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p>
      <w:pPr>
        <w:pStyle w:val="TextBody"/>
        <w:bidi w:val="0"/>
        <w:jc w:val="left"/>
        <w:rPr>
          <w:sz w:val="20"/>
        </w:rPr>
      </w:pPr>
      <w:r>
        <w:rPr>
          <w:sz w:val="20"/>
        </w:rPr>
        <w:t>(d) Exhibits</w:t>
      </w:r>
    </w:p>
    <w:tbl>
      <w:tblPr>
        <w:tblW w:w="7915" w:type="dxa"/>
        <w:jc w:val="left"/>
        <w:tblInd w:w="0" w:type="dxa"/>
        <w:tblLayout w:type="fixed"/>
        <w:tblCellMar>
          <w:top w:w="0" w:type="dxa"/>
          <w:left w:w="0" w:type="dxa"/>
          <w:bottom w:w="0" w:type="dxa"/>
          <w:right w:w="0" w:type="dxa"/>
        </w:tblCellMar>
      </w:tblPr>
      <w:tblGrid>
        <w:gridCol w:w="1385"/>
        <w:gridCol w:w="60"/>
        <w:gridCol w:w="6470"/>
      </w:tblGrid>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85" w:type="dxa"/>
            <w:tcBorders/>
            <w:vAlign w:val="bottom"/>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July 28, 2026</w:t>
              </w:r>
            </w:hyperlink>
          </w:p>
        </w:tc>
      </w:tr>
      <w:tr>
        <w:trPr/>
        <w:tc>
          <w:tcPr>
            <w:tcW w:w="13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3945" w:type="dxa"/>
        <w:jc w:val="left"/>
        <w:tblInd w:w="0" w:type="dxa"/>
        <w:tblLayout w:type="fixed"/>
        <w:tblCellMar>
          <w:top w:w="0" w:type="dxa"/>
          <w:left w:w="0" w:type="dxa"/>
          <w:bottom w:w="0" w:type="dxa"/>
          <w:right w:w="0" w:type="dxa"/>
        </w:tblCellMar>
      </w:tblPr>
      <w:tblGrid>
        <w:gridCol w:w="1610"/>
        <w:gridCol w:w="365"/>
        <w:gridCol w:w="1970"/>
      </w:tblGrid>
      <w:tr>
        <w:trPr/>
        <w:tc>
          <w:tcPr>
            <w:tcW w:w="1610"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b/>
                <w:sz w:val="20"/>
              </w:rPr>
            </w:pPr>
            <w:r>
              <w:rPr>
                <w:b/>
                <w:sz w:val="20"/>
              </w:rPr>
              <w:t>Tilray Brands, Inc.</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20"/>
              </w:rPr>
            </w:pPr>
            <w:r>
              <w:rPr>
                <w:sz w:val="20"/>
              </w:rPr>
              <w:t>Date: July 28, 2026</w:t>
            </w:r>
          </w:p>
        </w:tc>
        <w:tc>
          <w:tcPr>
            <w:tcW w:w="365" w:type="dxa"/>
            <w:tcBorders/>
            <w:vAlign w:val="center"/>
          </w:tcPr>
          <w:p>
            <w:pPr>
              <w:pStyle w:val="TableContents"/>
              <w:bidi w:val="0"/>
              <w:spacing w:before="0" w:after="283"/>
              <w:jc w:val="left"/>
              <w:rPr>
                <w:sz w:val="20"/>
              </w:rPr>
            </w:pPr>
            <w:r>
              <w:rPr>
                <w:sz w:val="20"/>
              </w:rPr>
              <w:t>By: </w:t>
            </w:r>
          </w:p>
        </w:tc>
        <w:tc>
          <w:tcPr>
            <w:tcW w:w="1970" w:type="dxa"/>
            <w:tcBorders/>
            <w:vAlign w:val="center"/>
          </w:tcPr>
          <w:p>
            <w:pPr>
              <w:pStyle w:val="TableContents"/>
              <w:bidi w:val="0"/>
              <w:spacing w:before="0" w:after="283"/>
              <w:jc w:val="left"/>
              <w:rPr>
                <w:sz w:val="20"/>
                <w:u w:val="single"/>
              </w:rPr>
            </w:pPr>
            <w:r>
              <w:rPr>
                <w:sz w:val="20"/>
                <w:u w:val="single"/>
              </w:rPr>
              <w:t>/s/ Mitchell Gendel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20"/>
              </w:rPr>
            </w:pPr>
            <w:r>
              <w:rPr>
                <w:sz w:val="20"/>
              </w:rPr>
              <w:t>Mitchell Gendel</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20"/>
              </w:rPr>
            </w:pPr>
            <w:r>
              <w:rPr>
                <w:sz w:val="20"/>
              </w:rPr>
              <w:t>Global General Counsel</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Tilray Brands Delivers Record Fiscal 2026 Revenue and Adjusted EBITDA; Demonstrating the Strength of its Diversified Global Platform Across Cannabis, Beverage, Hospitality and Wellness</w:t>
      </w:r>
    </w:p>
    <w:p>
      <w:pPr>
        <w:pStyle w:val="TextBody"/>
        <w:bidi w:val="0"/>
        <w:jc w:val="center"/>
        <w:rPr/>
      </w:pPr>
      <w:r>
        <w:rPr>
          <w:rStyle w:val="Emphasis"/>
        </w:rPr>
        <w:t>Record Fiscal Year Net Revenue of $915 Million, Record Gross Profit, Consistent Adjusted Gross Margin</w:t>
      </w:r>
      <w:r>
        <w:rPr>
          <w:rStyle w:val="Emphasis"/>
          <w:position w:val="8"/>
          <w:sz w:val="19"/>
        </w:rPr>
        <w:t>3</w:t>
      </w:r>
      <w:r>
        <w:rPr>
          <w:rStyle w:val="Emphasis"/>
        </w:rPr>
        <w:t> and Record Adjusted EBITDA</w:t>
      </w:r>
      <w:r>
        <w:rPr>
          <w:rStyle w:val="Emphasis"/>
          <w:position w:val="8"/>
          <w:sz w:val="19"/>
        </w:rPr>
        <w:t>5</w:t>
      </w:r>
      <w:r>
        <w:rPr>
          <w:rStyle w:val="Emphasis"/>
        </w:rPr>
        <w:t xml:space="preserve"> Highlights the Strength of Tilray’s Scaled Businesses and Profitable Growth Strategy</w:t>
      </w:r>
    </w:p>
    <w:p>
      <w:pPr>
        <w:pStyle w:val="TextBody"/>
        <w:bidi w:val="0"/>
        <w:jc w:val="center"/>
        <w:rPr/>
      </w:pPr>
      <w:r>
        <w:rPr>
          <w:rStyle w:val="Emphasis"/>
        </w:rPr>
        <w:t>International Medical Cannabis Revenue Increased 34% for the Fiscal Year, Reinforcing Tilray's Leadership Across Europe and Expanding Patient Access at Scale</w:t>
      </w:r>
    </w:p>
    <w:p>
      <w:pPr>
        <w:pStyle w:val="TextBody"/>
        <w:bidi w:val="0"/>
        <w:jc w:val="center"/>
        <w:rPr/>
      </w:pPr>
      <w:r>
        <w:rPr>
          <w:rStyle w:val="Emphasis"/>
        </w:rPr>
        <w:t>BrewDog Acquisition Ignited the Global Expansion of Tilray’s Beverage Platform, Unlocking New Growth Through the Power of Brands, Hospitality and Consumer Experiences</w:t>
      </w:r>
    </w:p>
    <w:p>
      <w:pPr>
        <w:pStyle w:val="TextBody"/>
        <w:bidi w:val="0"/>
        <w:jc w:val="center"/>
        <w:rPr/>
      </w:pPr>
      <w:r>
        <w:rPr>
          <w:rStyle w:val="Emphasis"/>
        </w:rPr>
        <w:t>Disciplined Capital Allocation Strengthens Balance Sheet with Approximately $235 Million in Cash, Restricted Cash and Marketable Securities</w:t>
      </w:r>
      <w:r>
        <w:rPr>
          <w:rStyle w:val="Emphasis"/>
          <w:position w:val="8"/>
          <w:sz w:val="19"/>
        </w:rPr>
        <w:t>1</w:t>
      </w:r>
      <w:r>
        <w:rPr>
          <w:rStyle w:val="Emphasis"/>
        </w:rPr>
        <w:t>; Net Debt</w:t>
      </w:r>
      <w:r>
        <w:rPr>
          <w:rStyle w:val="Emphasis"/>
          <w:position w:val="8"/>
          <w:sz w:val="19"/>
        </w:rPr>
        <w:t>2</w:t>
      </w:r>
      <w:r>
        <w:rPr>
          <w:rStyle w:val="Emphasis"/>
        </w:rPr>
        <w:t xml:space="preserve"> Reduced to $0.7 Million</w:t>
      </w:r>
    </w:p>
    <w:p>
      <w:pPr>
        <w:pStyle w:val="TextBody"/>
        <w:bidi w:val="0"/>
        <w:jc w:val="center"/>
        <w:rPr/>
      </w:pPr>
      <w:r>
        <w:rPr>
          <w:rStyle w:val="Emphasis"/>
        </w:rPr>
        <w:t>Fiscal Year 2027 Guidance of Adjusted EBITDA</w:t>
      </w:r>
      <w:r>
        <w:rPr>
          <w:rStyle w:val="Emphasis"/>
          <w:position w:val="8"/>
          <w:sz w:val="19"/>
        </w:rPr>
        <w:t>5</w:t>
      </w:r>
      <w:r>
        <w:rPr>
          <w:rStyle w:val="Emphasis"/>
        </w:rPr>
        <w:t xml:space="preserve"> of $68 Million to $75 Million, Reflecting Double-Digit Growth Driven by Continued Momentum</w:t>
      </w:r>
    </w:p>
    <w:p>
      <w:pPr>
        <w:pStyle w:val="TextBody"/>
        <w:bidi w:val="0"/>
        <w:spacing w:before="0" w:after="283"/>
        <w:jc w:val="left"/>
        <w:rPr/>
      </w:pPr>
      <w:r>
        <w:rPr/>
        <w:t>NEW YORK and LONDON and LEAMINGTON, Ontario, July 28, 2026 (GLOBE NEWSWIRE) -- Tilray Brands, Inc. (“Tilray”, “our”, “we” or the “Company”) (Nasdaq: TLRY; TSX: TLRY), a global lifestyle and consumer packaged goods company at the forefront of the cannabis, beverage, hospitality and wellness industries, today reported financial results for its fourth quarter and fiscal year ended May 31, 2026. All financial information in this press release is reported in U.S. dollars, unless otherwise indicated.</w:t>
      </w:r>
    </w:p>
    <w:p>
      <w:pPr>
        <w:pStyle w:val="TextBody"/>
        <w:bidi w:val="0"/>
        <w:spacing w:before="0" w:after="283"/>
        <w:jc w:val="left"/>
        <w:rPr/>
      </w:pPr>
      <w:r>
        <w:rPr>
          <w:rStyle w:val="StrongEmphasis"/>
        </w:rPr>
        <w:t>Irwin D. Simon, Chairman and Chief Executive Officer, Tilray Brands, stated:</w:t>
      </w:r>
      <w:r>
        <w:rPr/>
        <w:t xml:space="preserve"> “Fiscal 2026 marks an important milestone in Tilray’s evolution. We didn’t just deliver record revenue, record gross profit and record adjusted EBITDA</w:t>
      </w:r>
      <w:r>
        <w:rPr>
          <w:position w:val="8"/>
          <w:sz w:val="19"/>
        </w:rPr>
        <w:t>5</w:t>
      </w:r>
      <w:r>
        <w:rPr/>
        <w:t>, we demonstrated the strength of the diversified global platform we’ve been building for the last five years. Today, Tilray Brands is a fundamentally different company: a global business with leadership positions across medical and adult-use cannabis, beverage, hospitality and wellness. We have built multiple growth engines, strengthened our balance sheet, expanded our global reach and created the financial flexibility to invest where we see the greatest opportunities. That combination gives us the ability to create value regardless of market conditions or regulatory timelines.”</w:t>
      </w:r>
    </w:p>
    <w:p>
      <w:pPr>
        <w:pStyle w:val="TextBody"/>
        <w:bidi w:val="0"/>
        <w:spacing w:before="0" w:after="283"/>
        <w:jc w:val="left"/>
        <w:rPr/>
      </w:pPr>
      <w:r>
        <w:rPr/>
        <w:t>Mr. Simon continued, “As we enter Fiscal 2027, we expect over $1 billion in annual revenue, with a stronger company than ever before. Across Europe, we have built one of the industry’s most comprehensive medical cannabis and pharmaceutical distribution platforms. In beverages, BrewDog, our American craft beer portfolio and our Carlsberg partnership create a global platform with significant opportunities for growth. Across every part of Tilray Brands, we remain focused on disciplined execution, stronger profitability, cash flow generation and creating long-term shareholder value. The next chapter for Tilray will not be defined by one product, one market or one regulatory event. It will be defined by disciplined execution across a diversified global platform built to create enduring shareholder value. We believe the opportunity ahead for Tilray Brands is greater than ever before.”</w:t>
      </w:r>
    </w:p>
    <w:p>
      <w:pPr>
        <w:pStyle w:val="TextBody"/>
        <w:bidi w:val="0"/>
        <w:spacing w:before="0" w:after="283"/>
        <w:jc w:val="left"/>
        <w:rPr/>
      </w:pPr>
      <w:r>
        <w:rPr>
          <w:rStyle w:val="StrongEmphasis"/>
        </w:rPr>
        <w:t>Strategic Business Highlights</w:t>
      </w:r>
    </w:p>
    <w:p>
      <w:pPr>
        <w:pStyle w:val="TextBody"/>
        <w:numPr>
          <w:ilvl w:val="0"/>
          <w:numId w:val="2"/>
        </w:numPr>
        <w:tabs>
          <w:tab w:val="clear" w:pos="1134"/>
          <w:tab w:val="left" w:pos="709" w:leader="none"/>
        </w:tabs>
        <w:bidi w:val="0"/>
        <w:spacing w:before="0" w:after="0"/>
        <w:ind w:left="709" w:hanging="283"/>
        <w:jc w:val="left"/>
        <w:rPr/>
      </w:pPr>
      <w:r>
        <w:rPr>
          <w:rStyle w:val="StrongEmphasis"/>
        </w:rPr>
        <w:t>European medical cannabis and pharmaceutical distribution infrastructure:</w:t>
      </w:r>
      <w:r>
        <w:rPr/>
        <w:t xml:space="preserve"> International medical cannabis revenue increased 34% in fiscal 2026, demonstrating the strength of Tilray's end-to-end medical cannabis platform across cultivation, pharmaceutical distribution, clinical care and patient access. Through Tilray Medical, CC Pharma and Lyphe, the Company has established one of the most comprehensive and strategically positioned medical cannabis and pharmaceutical distribution infrastructures in Europe, creating a differentiated platform for long-term growth as regulated markets continue to expand. CC Pharma gross profit increased 57% in the fiscal fourth quarter, reflecting the operating leverage and value of Tilray's pharmaceutical distribution network. </w:t>
      </w:r>
    </w:p>
    <w:p>
      <w:pPr>
        <w:pStyle w:val="TextBody"/>
        <w:numPr>
          <w:ilvl w:val="0"/>
          <w:numId w:val="2"/>
        </w:numPr>
        <w:tabs>
          <w:tab w:val="clear" w:pos="1134"/>
          <w:tab w:val="left" w:pos="709" w:leader="none"/>
        </w:tabs>
        <w:bidi w:val="0"/>
        <w:spacing w:before="0" w:after="0"/>
        <w:ind w:left="709" w:hanging="283"/>
        <w:jc w:val="left"/>
        <w:rPr/>
      </w:pPr>
      <w:r>
        <w:rPr>
          <w:rStyle w:val="StrongEmphasis"/>
        </w:rPr>
        <w:t>Global beverage transformation:</w:t>
      </w:r>
      <w:r>
        <w:rPr/>
        <w:t> Tilray accelerated its beverage strategy through the acquisition of BrewDog, creating a pro forma global beverage platform of approximately $500 million and adding one of the world's leading craft beer and hospitality brands. In just a few months of ownership, Tilray has stabilized the business, improved performance and positioned BrewDog for profitability, while leveraging its iconic pub network and experiential consumer platform to drive engagement through activations such as the £1 million Bar Tab campaign. Together with expanded U.K. and European reach and Tilray's exclusive U.S. partnership with Carlsberg, the Company is building a scaled global beverage powerhouse with significant opportunities for growth and value creation.</w:t>
      </w:r>
    </w:p>
    <w:p>
      <w:pPr>
        <w:pStyle w:val="TextBody"/>
        <w:numPr>
          <w:ilvl w:val="0"/>
          <w:numId w:val="2"/>
        </w:numPr>
        <w:tabs>
          <w:tab w:val="clear" w:pos="1134"/>
          <w:tab w:val="left" w:pos="709" w:leader="none"/>
        </w:tabs>
        <w:bidi w:val="0"/>
        <w:spacing w:before="0" w:after="0"/>
        <w:ind w:left="709" w:hanging="283"/>
        <w:jc w:val="left"/>
        <w:rPr/>
      </w:pPr>
      <w:r>
        <w:rPr>
          <w:rStyle w:val="StrongEmphasis"/>
        </w:rPr>
        <w:t>Balance sheet and cash flow discipline:</w:t>
      </w:r>
      <w:r>
        <w:rPr/>
        <w:t> Tilray further strengthened its financial position in fiscal 2026, ending the year with approximately $235 million in cash, restricted cash and marketable securities</w:t>
      </w:r>
      <w:r>
        <w:rPr>
          <w:rStyle w:val="StrongEmphasis"/>
        </w:rPr>
        <w:t></w:t>
      </w:r>
      <w:r>
        <w:rPr/>
        <w:t>, reducing net debt² to $0.7 million, and improving positive cash flow from operations, excluding working capital, by 157% to approximately $18.2 million. These results reflect disciplined execution and provide the financial flexibility to invest in strategic growth opportunities and drive long-term shareholder value.</w:t>
      </w:r>
    </w:p>
    <w:p>
      <w:pPr>
        <w:pStyle w:val="TextBody"/>
        <w:bidi w:val="0"/>
        <w:spacing w:before="0" w:after="283"/>
        <w:jc w:val="left"/>
        <w:rPr/>
      </w:pPr>
      <w:r>
        <w:rPr>
          <w:rStyle w:val="StrongEmphasis"/>
        </w:rPr>
        <w:t>Financial Highlights – 2026 Fiscal Year</w:t>
      </w:r>
      <w:r>
        <w:rPr/>
        <w:br/>
      </w:r>
      <w:r>
        <w:rPr>
          <w:rStyle w:val="Emphasis"/>
        </w:rPr>
        <w:t>All comparisons made to the prior fiscal year</w:t>
      </w:r>
    </w:p>
    <w:p>
      <w:pPr>
        <w:pStyle w:val="TextBody"/>
        <w:numPr>
          <w:ilvl w:val="0"/>
          <w:numId w:val="3"/>
        </w:numPr>
        <w:tabs>
          <w:tab w:val="clear" w:pos="1134"/>
          <w:tab w:val="left" w:pos="709" w:leader="none"/>
        </w:tabs>
        <w:bidi w:val="0"/>
        <w:spacing w:before="0" w:after="0"/>
        <w:ind w:left="709" w:hanging="283"/>
        <w:jc w:val="left"/>
        <w:rPr/>
      </w:pPr>
      <w:r>
        <w:rPr/>
        <w:t>Net revenue increased 11% to $915.5 million in fiscal 2026 compared to $821.3 million.</w:t>
      </w:r>
    </w:p>
    <w:p>
      <w:pPr>
        <w:pStyle w:val="TextBody"/>
        <w:numPr>
          <w:ilvl w:val="0"/>
          <w:numId w:val="3"/>
        </w:numPr>
        <w:tabs>
          <w:tab w:val="clear" w:pos="1134"/>
          <w:tab w:val="left" w:pos="709" w:leader="none"/>
        </w:tabs>
        <w:bidi w:val="0"/>
        <w:spacing w:before="0" w:after="0"/>
        <w:ind w:left="709" w:hanging="283"/>
        <w:jc w:val="left"/>
        <w:rPr/>
      </w:pPr>
      <w:r>
        <w:rPr/>
        <w:t>Gross profit increased 8% to $260.4 million compared to $240.6 million.</w:t>
      </w:r>
    </w:p>
    <w:p>
      <w:pPr>
        <w:pStyle w:val="TextBody"/>
        <w:numPr>
          <w:ilvl w:val="0"/>
          <w:numId w:val="3"/>
        </w:numPr>
        <w:tabs>
          <w:tab w:val="clear" w:pos="1134"/>
          <w:tab w:val="left" w:pos="709" w:leader="none"/>
        </w:tabs>
        <w:bidi w:val="0"/>
        <w:spacing w:before="0" w:after="0"/>
        <w:ind w:left="709" w:hanging="283"/>
        <w:jc w:val="left"/>
        <w:rPr/>
      </w:pPr>
      <w:r>
        <w:rPr/>
        <w:t>Gross margin was 28% for fiscal 2026 compared to 29%. Adjusted gross margin</w:t>
      </w:r>
      <w:r>
        <w:rPr>
          <w:position w:val="8"/>
          <w:sz w:val="19"/>
        </w:rPr>
        <w:t>3</w:t>
      </w:r>
      <w:r>
        <w:rPr/>
        <w:t xml:space="preserve"> was 29% and remained unchanged.</w:t>
      </w:r>
    </w:p>
    <w:p>
      <w:pPr>
        <w:pStyle w:val="TextBody"/>
        <w:numPr>
          <w:ilvl w:val="0"/>
          <w:numId w:val="3"/>
        </w:numPr>
        <w:tabs>
          <w:tab w:val="clear" w:pos="1134"/>
          <w:tab w:val="left" w:pos="709" w:leader="none"/>
        </w:tabs>
        <w:bidi w:val="0"/>
        <w:spacing w:before="0" w:after="0"/>
        <w:ind w:left="709" w:hanging="283"/>
        <w:jc w:val="left"/>
        <w:rPr/>
      </w:pPr>
      <w:r>
        <w:rPr/>
        <w:t xml:space="preserve">Cannabis net revenue increased 8% to $268.3 million in fiscal 2026 compared to $249.0 million. </w:t>
      </w:r>
    </w:p>
    <w:p>
      <w:pPr>
        <w:pStyle w:val="TextBody"/>
        <w:numPr>
          <w:ilvl w:val="1"/>
          <w:numId w:val="3"/>
        </w:numPr>
        <w:tabs>
          <w:tab w:val="clear" w:pos="1134"/>
          <w:tab w:val="left" w:pos="1418" w:leader="none"/>
        </w:tabs>
        <w:bidi w:val="0"/>
        <w:spacing w:before="0" w:after="0"/>
        <w:ind w:left="1418" w:hanging="283"/>
        <w:jc w:val="left"/>
        <w:rPr/>
      </w:pPr>
      <w:r>
        <w:rPr/>
        <w:t>Cannabis gross profit increased 8% to $107.1 million in fiscal 2026 compared to $99.0 million.</w:t>
      </w:r>
    </w:p>
    <w:p>
      <w:pPr>
        <w:pStyle w:val="TextBody"/>
        <w:numPr>
          <w:ilvl w:val="1"/>
          <w:numId w:val="3"/>
        </w:numPr>
        <w:tabs>
          <w:tab w:val="clear" w:pos="1134"/>
          <w:tab w:val="left" w:pos="1418" w:leader="none"/>
        </w:tabs>
        <w:bidi w:val="0"/>
        <w:spacing w:before="0" w:after="0"/>
        <w:ind w:left="1418" w:hanging="283"/>
        <w:jc w:val="left"/>
        <w:rPr/>
      </w:pPr>
      <w:r>
        <w:rPr/>
        <w:t>Cannabis gross margin was 40% in fiscal 2026 and was unchanged.</w:t>
      </w:r>
    </w:p>
    <w:p>
      <w:pPr>
        <w:pStyle w:val="TextBody"/>
        <w:numPr>
          <w:ilvl w:val="0"/>
          <w:numId w:val="3"/>
        </w:numPr>
        <w:tabs>
          <w:tab w:val="clear" w:pos="1134"/>
          <w:tab w:val="left" w:pos="709" w:leader="none"/>
        </w:tabs>
        <w:bidi w:val="0"/>
        <w:spacing w:before="0" w:after="0"/>
        <w:ind w:left="709" w:hanging="283"/>
        <w:jc w:val="left"/>
        <w:rPr/>
      </w:pPr>
      <w:r>
        <w:rPr/>
        <w:t xml:space="preserve">Beverage net revenue increased 6% to $254.0 million in fiscal 2026 compared to $240.6 million. </w:t>
      </w:r>
    </w:p>
    <w:p>
      <w:pPr>
        <w:pStyle w:val="TextBody"/>
        <w:numPr>
          <w:ilvl w:val="1"/>
          <w:numId w:val="3"/>
        </w:numPr>
        <w:tabs>
          <w:tab w:val="clear" w:pos="1134"/>
          <w:tab w:val="left" w:pos="1418" w:leader="none"/>
        </w:tabs>
        <w:bidi w:val="0"/>
        <w:spacing w:before="0" w:after="0"/>
        <w:ind w:left="1418" w:hanging="283"/>
        <w:jc w:val="left"/>
        <w:rPr/>
      </w:pPr>
      <w:r>
        <w:rPr/>
        <w:t>Beverage gross profit decreased 2% to $91.2 million in fiscal 2026 compared to $93.0 million.</w:t>
      </w:r>
    </w:p>
    <w:p>
      <w:pPr>
        <w:pStyle w:val="TextBody"/>
        <w:numPr>
          <w:ilvl w:val="1"/>
          <w:numId w:val="3"/>
        </w:numPr>
        <w:tabs>
          <w:tab w:val="clear" w:pos="1134"/>
          <w:tab w:val="left" w:pos="1418" w:leader="none"/>
        </w:tabs>
        <w:bidi w:val="0"/>
        <w:spacing w:before="0" w:after="0"/>
        <w:ind w:left="1418" w:hanging="283"/>
        <w:jc w:val="left"/>
        <w:rPr/>
      </w:pPr>
      <w:r>
        <w:rPr/>
        <w:t>Beverage gross margin was 36% in fiscal 2026 compared to 39%.</w:t>
      </w:r>
    </w:p>
    <w:p>
      <w:pPr>
        <w:pStyle w:val="TextBody"/>
        <w:numPr>
          <w:ilvl w:val="0"/>
          <w:numId w:val="3"/>
        </w:numPr>
        <w:tabs>
          <w:tab w:val="clear" w:pos="1134"/>
          <w:tab w:val="left" w:pos="709" w:leader="none"/>
        </w:tabs>
        <w:bidi w:val="0"/>
        <w:spacing w:before="0" w:after="0"/>
        <w:ind w:left="709" w:hanging="283"/>
        <w:jc w:val="left"/>
        <w:rPr/>
      </w:pPr>
      <w:r>
        <w:rPr/>
        <w:t xml:space="preserve">Distribution net revenue increased 21% to $327.2 million in fiscal 2026 compared to $271.2 million. </w:t>
      </w:r>
    </w:p>
    <w:p>
      <w:pPr>
        <w:pStyle w:val="TextBody"/>
        <w:numPr>
          <w:ilvl w:val="1"/>
          <w:numId w:val="3"/>
        </w:numPr>
        <w:tabs>
          <w:tab w:val="clear" w:pos="1134"/>
          <w:tab w:val="left" w:pos="1418" w:leader="none"/>
        </w:tabs>
        <w:bidi w:val="0"/>
        <w:spacing w:before="0" w:after="0"/>
        <w:ind w:left="1418" w:hanging="283"/>
        <w:jc w:val="left"/>
        <w:rPr/>
      </w:pPr>
      <w:r>
        <w:rPr/>
        <w:t>Distribution gross profit increased 39% to $40.7 million in fiscal 2026 compared to $29.3 million.</w:t>
      </w:r>
    </w:p>
    <w:p>
      <w:pPr>
        <w:pStyle w:val="TextBody"/>
        <w:numPr>
          <w:ilvl w:val="1"/>
          <w:numId w:val="3"/>
        </w:numPr>
        <w:tabs>
          <w:tab w:val="clear" w:pos="1134"/>
          <w:tab w:val="left" w:pos="1418" w:leader="none"/>
        </w:tabs>
        <w:bidi w:val="0"/>
        <w:spacing w:before="0" w:after="0"/>
        <w:ind w:left="1418" w:hanging="283"/>
        <w:jc w:val="left"/>
        <w:rPr/>
      </w:pPr>
      <w:r>
        <w:rPr/>
        <w:t>Distribution gross margin increased to 12% in fiscal 2026 compared to 11%.</w:t>
      </w:r>
    </w:p>
    <w:p>
      <w:pPr>
        <w:pStyle w:val="TextBody"/>
        <w:numPr>
          <w:ilvl w:val="0"/>
          <w:numId w:val="3"/>
        </w:numPr>
        <w:tabs>
          <w:tab w:val="clear" w:pos="1134"/>
          <w:tab w:val="left" w:pos="709" w:leader="none"/>
        </w:tabs>
        <w:bidi w:val="0"/>
        <w:spacing w:before="0" w:after="0"/>
        <w:ind w:left="709" w:hanging="283"/>
        <w:jc w:val="left"/>
        <w:rPr/>
      </w:pPr>
      <w:r>
        <w:rPr/>
        <w:t xml:space="preserve">Wellness net revenue increased 9% to $65.9 million in fiscal 2026 compared to $60.5 million. </w:t>
      </w:r>
    </w:p>
    <w:p>
      <w:pPr>
        <w:pStyle w:val="TextBody"/>
        <w:numPr>
          <w:ilvl w:val="1"/>
          <w:numId w:val="3"/>
        </w:numPr>
        <w:tabs>
          <w:tab w:val="clear" w:pos="1134"/>
          <w:tab w:val="left" w:pos="1418" w:leader="none"/>
        </w:tabs>
        <w:bidi w:val="0"/>
        <w:spacing w:before="0" w:after="0"/>
        <w:ind w:left="1418" w:hanging="283"/>
        <w:jc w:val="left"/>
        <w:rPr/>
      </w:pPr>
      <w:r>
        <w:rPr/>
        <w:t>Wellness gross profit increased 12% to $21.5 million in fiscal 2026 compared to $19.2 million.</w:t>
      </w:r>
    </w:p>
    <w:p>
      <w:pPr>
        <w:pStyle w:val="TextBody"/>
        <w:numPr>
          <w:ilvl w:val="1"/>
          <w:numId w:val="3"/>
        </w:numPr>
        <w:tabs>
          <w:tab w:val="clear" w:pos="1134"/>
          <w:tab w:val="left" w:pos="1418" w:leader="none"/>
        </w:tabs>
        <w:bidi w:val="0"/>
        <w:spacing w:before="0" w:after="0"/>
        <w:ind w:left="1418" w:hanging="283"/>
        <w:jc w:val="left"/>
        <w:rPr/>
      </w:pPr>
      <w:r>
        <w:rPr/>
        <w:t>Wellness gross margin increased to 33% in fiscal 2026 compared to 32%.</w:t>
      </w:r>
    </w:p>
    <w:p>
      <w:pPr>
        <w:pStyle w:val="TextBody"/>
        <w:numPr>
          <w:ilvl w:val="0"/>
          <w:numId w:val="3"/>
        </w:numPr>
        <w:tabs>
          <w:tab w:val="clear" w:pos="1134"/>
          <w:tab w:val="left" w:pos="709" w:leader="none"/>
        </w:tabs>
        <w:bidi w:val="0"/>
        <w:spacing w:before="0" w:after="0"/>
        <w:ind w:left="709" w:hanging="283"/>
        <w:jc w:val="left"/>
        <w:rPr/>
      </w:pPr>
      <w:r>
        <w:rPr/>
        <w:t>Driven predominantly by non-cash charges, net loss was $105.2 million in fiscal 2026 and net loss per share was $1.09. Adjusted net income</w:t>
      </w:r>
      <w:r>
        <w:rPr>
          <w:position w:val="8"/>
          <w:sz w:val="19"/>
        </w:rPr>
        <w:t>4</w:t>
      </w:r>
      <w:r>
        <w:rPr/>
        <w:t xml:space="preserve"> increased almost 90% to $12.2 million, compared to adjusted net income</w:t>
      </w:r>
      <w:r>
        <w:rPr>
          <w:position w:val="8"/>
          <w:sz w:val="19"/>
        </w:rPr>
        <w:t>4</w:t>
      </w:r>
      <w:r>
        <w:rPr/>
        <w:t xml:space="preserve"> of $6.5 million in the prior fiscal year. Adjusted net income per share</w:t>
      </w:r>
      <w:r>
        <w:rPr>
          <w:position w:val="8"/>
          <w:sz w:val="19"/>
        </w:rPr>
        <w:t>4</w:t>
      </w:r>
      <w:r>
        <w:rPr/>
        <w:t xml:space="preserve"> or adjusted EPS was $0.11, compared to $0.07. </w:t>
      </w:r>
    </w:p>
    <w:p>
      <w:pPr>
        <w:pStyle w:val="TextBody"/>
        <w:numPr>
          <w:ilvl w:val="0"/>
          <w:numId w:val="3"/>
        </w:numPr>
        <w:tabs>
          <w:tab w:val="clear" w:pos="1134"/>
          <w:tab w:val="left" w:pos="709" w:leader="none"/>
        </w:tabs>
        <w:bidi w:val="0"/>
        <w:ind w:left="709" w:hanging="283"/>
        <w:jc w:val="left"/>
        <w:rPr/>
      </w:pPr>
      <w:r>
        <w:rPr/>
        <w:t>Adjusted EBITDA</w:t>
      </w:r>
      <w:r>
        <w:rPr>
          <w:position w:val="8"/>
          <w:sz w:val="19"/>
        </w:rPr>
        <w:t>5</w:t>
      </w:r>
      <w:r>
        <w:rPr/>
        <w:t xml:space="preserve"> was $61.1 million in fiscal 2026 compared to $55.0 million; eliminating the impact of approximately $2.3 million of fuel surcharges in the fourth quarter, adjusted EBITDA</w:t>
      </w:r>
      <w:r>
        <w:rPr>
          <w:position w:val="8"/>
          <w:sz w:val="19"/>
        </w:rPr>
        <w:t xml:space="preserve">5 </w:t>
      </w:r>
      <w:r>
        <w:rPr/>
        <w:t xml:space="preserve">would have been $63.4 million. </w:t>
      </w:r>
    </w:p>
    <w:p>
      <w:pPr>
        <w:pStyle w:val="TextBody"/>
        <w:bidi w:val="0"/>
        <w:spacing w:before="0" w:after="283"/>
        <w:jc w:val="left"/>
        <w:rPr/>
      </w:pPr>
      <w:r>
        <w:rPr>
          <w:rStyle w:val="StrongEmphasis"/>
        </w:rPr>
        <w:t>Financial Highlights – 2026 Fiscal Fourth Quarter</w:t>
        <w:br/>
      </w:r>
      <w:r>
        <w:rPr>
          <w:rStyle w:val="Emphasis"/>
        </w:rPr>
        <w:t>All comparisons made to the prior year period</w:t>
      </w:r>
    </w:p>
    <w:p>
      <w:pPr>
        <w:pStyle w:val="TextBody"/>
        <w:numPr>
          <w:ilvl w:val="0"/>
          <w:numId w:val="4"/>
        </w:numPr>
        <w:tabs>
          <w:tab w:val="clear" w:pos="1134"/>
          <w:tab w:val="left" w:pos="709" w:leader="none"/>
        </w:tabs>
        <w:bidi w:val="0"/>
        <w:spacing w:before="0" w:after="0"/>
        <w:ind w:left="709" w:hanging="283"/>
        <w:jc w:val="left"/>
        <w:rPr/>
      </w:pPr>
      <w:r>
        <w:rPr/>
        <w:t>Net revenue increased 25% to $281.7 million in the fourth quarter compared to $224.5 million.</w:t>
      </w:r>
    </w:p>
    <w:p>
      <w:pPr>
        <w:pStyle w:val="TextBody"/>
        <w:numPr>
          <w:ilvl w:val="0"/>
          <w:numId w:val="4"/>
        </w:numPr>
        <w:tabs>
          <w:tab w:val="clear" w:pos="1134"/>
          <w:tab w:val="left" w:pos="709" w:leader="none"/>
        </w:tabs>
        <w:bidi w:val="0"/>
        <w:spacing w:before="0" w:after="0"/>
        <w:ind w:left="709" w:hanging="283"/>
        <w:jc w:val="left"/>
        <w:rPr/>
      </w:pPr>
      <w:r>
        <w:rPr/>
        <w:t>Gross profit increased 34% to $90.5 million in the fourth quarter compared to $67.6 million. Gross margin was 32% in the fourth quarter compared to 30%.</w:t>
      </w:r>
    </w:p>
    <w:p>
      <w:pPr>
        <w:pStyle w:val="TextBody"/>
        <w:numPr>
          <w:ilvl w:val="0"/>
          <w:numId w:val="4"/>
        </w:numPr>
        <w:tabs>
          <w:tab w:val="clear" w:pos="1134"/>
          <w:tab w:val="left" w:pos="709" w:leader="none"/>
        </w:tabs>
        <w:bidi w:val="0"/>
        <w:spacing w:before="0" w:after="0"/>
        <w:ind w:left="709" w:hanging="283"/>
        <w:jc w:val="left"/>
        <w:rPr/>
      </w:pPr>
      <w:r>
        <w:rPr/>
        <w:t xml:space="preserve">Cannabis net revenue increased 5% to $71.5 million in the fourth quarter compared to $67.8 million. </w:t>
      </w:r>
    </w:p>
    <w:p>
      <w:pPr>
        <w:pStyle w:val="TextBody"/>
        <w:numPr>
          <w:ilvl w:val="1"/>
          <w:numId w:val="4"/>
        </w:numPr>
        <w:tabs>
          <w:tab w:val="clear" w:pos="1134"/>
          <w:tab w:val="left" w:pos="1418" w:leader="none"/>
        </w:tabs>
        <w:bidi w:val="0"/>
        <w:spacing w:before="0" w:after="0"/>
        <w:ind w:left="1418" w:hanging="283"/>
        <w:jc w:val="left"/>
        <w:rPr/>
      </w:pPr>
      <w:r>
        <w:rPr/>
        <w:t>Cannabis gross profit increased 7% to $31.7 million in the fourth quarter compared to $29.6 million.</w:t>
      </w:r>
    </w:p>
    <w:p>
      <w:pPr>
        <w:pStyle w:val="TextBody"/>
        <w:numPr>
          <w:ilvl w:val="1"/>
          <w:numId w:val="4"/>
        </w:numPr>
        <w:tabs>
          <w:tab w:val="clear" w:pos="1134"/>
          <w:tab w:val="left" w:pos="1418" w:leader="none"/>
        </w:tabs>
        <w:bidi w:val="0"/>
        <w:spacing w:before="0" w:after="0"/>
        <w:ind w:left="1418" w:hanging="283"/>
        <w:jc w:val="left"/>
        <w:rPr/>
      </w:pPr>
      <w:r>
        <w:rPr/>
        <w:t>Cannabis gross margin was 44% in the fourth quarter and was unchanged.</w:t>
      </w:r>
    </w:p>
    <w:p>
      <w:pPr>
        <w:pStyle w:val="TextBody"/>
        <w:numPr>
          <w:ilvl w:val="0"/>
          <w:numId w:val="4"/>
        </w:numPr>
        <w:tabs>
          <w:tab w:val="clear" w:pos="1134"/>
          <w:tab w:val="left" w:pos="709" w:leader="none"/>
        </w:tabs>
        <w:bidi w:val="0"/>
        <w:spacing w:before="0" w:after="0"/>
        <w:ind w:left="709" w:hanging="283"/>
        <w:jc w:val="left"/>
        <w:rPr/>
      </w:pPr>
      <w:r>
        <w:rPr/>
        <w:t xml:space="preserve">Beverage net revenue was $105.6 million in the fourth quarter compared to $65.6 million. </w:t>
      </w:r>
    </w:p>
    <w:p>
      <w:pPr>
        <w:pStyle w:val="TextBody"/>
        <w:numPr>
          <w:ilvl w:val="1"/>
          <w:numId w:val="4"/>
        </w:numPr>
        <w:tabs>
          <w:tab w:val="clear" w:pos="1134"/>
          <w:tab w:val="left" w:pos="1418" w:leader="none"/>
        </w:tabs>
        <w:bidi w:val="0"/>
        <w:spacing w:before="0" w:after="0"/>
        <w:ind w:left="1418" w:hanging="283"/>
        <w:jc w:val="left"/>
        <w:rPr/>
      </w:pPr>
      <w:r>
        <w:rPr/>
        <w:t>Beverage gross profit was $40.6 million in the fourth quarter compared to $25.0 million.</w:t>
      </w:r>
    </w:p>
    <w:p>
      <w:pPr>
        <w:pStyle w:val="TextBody"/>
        <w:numPr>
          <w:ilvl w:val="1"/>
          <w:numId w:val="4"/>
        </w:numPr>
        <w:tabs>
          <w:tab w:val="clear" w:pos="1134"/>
          <w:tab w:val="left" w:pos="1418" w:leader="none"/>
        </w:tabs>
        <w:bidi w:val="0"/>
        <w:spacing w:before="0" w:after="0"/>
        <w:ind w:left="1418" w:hanging="283"/>
        <w:jc w:val="left"/>
        <w:rPr/>
      </w:pPr>
      <w:r>
        <w:rPr/>
        <w:t>Beverage gross margin was 38% in the fourth quarter and was unchanged.</w:t>
      </w:r>
    </w:p>
    <w:p>
      <w:pPr>
        <w:pStyle w:val="TextBody"/>
        <w:numPr>
          <w:ilvl w:val="0"/>
          <w:numId w:val="4"/>
        </w:numPr>
        <w:tabs>
          <w:tab w:val="clear" w:pos="1134"/>
          <w:tab w:val="left" w:pos="709" w:leader="none"/>
        </w:tabs>
        <w:bidi w:val="0"/>
        <w:spacing w:before="0" w:after="0"/>
        <w:ind w:left="709" w:hanging="283"/>
        <w:jc w:val="left"/>
        <w:rPr/>
      </w:pPr>
      <w:r>
        <w:rPr/>
        <w:t xml:space="preserve">Distribution net revenue increased 15% to $85.0 million in the fourth quarter compared to $74.1 million. </w:t>
      </w:r>
    </w:p>
    <w:p>
      <w:pPr>
        <w:pStyle w:val="TextBody"/>
        <w:numPr>
          <w:ilvl w:val="1"/>
          <w:numId w:val="4"/>
        </w:numPr>
        <w:tabs>
          <w:tab w:val="clear" w:pos="1134"/>
          <w:tab w:val="left" w:pos="1418" w:leader="none"/>
        </w:tabs>
        <w:bidi w:val="0"/>
        <w:spacing w:before="0" w:after="0"/>
        <w:ind w:left="1418" w:hanging="283"/>
        <w:jc w:val="left"/>
        <w:rPr/>
      </w:pPr>
      <w:r>
        <w:rPr/>
        <w:t>Distribution gross profit was $11.7 million in the fourth quarter compared to $7.4 million.</w:t>
      </w:r>
    </w:p>
    <w:p>
      <w:pPr>
        <w:pStyle w:val="TextBody"/>
        <w:numPr>
          <w:ilvl w:val="1"/>
          <w:numId w:val="4"/>
        </w:numPr>
        <w:tabs>
          <w:tab w:val="clear" w:pos="1134"/>
          <w:tab w:val="left" w:pos="1418" w:leader="none"/>
        </w:tabs>
        <w:bidi w:val="0"/>
        <w:spacing w:before="0" w:after="0"/>
        <w:ind w:left="1418" w:hanging="283"/>
        <w:jc w:val="left"/>
        <w:rPr/>
      </w:pPr>
      <w:r>
        <w:rPr/>
        <w:t>Distribution gross margin was 14% in the fourth quarter compared to 10%.</w:t>
      </w:r>
    </w:p>
    <w:p>
      <w:pPr>
        <w:pStyle w:val="TextBody"/>
        <w:numPr>
          <w:ilvl w:val="0"/>
          <w:numId w:val="4"/>
        </w:numPr>
        <w:tabs>
          <w:tab w:val="clear" w:pos="1134"/>
          <w:tab w:val="left" w:pos="709" w:leader="none"/>
        </w:tabs>
        <w:bidi w:val="0"/>
        <w:spacing w:before="0" w:after="0"/>
        <w:ind w:left="709" w:hanging="283"/>
        <w:jc w:val="left"/>
        <w:rPr/>
      </w:pPr>
      <w:r>
        <w:rPr/>
        <w:t xml:space="preserve">Wellness net revenue increased 16% to $19.7 million in the fourth quarter compared to $17.0 million. </w:t>
      </w:r>
    </w:p>
    <w:p>
      <w:pPr>
        <w:pStyle w:val="TextBody"/>
        <w:numPr>
          <w:ilvl w:val="1"/>
          <w:numId w:val="4"/>
        </w:numPr>
        <w:tabs>
          <w:tab w:val="clear" w:pos="1134"/>
          <w:tab w:val="left" w:pos="1418" w:leader="none"/>
        </w:tabs>
        <w:bidi w:val="0"/>
        <w:spacing w:before="0" w:after="0"/>
        <w:ind w:left="1418" w:hanging="283"/>
        <w:jc w:val="left"/>
        <w:rPr/>
      </w:pPr>
      <w:r>
        <w:rPr/>
        <w:t>Wellness gross profit was $6.6 million in the fourth quarter compared to $5.6 million.</w:t>
      </w:r>
    </w:p>
    <w:p>
      <w:pPr>
        <w:pStyle w:val="TextBody"/>
        <w:numPr>
          <w:ilvl w:val="1"/>
          <w:numId w:val="4"/>
        </w:numPr>
        <w:tabs>
          <w:tab w:val="clear" w:pos="1134"/>
          <w:tab w:val="left" w:pos="1418" w:leader="none"/>
        </w:tabs>
        <w:bidi w:val="0"/>
        <w:spacing w:before="0" w:after="0"/>
        <w:ind w:left="1418" w:hanging="283"/>
        <w:jc w:val="left"/>
        <w:rPr/>
      </w:pPr>
      <w:r>
        <w:rPr/>
        <w:t>Wellness gross margin was 33% in the fourth quarter and was unchanged.</w:t>
      </w:r>
    </w:p>
    <w:p>
      <w:pPr>
        <w:pStyle w:val="TextBody"/>
        <w:numPr>
          <w:ilvl w:val="0"/>
          <w:numId w:val="4"/>
        </w:numPr>
        <w:tabs>
          <w:tab w:val="clear" w:pos="1134"/>
          <w:tab w:val="left" w:pos="709" w:leader="none"/>
        </w:tabs>
        <w:bidi w:val="0"/>
        <w:spacing w:before="0" w:after="0"/>
        <w:ind w:left="709" w:hanging="283"/>
        <w:jc w:val="left"/>
        <w:rPr/>
      </w:pPr>
      <w:r>
        <w:rPr/>
        <w:t>Driven predominantly by non-cash charges, net loss was $37.9 million in the fourth quarter and net loss per share was $0.43. Adjusted net income</w:t>
      </w:r>
      <w:r>
        <w:rPr>
          <w:position w:val="8"/>
          <w:sz w:val="19"/>
        </w:rPr>
        <w:t xml:space="preserve">4 </w:t>
      </w:r>
      <w:r>
        <w:rPr/>
        <w:t>was $5.3 million in the fourth quarter and adjusted net income per share</w:t>
      </w:r>
      <w:r>
        <w:rPr>
          <w:position w:val="8"/>
          <w:sz w:val="19"/>
        </w:rPr>
        <w:t>4</w:t>
      </w:r>
      <w:r>
        <w:rPr/>
        <w:t xml:space="preserve">  or adjusted EPS was $0.05.</w:t>
      </w:r>
    </w:p>
    <w:p>
      <w:pPr>
        <w:pStyle w:val="TextBody"/>
        <w:numPr>
          <w:ilvl w:val="0"/>
          <w:numId w:val="4"/>
        </w:numPr>
        <w:tabs>
          <w:tab w:val="clear" w:pos="1134"/>
          <w:tab w:val="left" w:pos="709" w:leader="none"/>
        </w:tabs>
        <w:bidi w:val="0"/>
        <w:ind w:left="709" w:hanging="283"/>
        <w:jc w:val="left"/>
        <w:rPr/>
      </w:pPr>
      <w:r>
        <w:rPr/>
        <w:t>Adjusted EBITDA</w:t>
      </w:r>
      <w:r>
        <w:rPr>
          <w:position w:val="8"/>
          <w:sz w:val="19"/>
        </w:rPr>
        <w:t>5</w:t>
      </w:r>
      <w:r>
        <w:rPr/>
        <w:t xml:space="preserve"> was $31.9 million in the fourth quarter compared to $27.6 million; eliminating the impact of approximately $2.3 million of fuel surcharges in the fourth quarter, adjusted EBITDA</w:t>
      </w:r>
      <w:r>
        <w:rPr>
          <w:position w:val="8"/>
          <w:sz w:val="19"/>
        </w:rPr>
        <w:t xml:space="preserve">5  </w:t>
      </w:r>
      <w:r>
        <w:rPr/>
        <w:t>would have been $34.2 million.</w:t>
      </w:r>
    </w:p>
    <w:p>
      <w:pPr>
        <w:pStyle w:val="TextBody"/>
        <w:bidi w:val="0"/>
        <w:spacing w:before="0" w:after="283"/>
        <w:jc w:val="left"/>
        <w:rPr/>
      </w:pPr>
      <w:r>
        <w:rPr>
          <w:rStyle w:val="StrongEmphasis"/>
        </w:rPr>
        <w:t>U.S. Rescheduling Update:</w:t>
      </w:r>
      <w:r>
        <w:rPr/>
        <w:t xml:space="preserve"> Following recent U.S. rescheduling developments, Tilray continues to evaluate multiple pathways to participation in an emerging federally compliant, science-driven medical cannabis market. Rescheduling represents an important federal policy milestone that may support expanded clinical research, greater product standardization, clearer quality and safety expectations, and the gradual development of a regulated medical cannabis framework in the United States. Meaningful regulatory uncertainty remains with ongoing legal challenges.</w:t>
      </w:r>
    </w:p>
    <w:p>
      <w:pPr>
        <w:pStyle w:val="TextBody"/>
        <w:bidi w:val="0"/>
        <w:spacing w:before="0" w:after="283"/>
        <w:jc w:val="left"/>
        <w:rPr/>
      </w:pPr>
      <w:r>
        <w:rPr/>
        <w:t>Tilray is approaching this opportunity with discipline, regulatory rigor and a medical-first strategy. Tilray has already developed a blueprint for a U.S. Tilray Medical platform that is focused on research, education, cannabinoid-based medicine development, patients and compliant medical cannabis access rather than adult-use retail. The strategy is designed to leverage Tilray Medical’s global foundation, including operations across more than 20 countries, pharmaceutical-grade cultivation, manufacturing capabilities, and quality management systems, complex regulatory expertise, clinical research experience, physician and pharmacy relationships, and patient access infrastructure. This foundation is supported by Tilray’s broader international medical cannabis platform, which has served hundreds of thousands of patients globally and includes more than 200 medical cannabis products across all of our markets.</w:t>
      </w:r>
    </w:p>
    <w:p>
      <w:pPr>
        <w:pStyle w:val="TextBody"/>
        <w:bidi w:val="0"/>
        <w:spacing w:before="0" w:after="283"/>
        <w:jc w:val="left"/>
        <w:rPr/>
      </w:pPr>
      <w:r>
        <w:rPr>
          <w:rStyle w:val="StrongEmphasis"/>
        </w:rPr>
        <w:t>Fiscal Year 2027 Guidance</w:t>
      </w:r>
    </w:p>
    <w:p>
      <w:pPr>
        <w:pStyle w:val="TextBody"/>
        <w:bidi w:val="0"/>
        <w:spacing w:before="0" w:after="283"/>
        <w:jc w:val="left"/>
        <w:rPr/>
      </w:pPr>
      <w:r>
        <w:rPr/>
        <w:t>For its fiscal year ending May 31, 2027, the Company expects to achieve adjusted EBITDA</w:t>
      </w:r>
      <w:r>
        <w:rPr>
          <w:position w:val="8"/>
          <w:sz w:val="19"/>
        </w:rPr>
        <w:t>5</w:t>
      </w:r>
      <w:r>
        <w:rPr/>
        <w:t xml:space="preserve"> of $68 million to $75 million, representing double digit growth as compared to fiscal year 2026.</w:t>
      </w:r>
    </w:p>
    <w:p>
      <w:pPr>
        <w:pStyle w:val="TextBody"/>
        <w:bidi w:val="0"/>
        <w:spacing w:before="0" w:after="283"/>
        <w:jc w:val="left"/>
        <w:rPr/>
      </w:pPr>
      <w:r>
        <w:rPr/>
        <w:t>Management’s guidance for adjusted EBITDA</w:t>
      </w:r>
      <w:r>
        <w:rPr>
          <w:position w:val="8"/>
          <w:sz w:val="19"/>
        </w:rPr>
        <w:t>5</w:t>
      </w:r>
      <w:r>
        <w:rPr/>
        <w:t xml:space="preserve"> is provided on a non-GAAP basis and excludes stock-based compensation; change in fair value of contingent consideration; purchase price accounting step-up; impairments of intangible assets and goodwill; other than temporary change in fair value of convertible notes receivable; litigation costs; integration and restructuring costs; transaction-related costs; and other non-operating income (expenses) and non-recurring items that may be incurred during the Company’s fiscal year 2027, which the Company will continue to identify as it reports its future financial results.</w:t>
      </w:r>
    </w:p>
    <w:p>
      <w:pPr>
        <w:pStyle w:val="TextBody"/>
        <w:bidi w:val="0"/>
        <w:spacing w:before="0" w:after="283"/>
        <w:jc w:val="left"/>
        <w:rPr/>
      </w:pPr>
      <w:r>
        <w:rPr/>
        <w:t>The Company cannot reconcile its expected adjusted EBITDA</w:t>
      </w:r>
      <w:r>
        <w:rPr>
          <w:position w:val="8"/>
          <w:sz w:val="19"/>
        </w:rPr>
        <w:t>5</w:t>
      </w:r>
      <w:r>
        <w:rPr/>
        <w:t xml:space="preserve"> to net income under “Fiscal Year 2027 Guidance” without unreasonable effort because certain items that impact net income and other reconciling metrics are out of the Company’s control and/or cannot be reasonably predicted at this time.</w:t>
      </w:r>
    </w:p>
    <w:p>
      <w:pPr>
        <w:pStyle w:val="TextBody"/>
        <w:bidi w:val="0"/>
        <w:spacing w:before="0" w:after="283"/>
        <w:jc w:val="left"/>
        <w:rPr/>
      </w:pPr>
      <w:r>
        <w:rPr/>
        <w:t>______________________________</w:t>
        <w:br/>
      </w:r>
      <w:r>
        <w:rPr>
          <w:position w:val="8"/>
          <w:sz w:val="19"/>
        </w:rPr>
        <w:t>(1) Cash, restricted cash and Marketable Securities is a non-GAAP financial measure. See “Use of Non-GAAP Measures” below for additional discussion regarding these non-GAAP measures and for a reconciliation of such Non-GAAP Measures to our most comparable GAAP measure.</w:t>
      </w:r>
      <w:r>
        <w:rPr/>
        <w:br/>
      </w:r>
      <w:r>
        <w:rPr>
          <w:position w:val="8"/>
          <w:sz w:val="19"/>
        </w:rPr>
        <w:t>(2) Net (debt) cash is a non-GAAP financial measure. See “Use of Non-GAAP Measures” below for additional discussion regarding these non-GAAP measures and for a reconciliation of such Non-GAAP Measures to our most comparable GAAP measure.</w:t>
      </w:r>
      <w:r>
        <w:rPr/>
        <w:br/>
      </w:r>
      <w:r>
        <w:rPr>
          <w:position w:val="8"/>
          <w:sz w:val="19"/>
        </w:rPr>
        <w:t>(3) Adjusted gross margin is a non-GAAP financial measure. See “Use of Non-GAAP Measures” below for additional discussion regarding these non-GAAP measures and for a reconciliation of such Non-GAAP Measures to our most comparable GAAP measure.</w:t>
      </w:r>
      <w:r>
        <w:rPr/>
        <w:br/>
      </w:r>
      <w:r>
        <w:rPr>
          <w:position w:val="8"/>
          <w:sz w:val="19"/>
        </w:rPr>
        <w:t>(4) Adjusted net income (loss) and adjusted net income (loss) per share (adjusted EPS) are a non-GAAP financial measure. See “Use of Non-GAAP Measures” below for additional discussion regarding these non-GAAP measures and for a reconciliation of such Non-GAAP Measures to our most comparable GAAP measure.</w:t>
      </w:r>
      <w:r>
        <w:rPr/>
        <w:br/>
      </w:r>
      <w:r>
        <w:rPr>
          <w:position w:val="8"/>
          <w:sz w:val="19"/>
        </w:rPr>
        <w:t>(5) Adjusted EBITDA is a non-GAAP financial measure. See “Use of Non-GAAP Measures” below for additional discussion regarding these non-GAAP measures and for a reconciliation of such Non-GAAP Measures to our most comparable GAAP measure.</w:t>
      </w:r>
    </w:p>
    <w:p>
      <w:pPr>
        <w:pStyle w:val="TextBody"/>
        <w:bidi w:val="0"/>
        <w:spacing w:before="0" w:after="283"/>
        <w:jc w:val="left"/>
        <w:rPr/>
      </w:pPr>
      <w:r>
        <w:rPr>
          <w:rStyle w:val="StrongEmphasis"/>
        </w:rPr>
        <w:t>Live Audio Webcast</w:t>
      </w:r>
    </w:p>
    <w:p>
      <w:pPr>
        <w:pStyle w:val="TextBody"/>
        <w:bidi w:val="0"/>
        <w:spacing w:before="0" w:after="283"/>
        <w:jc w:val="left"/>
        <w:rPr/>
      </w:pPr>
      <w:r>
        <w:rPr/>
        <w:t>Tilray Brands will host a webcast to discuss these results today at 4:30 PM Eastern Time. Investors may join the live webcast available on the Events &amp; Presentations section of Tilray’s Investor Relations website. A replay will be available and archived on the Company’s website.</w:t>
      </w:r>
    </w:p>
    <w:p>
      <w:pPr>
        <w:pStyle w:val="TextBody"/>
        <w:bidi w:val="0"/>
        <w:spacing w:before="0" w:after="283"/>
        <w:jc w:val="left"/>
        <w:rPr/>
      </w:pPr>
      <w:r>
        <w:rPr>
          <w:rStyle w:val="StrongEmphasis"/>
        </w:rPr>
        <w:t>About Tilray Brands</w:t>
      </w:r>
    </w:p>
    <w:p>
      <w:pPr>
        <w:pStyle w:val="TextBody"/>
        <w:bidi w:val="0"/>
        <w:spacing w:before="0" w:after="283"/>
        <w:jc w:val="left"/>
        <w:rPr/>
      </w:pPr>
      <w:r>
        <w:rPr/>
        <w:t>Tilray Brands, Inc. (“Tilray”) (Nasdaq: TLRY; TSX: TLRY), is a leading global lifestyle and consumer packaged goods company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and create memorable experiences. Tilray’s unprecedented platform supports over 40 brands in over 20 countries, including comprehensive cannabis offerings, hemp-based foods, and craft beverages.</w:t>
      </w:r>
    </w:p>
    <w:p>
      <w:pPr>
        <w:pStyle w:val="TextBody"/>
        <w:bidi w:val="0"/>
        <w:spacing w:before="0" w:after="283"/>
        <w:jc w:val="left"/>
        <w:rPr/>
      </w:pPr>
      <w:r>
        <w:rPr/>
        <w:t>For more information on how we are elevating lives through moments of connection, visit Tilray.com and follow @Tilray on all social platforms.</w:t>
      </w:r>
    </w:p>
    <w:p>
      <w:pPr>
        <w:pStyle w:val="TextBody"/>
        <w:bidi w:val="0"/>
        <w:spacing w:before="0" w:after="283"/>
        <w:jc w:val="left"/>
        <w:rPr/>
      </w:pPr>
      <w:r>
        <w:rPr>
          <w:rStyle w:val="StrongEmphasis"/>
        </w:rPr>
        <w:t>Cautionary Statement Concerning Forward-Looking Statements</w:t>
      </w:r>
    </w:p>
    <w:p>
      <w:pPr>
        <w:pStyle w:val="TextBody"/>
        <w:bidi w:val="0"/>
        <w:spacing w:before="0" w:after="283"/>
        <w:jc w:val="left"/>
        <w:rPr/>
      </w:pPr>
      <w:r>
        <w:rPr/>
        <w:t>Certain statements in this press release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“position,”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pStyle w:val="TextBody"/>
        <w:bidi w:val="0"/>
        <w:spacing w:before="0" w:after="283"/>
        <w:jc w:val="left"/>
        <w:rPr/>
      </w:pPr>
      <w:r>
        <w:rPr/>
        <w:t>Forward-looking statements include statements regarding our intentions, beliefs, projections, outlook, analyses or current expectations concerning, among other things: the Company’s ability to become a leading lifestyle consumer packaged goods company; the Company’s ability to become a leading beverage alcohol Company; the Company’s ability to achieve long term profitability; the Company’s ability to achieve operational scale, market share, distribution, profitability and revenue growth in particular business lines and markets; the Company’s ability to successfully achieve revenue growth, margin and profitability improvements, production and supply chain efficiencies, synergies and cost savings; the Company’s ability to achieve fiscal year 2027 financial guidance, including expected Adjusted EBITDA of $68 to $75 million and synergy optimizations; the Company’s expected revenue growth, sales volume, profitability, synergies and accretion related to any of its acquisitions; expected opportunities in the U.S., including upon U.S. federal cannabis legalization or rescheduling and the Company’s ability to leverage its platform in connection therewith; the Company’s ability to successfully leverage artificial intelligence strategies; the Company’s anticipated investments and acquisitions, including in organic and strategic growth, partnership efforts, product offerings and other initiatives; and the Company’s ability to commercialize new and innovative products.</w:t>
      </w:r>
    </w:p>
    <w:p>
      <w:pPr>
        <w:pStyle w:val="TextBody"/>
        <w:bidi w:val="0"/>
        <w:spacing w:before="0" w:after="283"/>
        <w:jc w:val="left"/>
        <w:rPr/>
      </w:pPr>
      <w:r>
        <w:rPr/>
        <w:t>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pStyle w:val="TextBody"/>
        <w:bidi w:val="0"/>
        <w:spacing w:before="0" w:after="283"/>
        <w:jc w:val="left"/>
        <w:rPr/>
      </w:pPr>
      <w:r>
        <w:rPr>
          <w:rStyle w:val="StrongEmphasis"/>
        </w:rPr>
        <w:t>Use of Non-U.S. GAAP Financial Measures</w:t>
      </w:r>
    </w:p>
    <w:p>
      <w:pPr>
        <w:pStyle w:val="TextBody"/>
        <w:bidi w:val="0"/>
        <w:spacing w:before="0" w:after="283"/>
        <w:jc w:val="left"/>
        <w:rPr/>
      </w:pPr>
      <w:r>
        <w:rPr/>
        <w:t>This press release and the accompanying tables include non-GAAP financial measures, including Adjusted gross margin (consolidated and for each of our reporting segments), Adjusted gross profit (consolidated and for each of our reporting segments), Adjusted EBITDA, Adjusted cash operating income (loss), Adjusted net income (loss), Adjusted net income (loss) per share, free cash flow, adjusted free cash flow, constant currency presentations of revenue, cash, restricted cash and marketable securities, and net (debt) cash. Management believes that the non-GAAP financial measures presented provide useful additional information to investors about current trends in the Company's operations and are useful for period-over-period comparisons of operations. These non-GAAP financial measures should not be considered in isolation or as a substitute for the comparable GAAP measures, nor should adjusted net income (loss) per share be used as a measure of liquidity. In addition, these non-GAAP measures may not be the same as similar measures provided by other companies due to potential differences in methods of calculation and items being excluded. They should be read only in connection with the Company's Consolidated Statements of Operations and Cash Flows presented in accordance with GAAP.</w:t>
      </w:r>
    </w:p>
    <w:p>
      <w:pPr>
        <w:pStyle w:val="TextBody"/>
        <w:bidi w:val="0"/>
        <w:spacing w:before="0" w:after="283"/>
        <w:jc w:val="left"/>
        <w:rPr/>
      </w:pPr>
      <w:r>
        <w:rPr/>
        <w:t>Certain forward-looking non-GAAP financial measures included in this press release are not reconciled to the comparable forward-looking GAAP financial measures. The Company is not able to reconcile these forward-looking non-GAAP financial measures to their most directly comparable forward-looking GAAP financial measures without unreasonable efforts because the Company is unable to predict with a reasonable degree of certainty the type and extent of certain items that would be expected to impact GAAP measures but would not impact the non-GAAP measures. Such items may include litigation and related expenses, transaction costs, impairments of intangible assets and goodwill, foreign exchange movements and other items. The unavailable information could have a significant impact on the Company's GAAP financial results.</w:t>
      </w:r>
    </w:p>
    <w:p>
      <w:pPr>
        <w:pStyle w:val="TextBody"/>
        <w:bidi w:val="0"/>
        <w:spacing w:before="0" w:after="283"/>
        <w:jc w:val="left"/>
        <w:rPr/>
      </w:pPr>
      <w:r>
        <w:rPr/>
        <w:t>The Company believes presenting net sales at constant currency provides useful information to investors because it provides transparency to underlying performance in the Company's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 A reconciliation of prior year revenue to constant currency revenue the most directly comparable GAAP measure, has been provided in the financial statement tables included below in this press release.</w:t>
      </w:r>
    </w:p>
    <w:p>
      <w:pPr>
        <w:pStyle w:val="TextBody"/>
        <w:bidi w:val="0"/>
        <w:spacing w:before="0" w:after="283"/>
        <w:jc w:val="left"/>
        <w:rPr/>
      </w:pPr>
      <w:r>
        <w:rPr/>
        <w:t>Adjusted EBITDA is calculated as net income (loss) before income tax expense (recovery), net; interest expense, net; non-operating income (expense), net; amortization; stock-based compensation; change in fair value of contingent consideration; impairment of intangibles assets and goodwill; other than temporary change in fair value of convertible notes receivable; loss (gain) on sale of capital assets - non-operating facility; purchase price accounting step-up; project 420 optimization costs; litigation costs; restructuring costs, and transaction (income) costs, net. A reconciliation of Adjusted EBITDA to net loss, the most directly comparable GAAP measure, has been provided in the financial statement tables included below in this press release.</w:t>
      </w:r>
    </w:p>
    <w:p>
      <w:pPr>
        <w:pStyle w:val="TextBody"/>
        <w:bidi w:val="0"/>
        <w:spacing w:before="0" w:after="283"/>
        <w:jc w:val="left"/>
        <w:rPr/>
      </w:pPr>
      <w:r>
        <w:rPr/>
        <w:t>Adjusted cash operating income (loss) is calculated as operating loss, less; amortization; stock-based compensation; change in fair value of contingent consideration impairment of intangibles assets and goodwill; and other than temporary change in fair value of convertible notes receivable. A reconciliation of adjusted cash operating income (loss) to operating loss, the most directly comparable GAAP measure, has been included below in this press release. Adjusted cash operating income (loss) is not calculated in accordance with GAAP and should not be considered an alternative for GAAP operating income or as a measure of liquidity.</w:t>
      </w:r>
    </w:p>
    <w:p>
      <w:pPr>
        <w:pStyle w:val="TextBody"/>
        <w:bidi w:val="0"/>
        <w:spacing w:before="0" w:after="283"/>
        <w:jc w:val="left"/>
        <w:rPr/>
      </w:pPr>
      <w:r>
        <w:rPr/>
        <w:t>Adjusted net income (loss) is calculated as net loss attributable to stockholders of Tilray Brands, Inc., less; non-operating income (expense), net; amortization; deferred income tax expense (benefits), net; stock-based compensation; change in fair value of contingent consideration; purchase price accounting step-up; project 420 optimization costs; impairment of intangibles assets and goodwill; other than temporary change in fair value of convertible notes receivable; litigation costs; restructuring costs and transaction (income) costs, net. A reconciliation of Adjusted net income (loss) to net loss attributable to stockholders of Tilray Brands, Inc., the most directly comparable GAAP measure, has been included below in this press release.</w:t>
      </w:r>
    </w:p>
    <w:p>
      <w:pPr>
        <w:pStyle w:val="TextBody"/>
        <w:bidi w:val="0"/>
        <w:spacing w:before="0" w:after="283"/>
        <w:jc w:val="left"/>
        <w:rPr/>
      </w:pPr>
      <w:r>
        <w:rPr/>
        <w:t>Adjusted net income (loss) per share (or adjusted EPS) is calculated as adjusted net income (loss) divided by weighted average number of common shares outstanding. A reconciliation of Adjusted net income (loss) per share to net loss attributable to stockholders of Tilray Brands, Inc., the most directly comparable GAAP measure, has been included below in this press release. Adjusted net income (loss) per share is not calculated in accordance with GAAP and should not be considered an alternative for GAAP net income (loss) per share or as a measure of liquidity.</w:t>
      </w:r>
    </w:p>
    <w:p>
      <w:pPr>
        <w:pStyle w:val="TextBody"/>
        <w:bidi w:val="0"/>
        <w:spacing w:before="0" w:after="283"/>
        <w:jc w:val="left"/>
        <w:rPr/>
      </w:pPr>
      <w:r>
        <w:rPr/>
        <w:t>Adjusted gross profit (consolidated and for each of our reporting segments), is calculated as gross profit adjusted to exclude the impact of purchase price accounting valuation step-up. A reconciliation of Adjusted gross profit, excluding purchase price accounting valuation step-up, to gross profit, the most directly comparable GAAP measure, has been provided in the financial statement tables included below in this press release. Adjusted gross margin (consolidated and for each of our reporting segments), excluding purchase price accounting valuation step-up, is calculated as revenue less cost of sales adjusted to add back amortization of inventory step-up, divided by revenue. A reconciliation of Adjusted gross margin, excluding purchase price accounting valuation step-up, to gross margin, the most directly comparable GAAP measure, has been provided in the financial statement tables included below in this press release.</w:t>
      </w:r>
    </w:p>
    <w:p>
      <w:pPr>
        <w:pStyle w:val="TextBody"/>
        <w:bidi w:val="0"/>
        <w:spacing w:before="0" w:after="283"/>
        <w:jc w:val="left"/>
        <w:rPr/>
      </w:pPr>
      <w:r>
        <w:rPr/>
        <w:t>Free cash flow is comprised of two GAAP measures which are net cash flow provided by (used in) operating activities less investments in capital and intangible assets, net. A reconciliation of net cash flow provided by (used in) operating activities to free cash flow, the most directly comparable GAAP measure, has been provided in the financial statement tables included below in this press release. Adjusted free cash flow is comprised of two GAAP measures which are net cash flow provided by (used in) operating activities less investments in capital and intangible assets, net, and the exclusion of growth CAPEX from investments in capital and intangible assets, net, which excludes the amount of capital expenditures that are considered to be associated with growth of future operations rather than to maintain the existing operations of the Company, and excludes cash paid for litigation settlements. A reconciliation of net cash flow provided by (used in) operating activities to adjusted free cash flow, the most directly comparable GAAP measure, has been provided in the financial statement tables included below in this press release.</w:t>
      </w:r>
    </w:p>
    <w:p>
      <w:pPr>
        <w:pStyle w:val="TextBody"/>
        <w:bidi w:val="0"/>
        <w:spacing w:before="0" w:after="283"/>
        <w:jc w:val="left"/>
        <w:rPr/>
      </w:pPr>
      <w:r>
        <w:rPr/>
        <w:t>Cash, restricted cash and marketable securities are comprised of two GAAP measures, cash and cash equivalents and restricted cash added to marketable securities. The Company’s management believes that this presentation provides useful information to management, analysts and investors regarding certain additional financial and business trends relating to its short-term liquidity position by combing these two GAAP metrics.</w:t>
      </w:r>
    </w:p>
    <w:p>
      <w:pPr>
        <w:pStyle w:val="TextBody"/>
        <w:bidi w:val="0"/>
        <w:spacing w:before="0" w:after="283"/>
        <w:jc w:val="left"/>
        <w:rPr/>
      </w:pPr>
      <w:r>
        <w:rPr/>
        <w:t>Net (debt) cash is comprised of GAAP measures and reduces bank indebtedness, current and non-current portions of long-term debt, the principal balance of convertible debt by cash and cash equivalents and marketable securities. The Company believes this metric provides useful information to management, analysts, and investors regarding its liquidity and the Company’s ability to repay all of its debt.</w:t>
      </w:r>
    </w:p>
    <w:p>
      <w:pPr>
        <w:pStyle w:val="TextBody"/>
        <w:bidi w:val="0"/>
        <w:spacing w:before="0" w:after="283"/>
        <w:jc w:val="left"/>
        <w:rPr/>
      </w:pPr>
      <w:r>
        <w:rPr>
          <w:rStyle w:val="StrongEmphasis"/>
        </w:rPr>
        <w:t>Contacts:</w:t>
      </w:r>
      <w:r>
        <w:rPr/>
        <w:br/>
        <w:t>Investor Relations</w:t>
        <w:br/>
        <w:t xml:space="preserve">investors@tilray.com </w:t>
        <w:br/>
        <w:t>Pro-TLRY@prosek.com</w:t>
      </w:r>
    </w:p>
    <w:p>
      <w:pPr>
        <w:pStyle w:val="TextBody"/>
        <w:bidi w:val="0"/>
        <w:spacing w:before="0" w:after="283"/>
        <w:jc w:val="left"/>
        <w:rPr/>
      </w:pPr>
      <w:r>
        <w:rPr/>
        <w:t>Media</w:t>
        <w:br/>
        <w:t>news@tilray.com</w:t>
      </w:r>
    </w:p>
    <w:tbl>
      <w:tblPr>
        <w:tblW w:w="10205" w:type="dxa"/>
        <w:jc w:val="left"/>
        <w:tblInd w:w="0" w:type="dxa"/>
        <w:tblLayout w:type="fixed"/>
        <w:tblCellMar>
          <w:top w:w="28" w:type="dxa"/>
          <w:left w:w="28" w:type="dxa"/>
          <w:bottom w:w="28" w:type="dxa"/>
          <w:right w:w="28" w:type="dxa"/>
        </w:tblCellMar>
      </w:tblPr>
      <w:tblGrid>
        <w:gridCol w:w="6772"/>
        <w:gridCol w:w="146"/>
        <w:gridCol w:w="226"/>
        <w:gridCol w:w="1141"/>
        <w:gridCol w:w="181"/>
        <w:gridCol w:w="146"/>
        <w:gridCol w:w="226"/>
        <w:gridCol w:w="1141"/>
        <w:gridCol w:w="226"/>
      </w:tblGrid>
      <w:tr>
        <w:trPr/>
        <w:tc>
          <w:tcPr>
            <w:tcW w:w="67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r>
      <w:tr>
        <w:trPr/>
        <w:tc>
          <w:tcPr>
            <w:tcW w:w="6772" w:type="dxa"/>
            <w:tcBorders/>
            <w:vAlign w:val="center"/>
          </w:tcPr>
          <w:p>
            <w:pPr>
              <w:pStyle w:val="TableContents"/>
              <w:bidi w:val="0"/>
              <w:spacing w:before="0" w:after="283"/>
              <w:jc w:val="left"/>
              <w:rPr/>
            </w:pPr>
            <w:r>
              <w:rPr>
                <w:rStyle w:val="StrongEmphasis"/>
              </w:rPr>
              <w:t>Consolidated Statements of Financial Position</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77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center"/>
              <w:rPr/>
            </w:pPr>
            <w:r>
              <w:rPr>
                <w:rStyle w:val="StrongEmphasis"/>
              </w:rPr>
              <w:t>May 31,</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center"/>
              <w:rPr/>
            </w:pPr>
            <w:r>
              <w:rPr>
                <w:rStyle w:val="StrongEmphasis"/>
              </w:rPr>
              <w:t>May 31,</w:t>
            </w:r>
          </w:p>
        </w:tc>
      </w:tr>
      <w:tr>
        <w:trPr/>
        <w:tc>
          <w:tcPr>
            <w:tcW w:w="6772"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right"/>
              <w:rPr/>
            </w:pPr>
            <w:r>
              <w:rPr/>
              <w:t> </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right"/>
              <w:rPr/>
            </w:pPr>
            <w:r>
              <w:rPr/>
              <w:t> </w:t>
            </w:r>
          </w:p>
        </w:tc>
        <w:tc>
          <w:tcPr>
            <w:tcW w:w="15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r>
      <w:tr>
        <w:trPr/>
        <w:tc>
          <w:tcPr>
            <w:tcW w:w="6772"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772" w:type="dxa"/>
            <w:tcBorders/>
            <w:vAlign w:val="center"/>
          </w:tcPr>
          <w:p>
            <w:pPr>
              <w:pStyle w:val="TableContents"/>
              <w:bidi w:val="0"/>
              <w:spacing w:before="0" w:after="283"/>
              <w:jc w:val="left"/>
              <w:rPr/>
            </w:pPr>
            <w:r>
              <w:rPr>
                <w:rStyle w:val="StrongEmphasis"/>
              </w:rPr>
              <w:t>Current assets</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225,977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221,666</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Restricted cash</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3,365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Marketable securities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5,289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34,697</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Accounts receivable,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189,170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121,489</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Inventory</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301,192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270,882</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Prepaids and other current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64,692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34,092</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Assets held for sale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2,449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5,800</w:t>
            </w:r>
          </w:p>
        </w:tc>
        <w:tc>
          <w:tcPr>
            <w:tcW w:w="226" w:type="dxa"/>
            <w:tcBorders/>
            <w:vAlign w:val="center"/>
          </w:tcPr>
          <w:p>
            <w:pPr>
              <w:pStyle w:val="TableContents"/>
              <w:bidi w:val="0"/>
              <w:spacing w:before="0" w:after="283"/>
              <w:jc w:val="left"/>
              <w:rPr/>
            </w:pPr>
            <w:r>
              <w:rPr/>
              <w:t> </w:t>
            </w:r>
          </w:p>
        </w:tc>
      </w:tr>
      <w:tr>
        <w:trPr/>
        <w:tc>
          <w:tcPr>
            <w:tcW w:w="6772" w:type="dxa"/>
            <w:tcBorders/>
            <w:vAlign w:val="center"/>
          </w:tcPr>
          <w:p>
            <w:pPr>
              <w:pStyle w:val="TableContents"/>
              <w:bidi w:val="0"/>
              <w:spacing w:before="0" w:after="283"/>
              <w:jc w:val="left"/>
              <w:rPr/>
            </w:pPr>
            <w:r>
              <w:rPr>
                <w:rStyle w:val="StrongEmphasis"/>
              </w:rPr>
              <w:t>Total current assets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792,134</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688,626</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Capital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680,225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568,433</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Operating lease, right-of-use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42,318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22,279</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Digital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674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Intangible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42,779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21,423</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Goodwill</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752,350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752,350</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Long-term investments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6,551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10,132</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Other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10,981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11,084</w:t>
            </w:r>
          </w:p>
        </w:tc>
        <w:tc>
          <w:tcPr>
            <w:tcW w:w="226" w:type="dxa"/>
            <w:tcBorders/>
            <w:vAlign w:val="center"/>
          </w:tcPr>
          <w:p>
            <w:pPr>
              <w:pStyle w:val="TableContents"/>
              <w:bidi w:val="0"/>
              <w:spacing w:before="0" w:after="283"/>
              <w:jc w:val="left"/>
              <w:rPr/>
            </w:pPr>
            <w:r>
              <w:rPr/>
              <w:t> </w:t>
            </w:r>
          </w:p>
        </w:tc>
      </w:tr>
      <w:tr>
        <w:trPr/>
        <w:tc>
          <w:tcPr>
            <w:tcW w:w="6772" w:type="dxa"/>
            <w:tcBorders/>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2,328,012</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2,074,327</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6772" w:type="dxa"/>
            <w:tcBorders/>
            <w:vAlign w:val="center"/>
          </w:tcPr>
          <w:p>
            <w:pPr>
              <w:pStyle w:val="TableContents"/>
              <w:bidi w:val="0"/>
              <w:spacing w:before="0" w:after="283"/>
              <w:jc w:val="left"/>
              <w:rPr/>
            </w:pPr>
            <w:r>
              <w:rPr>
                <w:rStyle w:val="StrongEmphasis"/>
              </w:rPr>
              <w:t>Liabilities</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772" w:type="dxa"/>
            <w:tcBorders/>
            <w:vAlign w:val="center"/>
          </w:tcPr>
          <w:p>
            <w:pPr>
              <w:pStyle w:val="TableContents"/>
              <w:bidi w:val="0"/>
              <w:spacing w:before="0" w:after="283"/>
              <w:jc w:val="left"/>
              <w:rPr/>
            </w:pPr>
            <w:r>
              <w:rPr>
                <w:rStyle w:val="StrongEmphasis"/>
              </w:rPr>
              <w:t>Current liabilities</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Bank indebtedness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8,775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7,181</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Accounts payable and accrued liabilities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318,088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235,322</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Contingent consideration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15,000</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Warrant liability</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1,092</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Current portion of lease liabilities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13,357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6,941</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Current portion of long-term debt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18,160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14,767</w:t>
            </w:r>
          </w:p>
        </w:tc>
        <w:tc>
          <w:tcPr>
            <w:tcW w:w="226" w:type="dxa"/>
            <w:tcBorders/>
            <w:vAlign w:val="center"/>
          </w:tcPr>
          <w:p>
            <w:pPr>
              <w:pStyle w:val="TableContents"/>
              <w:bidi w:val="0"/>
              <w:spacing w:before="0" w:after="283"/>
              <w:jc w:val="left"/>
              <w:rPr/>
            </w:pPr>
            <w:r>
              <w:rPr/>
              <w:t> </w:t>
            </w:r>
          </w:p>
        </w:tc>
      </w:tr>
      <w:tr>
        <w:trPr/>
        <w:tc>
          <w:tcPr>
            <w:tcW w:w="6772" w:type="dxa"/>
            <w:tcBorders/>
            <w:vAlign w:val="center"/>
          </w:tcPr>
          <w:p>
            <w:pPr>
              <w:pStyle w:val="TableContents"/>
              <w:bidi w:val="0"/>
              <w:spacing w:before="0" w:after="283"/>
              <w:jc w:val="left"/>
              <w:rPr/>
            </w:pPr>
            <w:r>
              <w:rPr>
                <w:rStyle w:val="StrongEmphasis"/>
              </w:rPr>
              <w:t>Total current liabilities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358,380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280,303</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772" w:type="dxa"/>
            <w:tcBorders/>
            <w:vAlign w:val="center"/>
          </w:tcPr>
          <w:p>
            <w:pPr>
              <w:pStyle w:val="TableContents"/>
              <w:bidi w:val="0"/>
              <w:spacing w:before="0" w:after="283"/>
              <w:jc w:val="left"/>
              <w:rPr/>
            </w:pPr>
            <w:r>
              <w:rPr>
                <w:rStyle w:val="StrongEmphasis"/>
              </w:rPr>
              <w:t>Long - term liabilities</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Lease liabilities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158,155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64,925</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Long-term debt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120,425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148,493</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Convertible debentures payable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79,529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86,428</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Deferred tax liabilities,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12,256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3,748</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Other liabilities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4,400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855</w:t>
            </w:r>
          </w:p>
        </w:tc>
        <w:tc>
          <w:tcPr>
            <w:tcW w:w="226" w:type="dxa"/>
            <w:tcBorders/>
            <w:vAlign w:val="center"/>
          </w:tcPr>
          <w:p>
            <w:pPr>
              <w:pStyle w:val="TableContents"/>
              <w:bidi w:val="0"/>
              <w:spacing w:before="0" w:after="283"/>
              <w:jc w:val="left"/>
              <w:rPr/>
            </w:pPr>
            <w:r>
              <w:rPr/>
              <w:t> </w:t>
            </w:r>
          </w:p>
        </w:tc>
      </w:tr>
      <w:tr>
        <w:trPr/>
        <w:tc>
          <w:tcPr>
            <w:tcW w:w="6772" w:type="dxa"/>
            <w:tcBorders/>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733,145</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584,752</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772" w:type="dxa"/>
            <w:tcBorders/>
            <w:vAlign w:val="center"/>
          </w:tcPr>
          <w:p>
            <w:pPr>
              <w:pStyle w:val="TableContents"/>
              <w:bidi w:val="0"/>
              <w:spacing w:before="0" w:after="283"/>
              <w:jc w:val="left"/>
              <w:rPr/>
            </w:pPr>
            <w:r>
              <w:rPr>
                <w:rStyle w:val="StrongEmphasis"/>
              </w:rPr>
              <w:t>Stockholders' equity</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Common stock ($0.0001 par value; 1,416,000,000 common shares authorized;131,683,075 and 106,067,875 common shares issued and outstanding, respectively)</w:t>
            </w:r>
            <w:r>
              <w:rPr>
                <w:position w:val="8"/>
                <w:sz w:val="19"/>
              </w:rPr>
              <w:t>(1)</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106</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Treasury Stock (589,217 and 200,422 treasury shares issued and outstanding, respectively)</w:t>
            </w:r>
            <w:r>
              <w:rPr>
                <w:position w:val="8"/>
                <w:sz w:val="19"/>
              </w:rPr>
              <w:t>(1)</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Preferred shares ($0.0001 par value; 10,000,000 preferred shares authorized; nil and nil preferred shares issued and outstanding, respectively)</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Additional paid-in capital</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6,627,056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6,401,657</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Accumulated other comprehensive loss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(44,233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(43,063</w:t>
            </w:r>
          </w:p>
        </w:tc>
        <w:tc>
          <w:tcPr>
            <w:tcW w:w="226" w:type="dxa"/>
            <w:tcBorders/>
            <w:vAlign w:val="center"/>
          </w:tcPr>
          <w:p>
            <w:pPr>
              <w:pStyle w:val="TableContents"/>
              <w:bidi w:val="0"/>
              <w:spacing w:before="0" w:after="283"/>
              <w:jc w:val="left"/>
              <w:rPr/>
            </w:pPr>
            <w:r>
              <w:rPr/>
              <w:t>)</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Accumulated deficit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(4,968,623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(4,847,226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772" w:type="dxa"/>
            <w:tcBorders/>
            <w:vAlign w:val="center"/>
          </w:tcPr>
          <w:p>
            <w:pPr>
              <w:pStyle w:val="TableContents"/>
              <w:bidi w:val="0"/>
              <w:spacing w:before="0" w:after="283"/>
              <w:jc w:val="left"/>
              <w:rPr/>
            </w:pPr>
            <w:r>
              <w:rPr>
                <w:rStyle w:val="StrongEmphasis"/>
              </w:rPr>
              <w:t>Total Tilray Brands, Inc. stockholders' equity</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1,614,332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1,511,474</w:t>
            </w:r>
          </w:p>
        </w:tc>
        <w:tc>
          <w:tcPr>
            <w:tcW w:w="226" w:type="dxa"/>
            <w:tcBorders/>
            <w:vAlign w:val="center"/>
          </w:tcPr>
          <w:p>
            <w:pPr>
              <w:pStyle w:val="TableContents"/>
              <w:bidi w:val="0"/>
              <w:spacing w:before="0" w:after="283"/>
              <w:jc w:val="left"/>
              <w:rPr/>
            </w:pPr>
            <w:r>
              <w:rPr/>
              <w:t> </w:t>
            </w:r>
          </w:p>
        </w:tc>
      </w:tr>
      <w:tr>
        <w:trPr/>
        <w:tc>
          <w:tcPr>
            <w:tcW w:w="6772" w:type="dxa"/>
            <w:tcBorders/>
            <w:tcMar>
              <w:top w:w="0" w:type="dxa"/>
              <w:left w:w="0" w:type="dxa"/>
              <w:bottom w:w="0" w:type="dxa"/>
              <w:right w:w="0" w:type="dxa"/>
            </w:tcMar>
            <w:vAlign w:val="center"/>
          </w:tcPr>
          <w:p>
            <w:pPr>
              <w:pStyle w:val="TableContents"/>
              <w:bidi w:val="0"/>
              <w:spacing w:before="0" w:after="283"/>
              <w:jc w:val="left"/>
              <w:rPr/>
            </w:pPr>
            <w:r>
              <w:rPr/>
              <w:t>Non-controlling interests</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(19,465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(21,899</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772" w:type="dxa"/>
            <w:tcBorders/>
            <w:vAlign w:val="center"/>
          </w:tcPr>
          <w:p>
            <w:pPr>
              <w:pStyle w:val="TableContents"/>
              <w:bidi w:val="0"/>
              <w:spacing w:before="0" w:after="283"/>
              <w:jc w:val="left"/>
              <w:rPr/>
            </w:pPr>
            <w:r>
              <w:rPr>
                <w:rStyle w:val="StrongEmphasis"/>
              </w:rPr>
              <w:t>Total stockholders' equity</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1,594,867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1,489,575</w:t>
            </w:r>
          </w:p>
        </w:tc>
        <w:tc>
          <w:tcPr>
            <w:tcW w:w="226" w:type="dxa"/>
            <w:tcBorders/>
            <w:vAlign w:val="center"/>
          </w:tcPr>
          <w:p>
            <w:pPr>
              <w:pStyle w:val="TableContents"/>
              <w:bidi w:val="0"/>
              <w:spacing w:before="0" w:after="283"/>
              <w:jc w:val="left"/>
              <w:rPr/>
            </w:pPr>
            <w:r>
              <w:rPr/>
              <w:t> </w:t>
            </w:r>
          </w:p>
        </w:tc>
      </w:tr>
      <w:tr>
        <w:trPr/>
        <w:tc>
          <w:tcPr>
            <w:tcW w:w="6772" w:type="dxa"/>
            <w:tcBorders/>
            <w:vAlign w:val="center"/>
          </w:tcPr>
          <w:p>
            <w:pPr>
              <w:pStyle w:val="TableContents"/>
              <w:bidi w:val="0"/>
              <w:spacing w:before="0" w:after="283"/>
              <w:jc w:val="left"/>
              <w:rPr/>
            </w:pPr>
            <w:r>
              <w:rPr>
                <w:rStyle w:val="StrongEmphasis"/>
              </w:rPr>
              <w:t>Total liabilities and stockholders' equity</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2,328,012</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2,074,327</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677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10205" w:type="dxa"/>
            <w:gridSpan w:val="9"/>
            <w:tcBorders/>
            <w:vAlign w:val="center"/>
          </w:tcPr>
          <w:p>
            <w:pPr>
              <w:pStyle w:val="TableContents"/>
              <w:bidi w:val="0"/>
              <w:spacing w:before="0" w:after="283"/>
              <w:jc w:val="left"/>
              <w:rPr/>
            </w:pPr>
            <w:r>
              <w:rPr/>
              <w:t>(1) - Current and prior year share amounts have been retrospectively adjusted to reflect the Reverse Stock Split, which became effective on December 2, 2025.</w:t>
            </w:r>
          </w:p>
        </w:tc>
      </w:tr>
      <w:tr>
        <w:trPr/>
        <w:tc>
          <w:tcPr>
            <w:tcW w:w="10205" w:type="dxa"/>
            <w:gridSpan w:val="9"/>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15049" w:type="dxa"/>
        <w:jc w:val="left"/>
        <w:tblInd w:w="0" w:type="dxa"/>
        <w:tblLayout w:type="fixed"/>
        <w:tblCellMar>
          <w:top w:w="28" w:type="dxa"/>
          <w:left w:w="28" w:type="dxa"/>
          <w:bottom w:w="28" w:type="dxa"/>
          <w:right w:w="28" w:type="dxa"/>
        </w:tblCellMar>
      </w:tblPr>
      <w:tblGrid>
        <w:gridCol w:w="1636"/>
        <w:gridCol w:w="146"/>
        <w:gridCol w:w="226"/>
        <w:gridCol w:w="1306"/>
        <w:gridCol w:w="181"/>
        <w:gridCol w:w="146"/>
        <w:gridCol w:w="226"/>
        <w:gridCol w:w="1186"/>
        <w:gridCol w:w="181"/>
        <w:gridCol w:w="146"/>
        <w:gridCol w:w="226"/>
        <w:gridCol w:w="1186"/>
        <w:gridCol w:w="181"/>
        <w:gridCol w:w="146"/>
        <w:gridCol w:w="771"/>
        <w:gridCol w:w="430"/>
        <w:gridCol w:w="146"/>
        <w:gridCol w:w="226"/>
        <w:gridCol w:w="1306"/>
        <w:gridCol w:w="181"/>
        <w:gridCol w:w="146"/>
        <w:gridCol w:w="226"/>
        <w:gridCol w:w="1186"/>
        <w:gridCol w:w="181"/>
        <w:gridCol w:w="146"/>
        <w:gridCol w:w="226"/>
        <w:gridCol w:w="1186"/>
        <w:gridCol w:w="181"/>
        <w:gridCol w:w="146"/>
        <w:gridCol w:w="759"/>
        <w:gridCol w:w="487"/>
      </w:tblGrid>
      <w:tr>
        <w:trPr/>
        <w:tc>
          <w:tcPr>
            <w:tcW w:w="15049" w:type="dxa"/>
            <w:gridSpan w:val="31"/>
            <w:tcBorders/>
            <w:vAlign w:val="center"/>
          </w:tcPr>
          <w:p>
            <w:pPr>
              <w:pStyle w:val="TableContents"/>
              <w:bidi w:val="0"/>
              <w:spacing w:before="0" w:after="283"/>
              <w:jc w:val="left"/>
              <w:rPr/>
            </w:pPr>
            <w:r>
              <w:rPr/>
              <w:t> </w:t>
            </w:r>
          </w:p>
        </w:tc>
      </w:tr>
      <w:tr>
        <w:trPr/>
        <w:tc>
          <w:tcPr>
            <w:tcW w:w="15049" w:type="dxa"/>
            <w:gridSpan w:val="31"/>
            <w:tcBorders/>
            <w:vAlign w:val="center"/>
          </w:tcPr>
          <w:p>
            <w:pPr>
              <w:pStyle w:val="TableContents"/>
              <w:bidi w:val="0"/>
              <w:spacing w:before="0" w:after="283"/>
              <w:jc w:val="left"/>
              <w:rPr/>
            </w:pPr>
            <w:r>
              <w:rPr>
                <w:rStyle w:val="StrongEmphasis"/>
              </w:rPr>
              <w:t>Condensed Consolidated Statements of Net Income (Loss) and Comprehensive Income (Loss)</w:t>
            </w:r>
          </w:p>
        </w:tc>
      </w:tr>
      <w:tr>
        <w:trPr/>
        <w:tc>
          <w:tcPr>
            <w:tcW w:w="15049" w:type="dxa"/>
            <w:gridSpan w:val="31"/>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52" w:type="dxa"/>
            <w:gridSpan w:val="7"/>
            <w:tcBorders/>
            <w:vAlign w:val="center"/>
          </w:tcPr>
          <w:p>
            <w:pPr>
              <w:pStyle w:val="TableContents"/>
              <w:bidi w:val="0"/>
              <w:spacing w:before="0" w:after="283"/>
              <w:jc w:val="center"/>
              <w:rPr/>
            </w:pPr>
            <w:r>
              <w:rPr>
                <w:rStyle w:val="StrongEmphasis"/>
              </w:rPr>
              <w:t>For the three months</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3452" w:type="dxa"/>
            <w:gridSpan w:val="7"/>
            <w:tcBorders/>
            <w:vAlign w:val="center"/>
          </w:tcPr>
          <w:p>
            <w:pPr>
              <w:pStyle w:val="TableContents"/>
              <w:bidi w:val="0"/>
              <w:spacing w:before="0" w:after="283"/>
              <w:jc w:val="center"/>
              <w:rPr/>
            </w:pPr>
            <w:r>
              <w:rPr>
                <w:rStyle w:val="StrongEmphasis"/>
              </w:rPr>
              <w:t>For the twelve months</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 </w:t>
            </w:r>
          </w:p>
        </w:tc>
      </w:tr>
      <w:tr>
        <w:trPr/>
        <w:tc>
          <w:tcPr>
            <w:tcW w:w="16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452" w:type="dxa"/>
            <w:gridSpan w:val="7"/>
            <w:tcBorders/>
            <w:vAlign w:val="center"/>
          </w:tcPr>
          <w:p>
            <w:pPr>
              <w:pStyle w:val="TableContents"/>
              <w:bidi w:val="0"/>
              <w:spacing w:before="0" w:after="283"/>
              <w:jc w:val="center"/>
              <w:rPr/>
            </w:pPr>
            <w:r>
              <w:rPr>
                <w:rStyle w:val="StrongEmphasis"/>
              </w:rPr>
              <w:t>ended May 31,</w:t>
            </w:r>
          </w:p>
        </w:tc>
        <w:tc>
          <w:tcPr>
            <w:tcW w:w="146" w:type="dxa"/>
            <w:tcBorders/>
            <w:vAlign w:val="center"/>
          </w:tcPr>
          <w:p>
            <w:pPr>
              <w:pStyle w:val="TableContents"/>
              <w:bidi w:val="0"/>
              <w:spacing w:before="0" w:after="283"/>
              <w:jc w:val="center"/>
              <w:rPr/>
            </w:pPr>
            <w:r>
              <w:rPr/>
              <w:t> </w:t>
            </w:r>
          </w:p>
        </w:tc>
        <w:tc>
          <w:tcPr>
            <w:tcW w:w="1593"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01" w:type="dxa"/>
            <w:gridSpan w:val="2"/>
            <w:tcBorders/>
            <w:vAlign w:val="center"/>
          </w:tcPr>
          <w:p>
            <w:pPr>
              <w:pStyle w:val="TableContents"/>
              <w:bidi w:val="0"/>
              <w:spacing w:before="0" w:after="283"/>
              <w:jc w:val="center"/>
              <w:rPr/>
            </w:pPr>
            <w:r>
              <w:rPr>
                <w:rStyle w:val="StrongEmphasis"/>
              </w:rPr>
              <w:t>% Change</w:t>
            </w:r>
          </w:p>
        </w:tc>
        <w:tc>
          <w:tcPr>
            <w:tcW w:w="146" w:type="dxa"/>
            <w:tcBorders/>
            <w:vAlign w:val="center"/>
          </w:tcPr>
          <w:p>
            <w:pPr>
              <w:pStyle w:val="TableContents"/>
              <w:bidi w:val="0"/>
              <w:spacing w:before="0" w:after="283"/>
              <w:jc w:val="center"/>
              <w:rPr/>
            </w:pPr>
            <w:r>
              <w:rPr/>
              <w:t> </w:t>
            </w:r>
          </w:p>
        </w:tc>
        <w:tc>
          <w:tcPr>
            <w:tcW w:w="3452" w:type="dxa"/>
            <w:gridSpan w:val="7"/>
            <w:tcBorders/>
            <w:vAlign w:val="center"/>
          </w:tcPr>
          <w:p>
            <w:pPr>
              <w:pStyle w:val="TableContents"/>
              <w:bidi w:val="0"/>
              <w:spacing w:before="0" w:after="283"/>
              <w:jc w:val="center"/>
              <w:rPr/>
            </w:pPr>
            <w:r>
              <w:rPr>
                <w:rStyle w:val="StrongEmphasis"/>
              </w:rPr>
              <w:t>ended May 31,</w:t>
            </w:r>
          </w:p>
        </w:tc>
        <w:tc>
          <w:tcPr>
            <w:tcW w:w="146" w:type="dxa"/>
            <w:tcBorders/>
            <w:vAlign w:val="center"/>
          </w:tcPr>
          <w:p>
            <w:pPr>
              <w:pStyle w:val="TableContents"/>
              <w:bidi w:val="0"/>
              <w:spacing w:before="0" w:after="283"/>
              <w:jc w:val="center"/>
              <w:rPr/>
            </w:pPr>
            <w:r>
              <w:rPr/>
              <w:t> </w:t>
            </w:r>
          </w:p>
        </w:tc>
        <w:tc>
          <w:tcPr>
            <w:tcW w:w="1593"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46" w:type="dxa"/>
            <w:gridSpan w:val="2"/>
            <w:tcBorders/>
            <w:vAlign w:val="center"/>
          </w:tcPr>
          <w:p>
            <w:pPr>
              <w:pStyle w:val="TableContents"/>
              <w:bidi w:val="0"/>
              <w:spacing w:before="0" w:after="283"/>
              <w:jc w:val="center"/>
              <w:rPr/>
            </w:pPr>
            <w:r>
              <w:rPr>
                <w:rStyle w:val="StrongEmphasis"/>
              </w:rPr>
              <w:t>% Change</w:t>
            </w:r>
          </w:p>
        </w:tc>
      </w:tr>
      <w:tr>
        <w:trPr/>
        <w:tc>
          <w:tcPr>
            <w:tcW w:w="1636" w:type="dxa"/>
            <w:tcBorders/>
            <w:vAlign w:val="center"/>
          </w:tcPr>
          <w:p>
            <w:pPr>
              <w:pStyle w:val="TableContents"/>
              <w:bidi w:val="0"/>
              <w:spacing w:before="0" w:after="283"/>
              <w:jc w:val="left"/>
              <w:rPr/>
            </w:pPr>
            <w:r>
              <w:rPr>
                <w:rStyle w:val="StrongEmphasis"/>
              </w:rPr>
              <w:t>(in thousands of U.S. dollars, except for per share data)</w:t>
            </w:r>
          </w:p>
        </w:tc>
        <w:tc>
          <w:tcPr>
            <w:tcW w:w="146" w:type="dxa"/>
            <w:tcBorders/>
            <w:vAlign w:val="center"/>
          </w:tcPr>
          <w:p>
            <w:pPr>
              <w:pStyle w:val="TableContents"/>
              <w:bidi w:val="0"/>
              <w:spacing w:before="0" w:after="283"/>
              <w:jc w:val="center"/>
              <w:rPr/>
            </w:pPr>
            <w:r>
              <w:rPr/>
              <w:t> </w:t>
            </w:r>
          </w:p>
        </w:tc>
        <w:tc>
          <w:tcPr>
            <w:tcW w:w="17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5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940"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c>
          <w:tcPr>
            <w:tcW w:w="146" w:type="dxa"/>
            <w:tcBorders/>
            <w:vAlign w:val="center"/>
          </w:tcPr>
          <w:p>
            <w:pPr>
              <w:pStyle w:val="TableContents"/>
              <w:bidi w:val="0"/>
              <w:spacing w:before="0" w:after="283"/>
              <w:jc w:val="center"/>
              <w:rPr/>
            </w:pPr>
            <w:r>
              <w:rPr/>
              <w:t> </w:t>
            </w:r>
          </w:p>
        </w:tc>
        <w:tc>
          <w:tcPr>
            <w:tcW w:w="17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5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985"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r>
      <w:tr>
        <w:trPr/>
        <w:tc>
          <w:tcPr>
            <w:tcW w:w="1636" w:type="dxa"/>
            <w:tcBorders/>
            <w:vAlign w:val="center"/>
          </w:tcPr>
          <w:p>
            <w:pPr>
              <w:pStyle w:val="TableContents"/>
              <w:bidi w:val="0"/>
              <w:spacing w:before="0" w:after="283"/>
              <w:jc w:val="left"/>
              <w:rPr/>
            </w:pPr>
            <w:r>
              <w:rPr/>
              <w:t>Net revenue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281,714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224,535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57,179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25</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915,454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821,309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94,145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11</w:t>
            </w:r>
          </w:p>
        </w:tc>
        <w:tc>
          <w:tcPr>
            <w:tcW w:w="487" w:type="dxa"/>
            <w:tcBorders/>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Cost of goods sold</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191,193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156,902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34,291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w:t>
            </w:r>
          </w:p>
        </w:tc>
        <w:tc>
          <w:tcPr>
            <w:tcW w:w="4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655,013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580,739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74,274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w:t>
            </w:r>
          </w:p>
        </w:tc>
        <w:tc>
          <w:tcPr>
            <w:tcW w:w="48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Gross profit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90,521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67,633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22,888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34</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260,441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240,570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19,871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8</w:t>
            </w:r>
          </w:p>
        </w:tc>
        <w:tc>
          <w:tcPr>
            <w:tcW w:w="487" w:type="dxa"/>
            <w:tcBorders/>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Operating expenses:</w:t>
            </w:r>
          </w:p>
        </w:tc>
        <w:tc>
          <w:tcPr>
            <w:tcW w:w="146"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61,173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37,968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23,205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61</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203,629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167,324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36,305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22</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Selling</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14,007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14,282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(275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71" w:type="dxa"/>
            <w:tcBorders/>
            <w:vAlign w:val="center"/>
          </w:tcPr>
          <w:p>
            <w:pPr>
              <w:pStyle w:val="TableContents"/>
              <w:bidi w:val="0"/>
              <w:spacing w:before="0" w:after="283"/>
              <w:jc w:val="right"/>
              <w:rPr/>
            </w:pPr>
            <w:r>
              <w:rPr/>
              <w:t>(2</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49,328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56,039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(6,711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(12</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6,192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20,703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(14,511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(70</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19,585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88,616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(69,031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(78</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Marketing and promotion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13,462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8,969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4,493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71" w:type="dxa"/>
            <w:tcBorders/>
            <w:vAlign w:val="center"/>
          </w:tcPr>
          <w:p>
            <w:pPr>
              <w:pStyle w:val="TableContents"/>
              <w:bidi w:val="0"/>
              <w:spacing w:before="0" w:after="283"/>
              <w:jc w:val="right"/>
              <w:rPr/>
            </w:pPr>
            <w:r>
              <w:rPr/>
              <w:t>50</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42,290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37,048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5,242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14</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429</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361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77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27</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Change in fair value of contingent consideration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right"/>
              <w:rPr/>
            </w:pPr>
            <w:r>
              <w:rPr/>
              <w:t>NM</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(15,000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(15,000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NM</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Impairment of intangible assets and goodwill</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1,396,904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(1,396,904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(100</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2,096,139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(2,096,139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(100</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Other than temporary change in fair value of convertible notes receivable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1,661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(1,661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(100</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21,661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(21,661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(100</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Litigation costs, net of recoveries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1,405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12,093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(10,688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(88</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3,902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17,347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(13,445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(78</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Restructuring costs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7,192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17,034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(9,842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(58</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13,113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34,283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(21,170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(62</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Transaction costs (income), net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3,364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1,971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1,393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71</w:t>
            </w:r>
          </w:p>
        </w:tc>
        <w:tc>
          <w:tcPr>
            <w:tcW w:w="4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6,260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4,534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w:t>
            </w:r>
          </w:p>
        </w:tc>
        <w:tc>
          <w:tcPr>
            <w:tcW w:w="48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Total operating expenses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106,975</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1,511,619</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(1,404,644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7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(93</w:t>
            </w:r>
          </w:p>
        </w:tc>
        <w:tc>
          <w:tcPr>
            <w:tcW w:w="4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323,468</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2,523,275</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(2,199,807</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(87</w:t>
            </w:r>
          </w:p>
        </w:tc>
        <w:tc>
          <w:tcPr>
            <w:tcW w:w="48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Operating loss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(16,454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(1,443,986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1,427,532</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71" w:type="dxa"/>
            <w:tcBorders/>
            <w:vAlign w:val="center"/>
          </w:tcPr>
          <w:p>
            <w:pPr>
              <w:pStyle w:val="TableContents"/>
              <w:bidi w:val="0"/>
              <w:spacing w:before="0" w:after="283"/>
              <w:jc w:val="right"/>
              <w:rPr/>
            </w:pPr>
            <w:r>
              <w:rPr/>
              <w:t>(99</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(63,027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(2,282,705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2,219,678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(97</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Interest expense,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(6,628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(3,966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(2,662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67</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(23,663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(29,952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6,289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(21</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Non-operating income (expense), net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(984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54,915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(55,899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(102</w:t>
            </w:r>
          </w:p>
        </w:tc>
        <w:tc>
          <w:tcPr>
            <w:tcW w:w="4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(1,370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10,284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(11,654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(113</w:t>
            </w:r>
          </w:p>
        </w:tc>
        <w:tc>
          <w:tcPr>
            <w:tcW w:w="48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Loss before income taxes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(24,066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(1,393,037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1,368,971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(98</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(88,060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(2,302,373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2,214,313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(96</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Income tax expense (recovery), net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13,863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(125,142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139,005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(111</w:t>
            </w:r>
          </w:p>
        </w:tc>
        <w:tc>
          <w:tcPr>
            <w:tcW w:w="4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17,098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(121,017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138,115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(114</w:t>
            </w:r>
          </w:p>
        </w:tc>
        <w:tc>
          <w:tcPr>
            <w:tcW w:w="48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Net loss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(37,929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(1,267,895</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1,229,966</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(97</w:t>
            </w:r>
          </w:p>
        </w:tc>
        <w:tc>
          <w:tcPr>
            <w:tcW w:w="4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(105,158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(2,181,356</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2,076,198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(95</w:t>
            </w:r>
          </w:p>
        </w:tc>
        <w:tc>
          <w:tcPr>
            <w:tcW w:w="48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Total net income (loss) attributable to:</w:t>
            </w:r>
          </w:p>
        </w:tc>
        <w:tc>
          <w:tcPr>
            <w:tcW w:w="146" w:type="dxa"/>
            <w:tcBorders/>
            <w:vAlign w:val="center"/>
          </w:tcPr>
          <w:p>
            <w:pPr>
              <w:pStyle w:val="TableContents"/>
              <w:bidi w:val="0"/>
              <w:spacing w:before="0" w:after="283"/>
              <w:jc w:val="righ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Stockholders of Tilray Brands, Inc.</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(49,572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(1,272,795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1,223,223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(96</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(121,397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(2,186,738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2,065,341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(94</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Non-controlling interests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11,643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4,900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6,743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138</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16,239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5,382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10,857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202</w:t>
            </w:r>
          </w:p>
        </w:tc>
        <w:tc>
          <w:tcPr>
            <w:tcW w:w="487" w:type="dxa"/>
            <w:tcBorders/>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Other comprehensive gain (loss), net of tax</w:t>
            </w:r>
          </w:p>
        </w:tc>
        <w:tc>
          <w:tcPr>
            <w:tcW w:w="146" w:type="dxa"/>
            <w:tcBorders/>
            <w:vAlign w:val="center"/>
          </w:tcPr>
          <w:p>
            <w:pPr>
              <w:pStyle w:val="TableContents"/>
              <w:bidi w:val="0"/>
              <w:spacing w:before="0" w:after="283"/>
              <w:jc w:val="righ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Foreign currency translation gain (loss)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618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10,625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(10,007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(94</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(223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(52</w:t>
            </w:r>
          </w:p>
        </w:tc>
        <w:tc>
          <w:tcPr>
            <w:tcW w:w="487" w:type="dxa"/>
            <w:tcBorders/>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Comprehensive loss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(37,311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(1,257,270</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1,219,959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(97</w:t>
            </w:r>
          </w:p>
        </w:tc>
        <w:tc>
          <w:tcPr>
            <w:tcW w:w="4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(104,951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(2,180,926</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2,075,975</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(95</w:t>
            </w:r>
          </w:p>
        </w:tc>
        <w:tc>
          <w:tcPr>
            <w:tcW w:w="48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Total comprehensive income (loss) attributable to:</w:t>
            </w:r>
          </w:p>
        </w:tc>
        <w:tc>
          <w:tcPr>
            <w:tcW w:w="146" w:type="dxa"/>
            <w:tcBorders/>
            <w:vAlign w:val="center"/>
          </w:tcPr>
          <w:p>
            <w:pPr>
              <w:pStyle w:val="TableContents"/>
              <w:bidi w:val="0"/>
              <w:spacing w:before="0" w:after="283"/>
              <w:jc w:val="righ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Stockholders of Tilray Brands, Inc.</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(49,607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(1,262,923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1,213,316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(96</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(122,567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(2,186,302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2,063,735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(94</w:t>
            </w:r>
          </w:p>
        </w:tc>
        <w:tc>
          <w:tcPr>
            <w:tcW w:w="487" w:type="dxa"/>
            <w:tcBorders/>
            <w:vAlign w:val="center"/>
          </w:tcPr>
          <w:p>
            <w:pPr>
              <w:pStyle w:val="TableContents"/>
              <w:bidi w:val="0"/>
              <w:spacing w:before="0" w:after="283"/>
              <w:jc w:val="left"/>
              <w:rPr/>
            </w:pPr>
            <w:r>
              <w:rPr/>
              <w: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Non-controlling interests</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12,296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5,653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6,643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118</w:t>
            </w:r>
          </w:p>
        </w:tc>
        <w:tc>
          <w:tcPr>
            <w:tcW w:w="4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17,616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5,376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12,240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228</w:t>
            </w:r>
          </w:p>
        </w:tc>
        <w:tc>
          <w:tcPr>
            <w:tcW w:w="48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Weighted average number of common shares - basic</w:t>
            </w:r>
            <w:r>
              <w:rPr>
                <w:position w:val="8"/>
                <w:sz w:val="19"/>
              </w:rPr>
              <w:t>(1)</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115,511,367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97,795,989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17,715,378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18</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111,832,375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89,032,602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22,799,773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26</w:t>
            </w:r>
          </w:p>
        </w:tc>
        <w:tc>
          <w:tcPr>
            <w:tcW w:w="487" w:type="dxa"/>
            <w:tcBorders/>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Weighted average number of common shares - diluted</w:t>
            </w:r>
            <w:r>
              <w:rPr>
                <w:position w:val="8"/>
                <w:sz w:val="19"/>
              </w:rPr>
              <w:t>(1)</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115,511,367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97,795,989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17,715,378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w:t>
            </w:r>
          </w:p>
        </w:tc>
        <w:tc>
          <w:tcPr>
            <w:tcW w:w="4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111,832,375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89,032,602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22,799,773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w:t>
            </w:r>
          </w:p>
        </w:tc>
        <w:tc>
          <w:tcPr>
            <w:tcW w:w="48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Net loss per share - basic</w:t>
            </w:r>
            <w:r>
              <w:rPr>
                <w:position w:val="8"/>
                <w:sz w:val="19"/>
              </w:rPr>
              <w:t>(1)</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(0.43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(13.01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12.58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(97</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(1.09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(24.56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23.47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(96</w:t>
            </w:r>
          </w:p>
        </w:tc>
        <w:tc>
          <w:tcPr>
            <w:tcW w:w="487" w:type="dxa"/>
            <w:tcBorders/>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Net loss per share - diluted</w:t>
            </w:r>
            <w:r>
              <w:rPr>
                <w:position w:val="8"/>
                <w:sz w:val="19"/>
              </w:rPr>
              <w:t>(1)</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30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(0.43</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(13.01</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12.58</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(97</w:t>
            </w:r>
          </w:p>
        </w:tc>
        <w:tc>
          <w:tcPr>
            <w:tcW w:w="43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30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(1.09</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(24.56</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23.47</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(96</w:t>
            </w:r>
          </w:p>
        </w:tc>
        <w:tc>
          <w:tcPr>
            <w:tcW w:w="48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left"/>
              <w:rPr/>
            </w:pPr>
            <w:r>
              <w:rPr/>
              <w:t> </w:t>
            </w:r>
          </w:p>
        </w:tc>
      </w:tr>
      <w:tr>
        <w:trPr/>
        <w:tc>
          <w:tcPr>
            <w:tcW w:w="15049" w:type="dxa"/>
            <w:gridSpan w:val="31"/>
            <w:tcBorders/>
            <w:vAlign w:val="center"/>
          </w:tcPr>
          <w:p>
            <w:pPr>
              <w:pStyle w:val="TableContents"/>
              <w:bidi w:val="0"/>
              <w:spacing w:before="0" w:after="283"/>
              <w:jc w:val="left"/>
              <w:rPr/>
            </w:pPr>
            <w:r>
              <w:rPr/>
              <w:t>(1) - Current and prior year share amounts have been retrospectively adjusted to reflect the Reverse Stock Split, which became effective on December 2, 2025.</w:t>
            </w:r>
          </w:p>
        </w:tc>
      </w:tr>
      <w:tr>
        <w:trPr/>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911"/>
        <w:gridCol w:w="146"/>
        <w:gridCol w:w="226"/>
        <w:gridCol w:w="961"/>
        <w:gridCol w:w="181"/>
        <w:gridCol w:w="146"/>
        <w:gridCol w:w="226"/>
        <w:gridCol w:w="1141"/>
        <w:gridCol w:w="181"/>
        <w:gridCol w:w="146"/>
        <w:gridCol w:w="226"/>
        <w:gridCol w:w="1141"/>
        <w:gridCol w:w="181"/>
        <w:gridCol w:w="146"/>
        <w:gridCol w:w="817"/>
        <w:gridCol w:w="429"/>
      </w:tblGrid>
      <w:tr>
        <w:trPr/>
        <w:tc>
          <w:tcPr>
            <w:tcW w:w="10205" w:type="dxa"/>
            <w:gridSpan w:val="16"/>
            <w:tcBorders/>
            <w:vAlign w:val="center"/>
          </w:tcPr>
          <w:p>
            <w:pPr>
              <w:pStyle w:val="TableContents"/>
              <w:bidi w:val="0"/>
              <w:spacing w:before="0" w:after="283"/>
              <w:jc w:val="left"/>
              <w:rPr/>
            </w:pPr>
            <w:r>
              <w:rPr/>
              <w:t> </w:t>
            </w:r>
          </w:p>
        </w:tc>
      </w:tr>
      <w:tr>
        <w:trPr/>
        <w:tc>
          <w:tcPr>
            <w:tcW w:w="10205" w:type="dxa"/>
            <w:gridSpan w:val="16"/>
            <w:tcBorders/>
            <w:vAlign w:val="center"/>
          </w:tcPr>
          <w:p>
            <w:pPr>
              <w:pStyle w:val="TableContents"/>
              <w:bidi w:val="0"/>
              <w:spacing w:before="0" w:after="283"/>
              <w:jc w:val="left"/>
              <w:rPr/>
            </w:pPr>
            <w:r>
              <w:rPr>
                <w:rStyle w:val="StrongEmphasis"/>
              </w:rPr>
              <w:t>Condensed Consolidated Statements of Cash Flows</w:t>
            </w:r>
          </w:p>
        </w:tc>
      </w:tr>
      <w:tr>
        <w:trPr/>
        <w:tc>
          <w:tcPr>
            <w:tcW w:w="10205" w:type="dxa"/>
            <w:gridSpan w:val="16"/>
            <w:tcBorders/>
            <w:vAlign w:val="center"/>
          </w:tcPr>
          <w:p>
            <w:pPr>
              <w:pStyle w:val="TableContents"/>
              <w:bidi w:val="0"/>
              <w:spacing w:before="0" w:after="283"/>
              <w:jc w:val="left"/>
              <w:rPr/>
            </w:pPr>
            <w:r>
              <w:rPr/>
              <w:t> </w:t>
            </w:r>
          </w:p>
        </w:tc>
      </w:tr>
      <w:tr>
        <w:trPr/>
        <w:tc>
          <w:tcPr>
            <w:tcW w:w="39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62" w:type="dxa"/>
            <w:gridSpan w:val="7"/>
            <w:tcBorders/>
            <w:vAlign w:val="center"/>
          </w:tcPr>
          <w:p>
            <w:pPr>
              <w:pStyle w:val="TableContents"/>
              <w:bidi w:val="0"/>
              <w:spacing w:before="0" w:after="283"/>
              <w:jc w:val="center"/>
              <w:rPr/>
            </w:pPr>
            <w:r>
              <w:rPr>
                <w:rStyle w:val="StrongEmphasis"/>
              </w:rPr>
              <w:t>For the twelve months</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left"/>
              <w:rPr/>
            </w:pPr>
            <w:r>
              <w:rPr/>
              <w:t> </w:t>
            </w:r>
          </w:p>
        </w:tc>
      </w:tr>
      <w:tr>
        <w:trPr/>
        <w:tc>
          <w:tcPr>
            <w:tcW w:w="39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62" w:type="dxa"/>
            <w:gridSpan w:val="7"/>
            <w:tcBorders/>
            <w:vAlign w:val="center"/>
          </w:tcPr>
          <w:p>
            <w:pPr>
              <w:pStyle w:val="TableContents"/>
              <w:bidi w:val="0"/>
              <w:spacing w:before="0" w:after="283"/>
              <w:jc w:val="center"/>
              <w:rPr/>
            </w:pPr>
            <w:r>
              <w:rPr>
                <w:rStyle w:val="StrongEmphasis"/>
              </w:rPr>
              <w:t>Ended May 31,</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46" w:type="dxa"/>
            <w:gridSpan w:val="2"/>
            <w:tcBorders/>
            <w:vAlign w:val="center"/>
          </w:tcPr>
          <w:p>
            <w:pPr>
              <w:pStyle w:val="TableContents"/>
              <w:bidi w:val="0"/>
              <w:spacing w:before="0" w:after="283"/>
              <w:jc w:val="center"/>
              <w:rPr/>
            </w:pPr>
            <w:r>
              <w:rPr>
                <w:rStyle w:val="StrongEmphasis"/>
              </w:rPr>
              <w:t>% Change</w:t>
            </w:r>
          </w:p>
        </w:tc>
      </w:tr>
      <w:tr>
        <w:trPr/>
        <w:tc>
          <w:tcPr>
            <w:tcW w:w="3911"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left"/>
              <w:rPr/>
            </w:pPr>
            <w:r>
              <w:rPr/>
              <w:t> </w:t>
            </w:r>
          </w:p>
        </w:tc>
        <w:tc>
          <w:tcPr>
            <w:tcW w:w="136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left"/>
              <w:rPr/>
            </w:pPr>
            <w:r>
              <w:rPr/>
              <w:t> </w:t>
            </w:r>
          </w:p>
        </w:tc>
        <w:tc>
          <w:tcPr>
            <w:tcW w:w="2940"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r>
      <w:tr>
        <w:trPr/>
        <w:tc>
          <w:tcPr>
            <w:tcW w:w="3911" w:type="dxa"/>
            <w:tcBorders/>
            <w:vAlign w:val="center"/>
          </w:tcPr>
          <w:p>
            <w:pPr>
              <w:pStyle w:val="TableContents"/>
              <w:bidi w:val="0"/>
              <w:spacing w:before="0" w:after="283"/>
              <w:jc w:val="left"/>
              <w:rPr/>
            </w:pPr>
            <w:r>
              <w:rPr>
                <w:rStyle w:val="StrongEmphasis"/>
              </w:rPr>
              <w:t>Cash provided by (used in) operating activities:</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 </w:t>
            </w:r>
          </w:p>
        </w:tc>
      </w:tr>
      <w:tr>
        <w:trPr/>
        <w:tc>
          <w:tcPr>
            <w:tcW w:w="3911" w:type="dxa"/>
            <w:tcBorders/>
            <w:vAlign w:val="center"/>
          </w:tcPr>
          <w:p>
            <w:pPr>
              <w:pStyle w:val="TableContents"/>
              <w:bidi w:val="0"/>
              <w:spacing w:before="0" w:after="283"/>
              <w:jc w:val="left"/>
              <w:rPr/>
            </w:pPr>
            <w:r>
              <w:rPr/>
              <w:t>Net loss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(105,158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(2,181,356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2,076,198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(95</w:t>
            </w:r>
          </w:p>
        </w:tc>
        <w:tc>
          <w:tcPr>
            <w:tcW w:w="429" w:type="dxa"/>
            <w:tcBorders/>
            <w:vAlign w:val="center"/>
          </w:tcPr>
          <w:p>
            <w:pPr>
              <w:pStyle w:val="TableContents"/>
              <w:bidi w:val="0"/>
              <w:spacing w:before="0" w:after="283"/>
              <w:jc w:val="left"/>
              <w:rPr/>
            </w:pPr>
            <w:r>
              <w:rPr/>
              <w:t>)%</w:t>
            </w:r>
          </w:p>
        </w:tc>
      </w:tr>
      <w:tr>
        <w:trPr/>
        <w:tc>
          <w:tcPr>
            <w:tcW w:w="3911" w:type="dxa"/>
            <w:tcBorders/>
            <w:vAlign w:val="center"/>
          </w:tcPr>
          <w:p>
            <w:pPr>
              <w:pStyle w:val="TableContents"/>
              <w:bidi w:val="0"/>
              <w:spacing w:before="0" w:after="283"/>
              <w:jc w:val="left"/>
              <w:rPr/>
            </w:pPr>
            <w:r>
              <w:rPr/>
              <w:t>Adjustments for:</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Income tax expense (recovery),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17,098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(121,017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138,115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(114</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Unrealized foreign exchange (gain) loss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(9,543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(18,218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8,675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(48</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67,601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133,490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(65,889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(49</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Loss (gain) on sale of capital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(509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928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(1,437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(155</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Accretion of convertible debt discount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7,914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10,863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(2,949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(27</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Impairments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2,096,139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(2,096,139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(100</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Other than temporary change in fair value of convertible notes receivable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21,661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(21,661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(100</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Unrealized loss on digital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NM</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Other non-cash items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1,518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(2,203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3,721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(169</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45,940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24,289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21,651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89</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Loss on long-term investments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4,533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5,550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(1,017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(18</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Loss (gain) on derivative instruments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3,495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(2,161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5,656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(262</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Change in fair value of contingent consideration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(15,000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NM</w:t>
            </w:r>
          </w:p>
        </w:tc>
      </w:tr>
      <w:tr>
        <w:trPr/>
        <w:tc>
          <w:tcPr>
            <w:tcW w:w="3911" w:type="dxa"/>
            <w:tcBorders/>
            <w:vAlign w:val="center"/>
          </w:tcPr>
          <w:p>
            <w:pPr>
              <w:pStyle w:val="TableContents"/>
              <w:bidi w:val="0"/>
              <w:spacing w:before="0" w:after="283"/>
              <w:jc w:val="left"/>
              <w:rPr/>
            </w:pPr>
            <w:r>
              <w:rPr/>
              <w:t>Change in non-cash working capital:</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Accounts receivable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(66,423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(17,801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(48,622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273</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Prepaids and other current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(26,898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(8,264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(18,634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225</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Inventory</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(13,439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(13,561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Accounts payable and accrued liabilities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19,401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(22,938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42,339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(185</w:t>
            </w:r>
          </w:p>
        </w:tc>
        <w:tc>
          <w:tcPr>
            <w:tcW w:w="429" w:type="dxa"/>
            <w:tcBorders/>
            <w:vAlign w:val="center"/>
          </w:tcPr>
          <w:p>
            <w:pPr>
              <w:pStyle w:val="TableContents"/>
              <w:bidi w:val="0"/>
              <w:spacing w:before="0" w:after="283"/>
              <w:jc w:val="left"/>
              <w:rPr/>
            </w:pPr>
            <w:r>
              <w:rPr/>
              <w:t>)%</w:t>
            </w:r>
          </w:p>
        </w:tc>
      </w:tr>
      <w:tr>
        <w:trPr/>
        <w:tc>
          <w:tcPr>
            <w:tcW w:w="3911" w:type="dxa"/>
            <w:tcBorders/>
            <w:vAlign w:val="center"/>
          </w:tcPr>
          <w:p>
            <w:pPr>
              <w:pStyle w:val="TableContents"/>
              <w:bidi w:val="0"/>
              <w:spacing w:before="0" w:after="283"/>
              <w:jc w:val="left"/>
              <w:rPr/>
            </w:pPr>
            <w:r>
              <w:rPr/>
              <w:t>Net cash used in operating activities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(69,144</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(94,599</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25,455</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(27</w:t>
            </w:r>
          </w:p>
        </w:tc>
        <w:tc>
          <w:tcPr>
            <w:tcW w:w="4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3911" w:type="dxa"/>
            <w:tcBorders/>
            <w:vAlign w:val="center"/>
          </w:tcPr>
          <w:p>
            <w:pPr>
              <w:pStyle w:val="TableContents"/>
              <w:bidi w:val="0"/>
              <w:spacing w:before="0" w:after="283"/>
              <w:jc w:val="left"/>
              <w:rPr/>
            </w:pPr>
            <w:r>
              <w:rPr>
                <w:rStyle w:val="StrongEmphasis"/>
              </w:rPr>
              <w:t>Cash provided by (used in) investing activities:</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Investment in capital and intangible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(32,987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(32,917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(70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0</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Proceeds from disposal of capital and intangible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3,507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6,824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(3,317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(49</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Investment in digital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NM</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Sale (purchase) of marketable securities,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29,408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(2,515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31,923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(1269</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Investment in long-term investments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(3,595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(3,595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NM</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Proceeds from long-term investments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2,566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2,566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NM</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Business acquisitions, net of cash acquired</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(53,699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(18,110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(35,589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197</w:t>
            </w:r>
          </w:p>
        </w:tc>
        <w:tc>
          <w:tcPr>
            <w:tcW w:w="429" w:type="dxa"/>
            <w:tcBorders/>
            <w:vAlign w:val="center"/>
          </w:tcPr>
          <w:p>
            <w:pPr>
              <w:pStyle w:val="TableContents"/>
              <w:bidi w:val="0"/>
              <w:spacing w:before="0" w:after="283"/>
              <w:jc w:val="left"/>
              <w:rPr/>
            </w:pPr>
            <w:r>
              <w:rPr/>
              <w:t>%</w:t>
            </w:r>
          </w:p>
        </w:tc>
      </w:tr>
      <w:tr>
        <w:trPr/>
        <w:tc>
          <w:tcPr>
            <w:tcW w:w="3911" w:type="dxa"/>
            <w:tcBorders/>
            <w:vAlign w:val="center"/>
          </w:tcPr>
          <w:p>
            <w:pPr>
              <w:pStyle w:val="TableContents"/>
              <w:bidi w:val="0"/>
              <w:spacing w:before="0" w:after="283"/>
              <w:jc w:val="left"/>
              <w:rPr/>
            </w:pPr>
            <w:r>
              <w:rPr/>
              <w:t>Net cash provided by (used in) investing activities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(55,800</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(46,718</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(9,082</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w:t>
            </w:r>
          </w:p>
        </w:tc>
        <w:tc>
          <w:tcPr>
            <w:tcW w:w="4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3911" w:type="dxa"/>
            <w:tcBorders/>
            <w:vAlign w:val="center"/>
          </w:tcPr>
          <w:p>
            <w:pPr>
              <w:pStyle w:val="TableContents"/>
              <w:bidi w:val="0"/>
              <w:spacing w:before="0" w:after="283"/>
              <w:jc w:val="left"/>
              <w:rPr/>
            </w:pPr>
            <w:r>
              <w:rPr>
                <w:rStyle w:val="StrongEmphasis"/>
              </w:rPr>
              <w:t>Cash provided by (used in) financing activities:</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Share capital issued, net of cash issuance costs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157,974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161,188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(3,214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(2</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Cash paid in lieu of fractional shares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(159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NM</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Proceeds from warrants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2,367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2,367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NM</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Proceeds from long-term debt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3,450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(3,450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(100</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Repayment of long-term debt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(25,353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(15,506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(9,847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64</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Repayment of convertible debt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(330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(100</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Repayment of lease liabilities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(5,429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(2,900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(2,529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87</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Net increase (decrease) in bank indebtedness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1,594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(10,852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12,446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(115</w:t>
            </w:r>
          </w:p>
        </w:tc>
        <w:tc>
          <w:tcPr>
            <w:tcW w:w="429" w:type="dxa"/>
            <w:tcBorders/>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Dividend paid to NCI</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(1,544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1,544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(100</w:t>
            </w:r>
          </w:p>
        </w:tc>
        <w:tc>
          <w:tcPr>
            <w:tcW w:w="429" w:type="dxa"/>
            <w:tcBorders/>
            <w:vAlign w:val="center"/>
          </w:tcPr>
          <w:p>
            <w:pPr>
              <w:pStyle w:val="TableContents"/>
              <w:bidi w:val="0"/>
              <w:spacing w:before="0" w:after="283"/>
              <w:jc w:val="left"/>
              <w:rPr/>
            </w:pPr>
            <w:r>
              <w:rPr/>
              <w:t>)%</w:t>
            </w:r>
          </w:p>
        </w:tc>
      </w:tr>
      <w:tr>
        <w:trPr/>
        <w:tc>
          <w:tcPr>
            <w:tcW w:w="3911" w:type="dxa"/>
            <w:tcBorders/>
            <w:vAlign w:val="center"/>
          </w:tcPr>
          <w:p>
            <w:pPr>
              <w:pStyle w:val="TableContents"/>
              <w:bidi w:val="0"/>
              <w:spacing w:before="0" w:after="283"/>
              <w:jc w:val="left"/>
              <w:rPr/>
            </w:pPr>
            <w:r>
              <w:rPr/>
              <w:t>Net cash provided by (used in) financing activities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130,994</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133,506</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(2,512</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w:t>
            </w:r>
          </w:p>
        </w:tc>
        <w:tc>
          <w:tcPr>
            <w:tcW w:w="4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Effect of foreign exchange on cash and cash equivalents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1,626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1,137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43</w:t>
            </w:r>
          </w:p>
        </w:tc>
        <w:tc>
          <w:tcPr>
            <w:tcW w:w="429" w:type="dxa"/>
            <w:tcBorders/>
            <w:vAlign w:val="center"/>
          </w:tcPr>
          <w:p>
            <w:pPr>
              <w:pStyle w:val="TableContents"/>
              <w:bidi w:val="0"/>
              <w:spacing w:before="0" w:after="283"/>
              <w:jc w:val="left"/>
              <w:rPr/>
            </w:pPr>
            <w:r>
              <w:rPr/>
              <w:t>%</w:t>
            </w:r>
          </w:p>
        </w:tc>
      </w:tr>
      <w:tr>
        <w:trPr/>
        <w:tc>
          <w:tcPr>
            <w:tcW w:w="3911" w:type="dxa"/>
            <w:tcBorders/>
            <w:vAlign w:val="center"/>
          </w:tcPr>
          <w:p>
            <w:pPr>
              <w:pStyle w:val="TableContents"/>
              <w:bidi w:val="0"/>
              <w:spacing w:before="0" w:after="283"/>
              <w:jc w:val="left"/>
              <w:rPr/>
            </w:pPr>
            <w:r>
              <w:rPr/>
              <w:t>Net decrease in cash and cash equivalents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7,676</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(6,674</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14,350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(215</w:t>
            </w:r>
          </w:p>
        </w:tc>
        <w:tc>
          <w:tcPr>
            <w:tcW w:w="42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3911" w:type="dxa"/>
            <w:tcBorders/>
            <w:vAlign w:val="center"/>
          </w:tcPr>
          <w:p>
            <w:pPr>
              <w:pStyle w:val="TableContents"/>
              <w:bidi w:val="0"/>
              <w:spacing w:before="0" w:after="283"/>
              <w:jc w:val="left"/>
              <w:rPr/>
            </w:pPr>
            <w:r>
              <w:rPr/>
              <w:t>Cash and cash equivalents, beginning of year</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221,666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228,340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(6,674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(3</w:t>
            </w:r>
          </w:p>
        </w:tc>
        <w:tc>
          <w:tcPr>
            <w:tcW w:w="429" w:type="dxa"/>
            <w:tcBorders/>
            <w:vAlign w:val="center"/>
          </w:tcPr>
          <w:p>
            <w:pPr>
              <w:pStyle w:val="TableContents"/>
              <w:bidi w:val="0"/>
              <w:spacing w:before="0" w:after="283"/>
              <w:jc w:val="left"/>
              <w:rPr/>
            </w:pPr>
            <w:r>
              <w:rPr/>
              <w:t>)%</w:t>
            </w:r>
          </w:p>
        </w:tc>
      </w:tr>
      <w:tr>
        <w:trPr/>
        <w:tc>
          <w:tcPr>
            <w:tcW w:w="3911" w:type="dxa"/>
            <w:tcBorders/>
            <w:vAlign w:val="center"/>
          </w:tcPr>
          <w:p>
            <w:pPr>
              <w:pStyle w:val="TableContents"/>
              <w:bidi w:val="0"/>
              <w:spacing w:before="0" w:after="283"/>
              <w:jc w:val="left"/>
              <w:rPr/>
            </w:pPr>
            <w:r>
              <w:rPr>
                <w:rStyle w:val="StrongEmphasis"/>
              </w:rPr>
              <w:t>Cash and cash equivalents, end of year</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229,342</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221,666</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7,676</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w:t>
            </w:r>
          </w:p>
        </w:tc>
        <w:tc>
          <w:tcPr>
            <w:tcW w:w="4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391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 </w:t>
            </w:r>
          </w:p>
        </w:tc>
      </w:tr>
    </w:tbl>
    <w:p>
      <w:pPr>
        <w:pStyle w:val="TextBody"/>
        <w:bidi w:val="0"/>
        <w:spacing w:before="0" w:after="283"/>
        <w:jc w:val="left"/>
        <w:rPr/>
      </w:pPr>
      <w:r>
        <w:rPr/>
      </w:r>
    </w:p>
    <w:tbl>
      <w:tblPr>
        <w:tblW w:w="11640" w:type="dxa"/>
        <w:jc w:val="left"/>
        <w:tblInd w:w="0" w:type="dxa"/>
        <w:tblLayout w:type="fixed"/>
        <w:tblCellMar>
          <w:top w:w="28" w:type="dxa"/>
          <w:left w:w="28" w:type="dxa"/>
          <w:bottom w:w="28" w:type="dxa"/>
          <w:right w:w="28" w:type="dxa"/>
        </w:tblCellMar>
      </w:tblPr>
      <w:tblGrid>
        <w:gridCol w:w="1291"/>
        <w:gridCol w:w="146"/>
        <w:gridCol w:w="226"/>
        <w:gridCol w:w="886"/>
        <w:gridCol w:w="181"/>
        <w:gridCol w:w="146"/>
        <w:gridCol w:w="602"/>
        <w:gridCol w:w="389"/>
        <w:gridCol w:w="146"/>
        <w:gridCol w:w="226"/>
        <w:gridCol w:w="886"/>
        <w:gridCol w:w="181"/>
        <w:gridCol w:w="146"/>
        <w:gridCol w:w="602"/>
        <w:gridCol w:w="389"/>
        <w:gridCol w:w="146"/>
        <w:gridCol w:w="226"/>
        <w:gridCol w:w="886"/>
        <w:gridCol w:w="181"/>
        <w:gridCol w:w="146"/>
        <w:gridCol w:w="602"/>
        <w:gridCol w:w="389"/>
        <w:gridCol w:w="146"/>
        <w:gridCol w:w="226"/>
        <w:gridCol w:w="886"/>
        <w:gridCol w:w="181"/>
        <w:gridCol w:w="146"/>
        <w:gridCol w:w="594"/>
        <w:gridCol w:w="442"/>
      </w:tblGrid>
      <w:tr>
        <w:trPr/>
        <w:tc>
          <w:tcPr>
            <w:tcW w:w="11640" w:type="dxa"/>
            <w:gridSpan w:val="29"/>
            <w:tcBorders/>
            <w:vAlign w:val="center"/>
          </w:tcPr>
          <w:p>
            <w:pPr>
              <w:pStyle w:val="TableContents"/>
              <w:bidi w:val="0"/>
              <w:spacing w:before="0" w:after="283"/>
              <w:jc w:val="left"/>
              <w:rPr/>
            </w:pPr>
            <w:r>
              <w:rPr/>
              <w:t> </w:t>
            </w:r>
          </w:p>
        </w:tc>
      </w:tr>
      <w:tr>
        <w:trPr/>
        <w:tc>
          <w:tcPr>
            <w:tcW w:w="11640" w:type="dxa"/>
            <w:gridSpan w:val="29"/>
            <w:tcBorders/>
            <w:vAlign w:val="center"/>
          </w:tcPr>
          <w:p>
            <w:pPr>
              <w:pStyle w:val="TableContents"/>
              <w:bidi w:val="0"/>
              <w:spacing w:before="0" w:after="283"/>
              <w:jc w:val="left"/>
              <w:rPr/>
            </w:pPr>
            <w:r>
              <w:rPr>
                <w:rStyle w:val="StrongEmphasis"/>
              </w:rPr>
              <w:t>Net Revenue by Operating Segment</w:t>
            </w:r>
          </w:p>
        </w:tc>
      </w:tr>
      <w:tr>
        <w:trPr/>
        <w:tc>
          <w:tcPr>
            <w:tcW w:w="11640" w:type="dxa"/>
            <w:gridSpan w:val="29"/>
            <w:tcBorders/>
            <w:vAlign w:val="center"/>
          </w:tcPr>
          <w:p>
            <w:pPr>
              <w:pStyle w:val="TableContents"/>
              <w:bidi w:val="0"/>
              <w:spacing w:before="0" w:after="283"/>
              <w:jc w:val="left"/>
              <w:rPr/>
            </w:pPr>
            <w:r>
              <w:rPr/>
              <w:t> </w:t>
            </w:r>
          </w:p>
        </w:tc>
      </w:tr>
      <w:tr>
        <w:trPr/>
        <w:tc>
          <w:tcPr>
            <w:tcW w:w="12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left"/>
              <w:rPr/>
            </w:pPr>
            <w:r>
              <w:rPr/>
              <w:t> </w:t>
            </w:r>
          </w:p>
        </w:tc>
        <w:tc>
          <w:tcPr>
            <w:tcW w:w="991"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vAlign w:val="center"/>
          </w:tcPr>
          <w:p>
            <w:pPr>
              <w:pStyle w:val="TableContents"/>
              <w:bidi w:val="0"/>
              <w:spacing w:before="0" w:after="283"/>
              <w:jc w:val="center"/>
              <w:rPr/>
            </w:pPr>
            <w:r>
              <w:rPr>
                <w:rStyle w:val="StrongEmphasis"/>
              </w:rPr>
              <w:t>For the year ended</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year ended</w:t>
            </w:r>
          </w:p>
        </w:tc>
        <w:tc>
          <w:tcPr>
            <w:tcW w:w="146" w:type="dxa"/>
            <w:tcBorders/>
            <w:vAlign w:val="center"/>
          </w:tcPr>
          <w:p>
            <w:pPr>
              <w:pStyle w:val="TableContents"/>
              <w:bidi w:val="0"/>
              <w:spacing w:before="0" w:after="283"/>
              <w:jc w:val="right"/>
              <w:rPr/>
            </w:pPr>
            <w:r>
              <w:rPr/>
              <w:t> </w:t>
            </w:r>
          </w:p>
        </w:tc>
        <w:tc>
          <w:tcPr>
            <w:tcW w:w="1036" w:type="dxa"/>
            <w:gridSpan w:val="2"/>
            <w:tcBorders/>
            <w:vAlign w:val="center"/>
          </w:tcPr>
          <w:p>
            <w:pPr>
              <w:pStyle w:val="TableContents"/>
              <w:bidi w:val="0"/>
              <w:spacing w:before="0" w:after="283"/>
              <w:jc w:val="left"/>
              <w:rPr/>
            </w:pPr>
            <w:r>
              <w:rPr/>
              <w:t> </w:t>
            </w:r>
          </w:p>
        </w:tc>
      </w:tr>
      <w:tr>
        <w:trPr/>
        <w:tc>
          <w:tcPr>
            <w:tcW w:w="1291"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31, 2026</w:t>
            </w:r>
          </w:p>
        </w:tc>
        <w:tc>
          <w:tcPr>
            <w:tcW w:w="146" w:type="dxa"/>
            <w:tcBorders/>
            <w:vAlign w:val="center"/>
          </w:tcPr>
          <w:p>
            <w:pPr>
              <w:pStyle w:val="TableContents"/>
              <w:bidi w:val="0"/>
              <w:spacing w:before="0" w:after="283"/>
              <w:jc w:val="center"/>
              <w:rPr/>
            </w:pPr>
            <w:r>
              <w:rPr/>
              <w:t> </w:t>
            </w:r>
          </w:p>
        </w:tc>
        <w:tc>
          <w:tcPr>
            <w:tcW w:w="9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31, 2025</w:t>
            </w:r>
          </w:p>
        </w:tc>
        <w:tc>
          <w:tcPr>
            <w:tcW w:w="146" w:type="dxa"/>
            <w:tcBorders/>
            <w:vAlign w:val="center"/>
          </w:tcPr>
          <w:p>
            <w:pPr>
              <w:pStyle w:val="TableContents"/>
              <w:bidi w:val="0"/>
              <w:spacing w:before="0" w:after="283"/>
              <w:jc w:val="center"/>
              <w:rPr/>
            </w:pPr>
            <w:r>
              <w:rPr/>
              <w:t> </w:t>
            </w:r>
          </w:p>
        </w:tc>
        <w:tc>
          <w:tcPr>
            <w:tcW w:w="9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c>
          <w:tcPr>
            <w:tcW w:w="146" w:type="dxa"/>
            <w:tcBorders/>
            <w:vAlign w:val="center"/>
          </w:tcPr>
          <w:p>
            <w:pPr>
              <w:pStyle w:val="TableContents"/>
              <w:bidi w:val="0"/>
              <w:spacing w:before="0" w:after="283"/>
              <w:jc w:val="left"/>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31, 2026</w:t>
            </w:r>
          </w:p>
        </w:tc>
        <w:tc>
          <w:tcPr>
            <w:tcW w:w="146" w:type="dxa"/>
            <w:tcBorders/>
            <w:vAlign w:val="center"/>
          </w:tcPr>
          <w:p>
            <w:pPr>
              <w:pStyle w:val="TableContents"/>
              <w:bidi w:val="0"/>
              <w:spacing w:before="0" w:after="283"/>
              <w:jc w:val="center"/>
              <w:rPr/>
            </w:pPr>
            <w:r>
              <w:rPr/>
              <w:t> </w:t>
            </w:r>
          </w:p>
        </w:tc>
        <w:tc>
          <w:tcPr>
            <w:tcW w:w="9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31, 2025</w:t>
            </w:r>
          </w:p>
        </w:tc>
        <w:tc>
          <w:tcPr>
            <w:tcW w:w="146" w:type="dxa"/>
            <w:tcBorders/>
            <w:vAlign w:val="center"/>
          </w:tcPr>
          <w:p>
            <w:pPr>
              <w:pStyle w:val="TableContents"/>
              <w:bidi w:val="0"/>
              <w:spacing w:before="0" w:after="283"/>
              <w:jc w:val="center"/>
              <w:rPr/>
            </w:pPr>
            <w:r>
              <w:rPr/>
              <w:t> </w:t>
            </w:r>
          </w:p>
        </w:tc>
        <w:tc>
          <w:tcPr>
            <w:tcW w:w="103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r>
      <w:tr>
        <w:trPr/>
        <w:tc>
          <w:tcPr>
            <w:tcW w:w="1291" w:type="dxa"/>
            <w:tcBorders/>
            <w:vAlign w:val="center"/>
          </w:tcPr>
          <w:p>
            <w:pPr>
              <w:pStyle w:val="TableContents"/>
              <w:bidi w:val="0"/>
              <w:spacing w:before="0" w:after="283"/>
              <w:jc w:val="left"/>
              <w:rPr/>
            </w:pPr>
            <w:r>
              <w:rPr/>
              <w:t>Beverage business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105,596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38</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65,621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29</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253,976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28</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240,595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29</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Cannabis business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71,471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25</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67,826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30</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268,342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29</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249,001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30</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Distribution business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84,958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30</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74,053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33</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327,244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36</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271,228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33</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Wellness business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19,689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7</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17,035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8</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65,892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7</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60,485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8</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Total net revenue</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281,714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224,535</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915,454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821,309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44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36" w:type="dxa"/>
            <w:gridSpan w:val="2"/>
            <w:tcBorders/>
            <w:vAlign w:val="center"/>
          </w:tcPr>
          <w:p>
            <w:pPr>
              <w:pStyle w:val="TableContents"/>
              <w:bidi w:val="0"/>
              <w:spacing w:before="0" w:after="283"/>
              <w:jc w:val="center"/>
              <w:rPr/>
            </w:pPr>
            <w:r>
              <w:rPr/>
              <w:t> </w:t>
            </w:r>
          </w:p>
        </w:tc>
      </w:tr>
      <w:tr>
        <w:trPr/>
        <w:tc>
          <w:tcPr>
            <w:tcW w:w="11640" w:type="dxa"/>
            <w:gridSpan w:val="29"/>
            <w:tcBorders/>
            <w:vAlign w:val="center"/>
          </w:tcPr>
          <w:p>
            <w:pPr>
              <w:pStyle w:val="TableContents"/>
              <w:bidi w:val="0"/>
              <w:spacing w:before="0" w:after="283"/>
              <w:jc w:val="left"/>
              <w:rPr/>
            </w:pPr>
            <w:r>
              <w:rPr>
                <w:rStyle w:val="StrongEmphasis"/>
              </w:rPr>
              <w:t>Net Revenue by Operating Segment in Constant Currency</w:t>
            </w:r>
          </w:p>
        </w:tc>
      </w:tr>
      <w:tr>
        <w:trPr/>
        <w:tc>
          <w:tcPr>
            <w:tcW w:w="11640" w:type="dxa"/>
            <w:gridSpan w:val="29"/>
            <w:tcBorders/>
            <w:vAlign w:val="center"/>
          </w:tcPr>
          <w:p>
            <w:pPr>
              <w:pStyle w:val="TableContents"/>
              <w:bidi w:val="0"/>
              <w:spacing w:before="0" w:after="283"/>
              <w:jc w:val="left"/>
              <w:rPr/>
            </w:pPr>
            <w:r>
              <w:rPr/>
              <w:t> </w:t>
            </w:r>
          </w:p>
        </w:tc>
      </w:tr>
      <w:tr>
        <w:trPr/>
        <w:tc>
          <w:tcPr>
            <w:tcW w:w="12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left"/>
              <w:rPr/>
            </w:pPr>
            <w:r>
              <w:rPr/>
              <w:t> </w:t>
            </w:r>
          </w:p>
        </w:tc>
        <w:tc>
          <w:tcPr>
            <w:tcW w:w="99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vAlign w:val="center"/>
          </w:tcPr>
          <w:p>
            <w:pPr>
              <w:pStyle w:val="TableContents"/>
              <w:bidi w:val="0"/>
              <w:spacing w:before="0" w:after="283"/>
              <w:jc w:val="center"/>
              <w:rPr/>
            </w:pPr>
            <w:r>
              <w:rPr>
                <w:rStyle w:val="StrongEmphasis"/>
              </w:rPr>
              <w:t>For the year ended</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year ended</w:t>
            </w:r>
          </w:p>
        </w:tc>
        <w:tc>
          <w:tcPr>
            <w:tcW w:w="146" w:type="dxa"/>
            <w:tcBorders/>
            <w:vAlign w:val="center"/>
          </w:tcPr>
          <w:p>
            <w:pPr>
              <w:pStyle w:val="TableContents"/>
              <w:bidi w:val="0"/>
              <w:spacing w:before="0" w:after="283"/>
              <w:jc w:val="right"/>
              <w:rPr/>
            </w:pPr>
            <w:r>
              <w:rPr/>
              <w:t> </w:t>
            </w:r>
          </w:p>
        </w:tc>
        <w:tc>
          <w:tcPr>
            <w:tcW w:w="1036" w:type="dxa"/>
            <w:gridSpan w:val="2"/>
            <w:tcBorders/>
            <w:vAlign w:val="center"/>
          </w:tcPr>
          <w:p>
            <w:pPr>
              <w:pStyle w:val="TableContents"/>
              <w:bidi w:val="0"/>
              <w:spacing w:before="0" w:after="283"/>
              <w:jc w:val="center"/>
              <w:rPr/>
            </w:pPr>
            <w:r>
              <w:rPr/>
              <w:t> </w:t>
            </w:r>
          </w:p>
        </w:tc>
      </w:tr>
      <w:tr>
        <w:trPr/>
        <w:tc>
          <w:tcPr>
            <w:tcW w:w="12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May 31, 2026</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May 31, 2025</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vAlign w:val="center"/>
          </w:tcPr>
          <w:p>
            <w:pPr>
              <w:pStyle w:val="TableContents"/>
              <w:bidi w:val="0"/>
              <w:spacing w:before="0" w:after="283"/>
              <w:jc w:val="center"/>
              <w:rPr/>
            </w:pPr>
            <w:r>
              <w:rPr>
                <w:rStyle w:val="StrongEmphasis"/>
              </w:rPr>
              <w:t>May 31, 2026</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May 31, 2025</w:t>
            </w:r>
          </w:p>
        </w:tc>
        <w:tc>
          <w:tcPr>
            <w:tcW w:w="146" w:type="dxa"/>
            <w:tcBorders/>
            <w:vAlign w:val="center"/>
          </w:tcPr>
          <w:p>
            <w:pPr>
              <w:pStyle w:val="TableContents"/>
              <w:bidi w:val="0"/>
              <w:spacing w:before="0" w:after="283"/>
              <w:jc w:val="right"/>
              <w:rPr/>
            </w:pPr>
            <w:r>
              <w:rPr/>
              <w:t> </w:t>
            </w:r>
          </w:p>
        </w:tc>
        <w:tc>
          <w:tcPr>
            <w:tcW w:w="1036" w:type="dxa"/>
            <w:gridSpan w:val="2"/>
            <w:tcBorders/>
            <w:vAlign w:val="center"/>
          </w:tcPr>
          <w:p>
            <w:pPr>
              <w:pStyle w:val="TableContents"/>
              <w:bidi w:val="0"/>
              <w:spacing w:before="0" w:after="283"/>
              <w:jc w:val="center"/>
              <w:rPr/>
            </w:pPr>
            <w:r>
              <w:rPr/>
              <w:t> </w:t>
            </w:r>
          </w:p>
        </w:tc>
      </w:tr>
      <w:tr>
        <w:trPr/>
        <w:tc>
          <w:tcPr>
            <w:tcW w:w="1291"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reported in constant currency</w:t>
            </w:r>
          </w:p>
        </w:tc>
        <w:tc>
          <w:tcPr>
            <w:tcW w:w="146" w:type="dxa"/>
            <w:tcBorders/>
            <w:vAlign w:val="center"/>
          </w:tcPr>
          <w:p>
            <w:pPr>
              <w:pStyle w:val="TableContents"/>
              <w:bidi w:val="0"/>
              <w:spacing w:before="0" w:after="283"/>
              <w:jc w:val="center"/>
              <w:rPr/>
            </w:pPr>
            <w:r>
              <w:rPr/>
              <w:t> </w:t>
            </w:r>
          </w:p>
        </w:tc>
        <w:tc>
          <w:tcPr>
            <w:tcW w:w="9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reported in constant currency</w:t>
            </w:r>
          </w:p>
        </w:tc>
        <w:tc>
          <w:tcPr>
            <w:tcW w:w="146" w:type="dxa"/>
            <w:tcBorders/>
            <w:vAlign w:val="center"/>
          </w:tcPr>
          <w:p>
            <w:pPr>
              <w:pStyle w:val="TableContents"/>
              <w:bidi w:val="0"/>
              <w:spacing w:before="0" w:after="283"/>
              <w:jc w:val="center"/>
              <w:rPr/>
            </w:pPr>
            <w:r>
              <w:rPr/>
              <w:t> </w:t>
            </w:r>
          </w:p>
        </w:tc>
        <w:tc>
          <w:tcPr>
            <w:tcW w:w="9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c>
          <w:tcPr>
            <w:tcW w:w="146" w:type="dxa"/>
            <w:tcBorders/>
            <w:vAlign w:val="center"/>
          </w:tcPr>
          <w:p>
            <w:pPr>
              <w:pStyle w:val="TableContents"/>
              <w:bidi w:val="0"/>
              <w:spacing w:before="0" w:after="283"/>
              <w:jc w:val="left"/>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reported in constant currency</w:t>
            </w:r>
          </w:p>
        </w:tc>
        <w:tc>
          <w:tcPr>
            <w:tcW w:w="146" w:type="dxa"/>
            <w:tcBorders/>
            <w:vAlign w:val="center"/>
          </w:tcPr>
          <w:p>
            <w:pPr>
              <w:pStyle w:val="TableContents"/>
              <w:bidi w:val="0"/>
              <w:spacing w:before="0" w:after="283"/>
              <w:jc w:val="center"/>
              <w:rPr/>
            </w:pPr>
            <w:r>
              <w:rPr/>
              <w:t> </w:t>
            </w:r>
          </w:p>
        </w:tc>
        <w:tc>
          <w:tcPr>
            <w:tcW w:w="9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reported in constant currency</w:t>
            </w:r>
          </w:p>
        </w:tc>
        <w:tc>
          <w:tcPr>
            <w:tcW w:w="146" w:type="dxa"/>
            <w:tcBorders/>
            <w:vAlign w:val="center"/>
          </w:tcPr>
          <w:p>
            <w:pPr>
              <w:pStyle w:val="TableContents"/>
              <w:bidi w:val="0"/>
              <w:spacing w:before="0" w:after="283"/>
              <w:jc w:val="center"/>
              <w:rPr/>
            </w:pPr>
            <w:r>
              <w:rPr/>
              <w:t> </w:t>
            </w:r>
          </w:p>
        </w:tc>
        <w:tc>
          <w:tcPr>
            <w:tcW w:w="103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r>
      <w:tr>
        <w:trPr/>
        <w:tc>
          <w:tcPr>
            <w:tcW w:w="1291" w:type="dxa"/>
            <w:tcBorders/>
            <w:vAlign w:val="center"/>
          </w:tcPr>
          <w:p>
            <w:pPr>
              <w:pStyle w:val="TableContents"/>
              <w:bidi w:val="0"/>
              <w:spacing w:before="0" w:after="283"/>
              <w:jc w:val="left"/>
              <w:rPr/>
            </w:pPr>
            <w:r>
              <w:rPr/>
              <w:t>Beverage business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104,513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38</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65,621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29</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252,893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29</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240,595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29</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Cannabis business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68,981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25</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67,826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30</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260,773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30</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249,001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30</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Distribution business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81,092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30</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74,053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33</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304,728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34</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271,228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33</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Wellness business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19,444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7</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17,035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8</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65,510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7</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60,485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8</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Total net revenue</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274,030</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224,535</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883,904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821,309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44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36" w:type="dxa"/>
            <w:gridSpan w:val="2"/>
            <w:tcBorders/>
            <w:vAlign w:val="center"/>
          </w:tcPr>
          <w:p>
            <w:pPr>
              <w:pStyle w:val="TableContents"/>
              <w:bidi w:val="0"/>
              <w:spacing w:before="0" w:after="283"/>
              <w:jc w:val="center"/>
              <w:rPr/>
            </w:pPr>
            <w:r>
              <w:rPr/>
              <w:t> </w:t>
            </w:r>
          </w:p>
        </w:tc>
      </w:tr>
      <w:tr>
        <w:trPr/>
        <w:tc>
          <w:tcPr>
            <w:tcW w:w="11640" w:type="dxa"/>
            <w:gridSpan w:val="29"/>
            <w:tcBorders/>
            <w:vAlign w:val="center"/>
          </w:tcPr>
          <w:p>
            <w:pPr>
              <w:pStyle w:val="TableContents"/>
              <w:bidi w:val="0"/>
              <w:spacing w:before="0" w:after="283"/>
              <w:jc w:val="left"/>
              <w:rPr/>
            </w:pPr>
            <w:r>
              <w:rPr>
                <w:rStyle w:val="StrongEmphasis"/>
              </w:rPr>
              <w:t>Net Cannabis Revenue by Market Channel</w:t>
            </w:r>
          </w:p>
        </w:tc>
      </w:tr>
      <w:tr>
        <w:trPr/>
        <w:tc>
          <w:tcPr>
            <w:tcW w:w="11640" w:type="dxa"/>
            <w:gridSpan w:val="29"/>
            <w:tcBorders/>
            <w:vAlign w:val="center"/>
          </w:tcPr>
          <w:p>
            <w:pPr>
              <w:pStyle w:val="TableContents"/>
              <w:bidi w:val="0"/>
              <w:spacing w:before="0" w:after="283"/>
              <w:jc w:val="left"/>
              <w:rPr/>
            </w:pPr>
            <w:r>
              <w:rPr/>
              <w:t> </w:t>
            </w:r>
          </w:p>
        </w:tc>
      </w:tr>
      <w:tr>
        <w:trPr/>
        <w:tc>
          <w:tcPr>
            <w:tcW w:w="12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left"/>
              <w:rPr/>
            </w:pPr>
            <w:r>
              <w:rPr/>
              <w:t> </w:t>
            </w:r>
          </w:p>
        </w:tc>
        <w:tc>
          <w:tcPr>
            <w:tcW w:w="991"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year ended</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year ended</w:t>
            </w:r>
          </w:p>
        </w:tc>
        <w:tc>
          <w:tcPr>
            <w:tcW w:w="146" w:type="dxa"/>
            <w:tcBorders/>
            <w:vAlign w:val="center"/>
          </w:tcPr>
          <w:p>
            <w:pPr>
              <w:pStyle w:val="TableContents"/>
              <w:bidi w:val="0"/>
              <w:spacing w:before="0" w:after="283"/>
              <w:jc w:val="right"/>
              <w:rPr/>
            </w:pPr>
            <w:r>
              <w:rPr/>
              <w:t> </w:t>
            </w:r>
          </w:p>
        </w:tc>
        <w:tc>
          <w:tcPr>
            <w:tcW w:w="1036" w:type="dxa"/>
            <w:gridSpan w:val="2"/>
            <w:tcBorders/>
            <w:vAlign w:val="center"/>
          </w:tcPr>
          <w:p>
            <w:pPr>
              <w:pStyle w:val="TableContents"/>
              <w:bidi w:val="0"/>
              <w:spacing w:before="0" w:after="283"/>
              <w:jc w:val="right"/>
              <w:rPr/>
            </w:pPr>
            <w:r>
              <w:rPr/>
              <w:t> </w:t>
            </w:r>
          </w:p>
        </w:tc>
      </w:tr>
      <w:tr>
        <w:trPr/>
        <w:tc>
          <w:tcPr>
            <w:tcW w:w="1291"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right"/>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31, 2026</w:t>
            </w:r>
          </w:p>
        </w:tc>
        <w:tc>
          <w:tcPr>
            <w:tcW w:w="146" w:type="dxa"/>
            <w:tcBorders/>
            <w:vAlign w:val="center"/>
          </w:tcPr>
          <w:p>
            <w:pPr>
              <w:pStyle w:val="TableContents"/>
              <w:bidi w:val="0"/>
              <w:spacing w:before="0" w:after="283"/>
              <w:jc w:val="center"/>
              <w:rPr/>
            </w:pPr>
            <w:r>
              <w:rPr/>
              <w:t> </w:t>
            </w:r>
          </w:p>
        </w:tc>
        <w:tc>
          <w:tcPr>
            <w:tcW w:w="9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31, 2025</w:t>
            </w:r>
          </w:p>
        </w:tc>
        <w:tc>
          <w:tcPr>
            <w:tcW w:w="146" w:type="dxa"/>
            <w:tcBorders/>
            <w:vAlign w:val="center"/>
          </w:tcPr>
          <w:p>
            <w:pPr>
              <w:pStyle w:val="TableContents"/>
              <w:bidi w:val="0"/>
              <w:spacing w:before="0" w:after="283"/>
              <w:jc w:val="center"/>
              <w:rPr/>
            </w:pPr>
            <w:r>
              <w:rPr/>
              <w:t> </w:t>
            </w:r>
          </w:p>
        </w:tc>
        <w:tc>
          <w:tcPr>
            <w:tcW w:w="9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c>
          <w:tcPr>
            <w:tcW w:w="146" w:type="dxa"/>
            <w:tcBorders/>
            <w:vAlign w:val="center"/>
          </w:tcPr>
          <w:p>
            <w:pPr>
              <w:pStyle w:val="TableContents"/>
              <w:bidi w:val="0"/>
              <w:spacing w:before="0" w:after="283"/>
              <w:jc w:val="right"/>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31, 2026</w:t>
            </w:r>
          </w:p>
        </w:tc>
        <w:tc>
          <w:tcPr>
            <w:tcW w:w="146" w:type="dxa"/>
            <w:tcBorders/>
            <w:vAlign w:val="center"/>
          </w:tcPr>
          <w:p>
            <w:pPr>
              <w:pStyle w:val="TableContents"/>
              <w:bidi w:val="0"/>
              <w:spacing w:before="0" w:after="283"/>
              <w:jc w:val="center"/>
              <w:rPr/>
            </w:pPr>
            <w:r>
              <w:rPr/>
              <w:t> </w:t>
            </w:r>
          </w:p>
        </w:tc>
        <w:tc>
          <w:tcPr>
            <w:tcW w:w="9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31, 2025</w:t>
            </w:r>
          </w:p>
        </w:tc>
        <w:tc>
          <w:tcPr>
            <w:tcW w:w="146" w:type="dxa"/>
            <w:tcBorders/>
            <w:vAlign w:val="center"/>
          </w:tcPr>
          <w:p>
            <w:pPr>
              <w:pStyle w:val="TableContents"/>
              <w:bidi w:val="0"/>
              <w:spacing w:before="0" w:after="283"/>
              <w:jc w:val="center"/>
              <w:rPr/>
            </w:pPr>
            <w:r>
              <w:rPr/>
              <w:t> </w:t>
            </w:r>
          </w:p>
        </w:tc>
        <w:tc>
          <w:tcPr>
            <w:tcW w:w="103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r>
      <w:tr>
        <w:trPr/>
        <w:tc>
          <w:tcPr>
            <w:tcW w:w="1291" w:type="dxa"/>
            <w:tcBorders/>
            <w:vAlign w:val="center"/>
          </w:tcPr>
          <w:p>
            <w:pPr>
              <w:pStyle w:val="TableContents"/>
              <w:bidi w:val="0"/>
              <w:spacing w:before="0" w:after="283"/>
              <w:jc w:val="left"/>
              <w:rPr/>
            </w:pPr>
            <w:r>
              <w:rPr/>
              <w:t>Revenue from Canadian medical cannabis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5,367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8</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6,225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9</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23,726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9</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24,998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10</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Revenue from Canadian adult-use cannabis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57,267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80</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58,421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86</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236,352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87</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224,048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91</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Revenue from wholesale cannabis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1</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2,214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7,318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18,207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7</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Revenue from international cannabis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27,242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38</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22,365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33</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84,910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32</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63,356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25</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Less excise taxes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(19,057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(27</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(21,399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(31</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(83,964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(31</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(81,608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(33</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Total</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71,471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67,826</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268,342</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249,001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44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36" w:type="dxa"/>
            <w:gridSpan w:val="2"/>
            <w:tcBorders/>
            <w:vAlign w:val="center"/>
          </w:tcPr>
          <w:p>
            <w:pPr>
              <w:pStyle w:val="TableContents"/>
              <w:bidi w:val="0"/>
              <w:spacing w:before="0" w:after="283"/>
              <w:jc w:val="center"/>
              <w:rPr/>
            </w:pPr>
            <w:r>
              <w:rPr/>
              <w:t> </w:t>
            </w:r>
          </w:p>
        </w:tc>
      </w:tr>
      <w:tr>
        <w:trPr/>
        <w:tc>
          <w:tcPr>
            <w:tcW w:w="11640" w:type="dxa"/>
            <w:gridSpan w:val="29"/>
            <w:tcBorders/>
            <w:vAlign w:val="center"/>
          </w:tcPr>
          <w:p>
            <w:pPr>
              <w:pStyle w:val="TableContents"/>
              <w:bidi w:val="0"/>
              <w:spacing w:before="0" w:after="283"/>
              <w:jc w:val="left"/>
              <w:rPr/>
            </w:pPr>
            <w:r>
              <w:rPr>
                <w:rStyle w:val="StrongEmphasis"/>
              </w:rPr>
              <w:t>Net Cannabis Revenue by Market Channel in Constant Currency</w:t>
            </w:r>
          </w:p>
        </w:tc>
      </w:tr>
      <w:tr>
        <w:trPr/>
        <w:tc>
          <w:tcPr>
            <w:tcW w:w="11640" w:type="dxa"/>
            <w:gridSpan w:val="29"/>
            <w:tcBorders/>
            <w:vAlign w:val="center"/>
          </w:tcPr>
          <w:p>
            <w:pPr>
              <w:pStyle w:val="TableContents"/>
              <w:bidi w:val="0"/>
              <w:spacing w:before="0" w:after="283"/>
              <w:jc w:val="left"/>
              <w:rPr/>
            </w:pPr>
            <w:r>
              <w:rPr/>
              <w:t> </w:t>
            </w:r>
          </w:p>
        </w:tc>
      </w:tr>
      <w:tr>
        <w:trPr/>
        <w:tc>
          <w:tcPr>
            <w:tcW w:w="12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left"/>
              <w:rPr/>
            </w:pPr>
            <w:r>
              <w:rPr/>
              <w:t> </w:t>
            </w:r>
          </w:p>
        </w:tc>
        <w:tc>
          <w:tcPr>
            <w:tcW w:w="99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three months ended</w:t>
            </w:r>
          </w:p>
        </w:tc>
        <w:tc>
          <w:tcPr>
            <w:tcW w:w="146"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year ended</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For the year ended</w:t>
            </w:r>
          </w:p>
        </w:tc>
        <w:tc>
          <w:tcPr>
            <w:tcW w:w="146" w:type="dxa"/>
            <w:tcBorders/>
            <w:vAlign w:val="center"/>
          </w:tcPr>
          <w:p>
            <w:pPr>
              <w:pStyle w:val="TableContents"/>
              <w:bidi w:val="0"/>
              <w:spacing w:before="0" w:after="283"/>
              <w:jc w:val="right"/>
              <w:rPr/>
            </w:pPr>
            <w:r>
              <w:rPr/>
              <w:t> </w:t>
            </w:r>
          </w:p>
        </w:tc>
        <w:tc>
          <w:tcPr>
            <w:tcW w:w="1036" w:type="dxa"/>
            <w:gridSpan w:val="2"/>
            <w:tcBorders/>
            <w:vAlign w:val="center"/>
          </w:tcPr>
          <w:p>
            <w:pPr>
              <w:pStyle w:val="TableContents"/>
              <w:bidi w:val="0"/>
              <w:spacing w:before="0" w:after="283"/>
              <w:jc w:val="center"/>
              <w:rPr/>
            </w:pPr>
            <w:r>
              <w:rPr/>
              <w:t> </w:t>
            </w:r>
          </w:p>
        </w:tc>
      </w:tr>
      <w:tr>
        <w:trPr/>
        <w:tc>
          <w:tcPr>
            <w:tcW w:w="12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May 31, 2026</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May 31, 2025</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May 31, 2026</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center"/>
              <w:rPr/>
            </w:pPr>
            <w:r>
              <w:rPr>
                <w:rStyle w:val="StrongEmphasis"/>
              </w:rPr>
              <w:t>May 31, 2025</w:t>
            </w:r>
          </w:p>
        </w:tc>
        <w:tc>
          <w:tcPr>
            <w:tcW w:w="146" w:type="dxa"/>
            <w:tcBorders/>
            <w:vAlign w:val="center"/>
          </w:tcPr>
          <w:p>
            <w:pPr>
              <w:pStyle w:val="TableContents"/>
              <w:bidi w:val="0"/>
              <w:spacing w:before="0" w:after="283"/>
              <w:jc w:val="right"/>
              <w:rPr/>
            </w:pPr>
            <w:r>
              <w:rPr/>
              <w:t> </w:t>
            </w:r>
          </w:p>
        </w:tc>
        <w:tc>
          <w:tcPr>
            <w:tcW w:w="1036" w:type="dxa"/>
            <w:gridSpan w:val="2"/>
            <w:tcBorders/>
            <w:vAlign w:val="center"/>
          </w:tcPr>
          <w:p>
            <w:pPr>
              <w:pStyle w:val="TableContents"/>
              <w:bidi w:val="0"/>
              <w:spacing w:before="0" w:after="283"/>
              <w:jc w:val="center"/>
              <w:rPr/>
            </w:pPr>
            <w:r>
              <w:rPr/>
              <w:t> </w:t>
            </w:r>
          </w:p>
        </w:tc>
      </w:tr>
      <w:tr>
        <w:trPr/>
        <w:tc>
          <w:tcPr>
            <w:tcW w:w="1291"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right"/>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reported in constant currency</w:t>
            </w:r>
          </w:p>
        </w:tc>
        <w:tc>
          <w:tcPr>
            <w:tcW w:w="146" w:type="dxa"/>
            <w:tcBorders/>
            <w:vAlign w:val="center"/>
          </w:tcPr>
          <w:p>
            <w:pPr>
              <w:pStyle w:val="TableContents"/>
              <w:bidi w:val="0"/>
              <w:spacing w:before="0" w:after="283"/>
              <w:jc w:val="center"/>
              <w:rPr/>
            </w:pPr>
            <w:r>
              <w:rPr/>
              <w:t> </w:t>
            </w:r>
          </w:p>
        </w:tc>
        <w:tc>
          <w:tcPr>
            <w:tcW w:w="9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reported in constant currency</w:t>
            </w:r>
          </w:p>
        </w:tc>
        <w:tc>
          <w:tcPr>
            <w:tcW w:w="146" w:type="dxa"/>
            <w:tcBorders/>
            <w:vAlign w:val="center"/>
          </w:tcPr>
          <w:p>
            <w:pPr>
              <w:pStyle w:val="TableContents"/>
              <w:bidi w:val="0"/>
              <w:spacing w:before="0" w:after="283"/>
              <w:jc w:val="center"/>
              <w:rPr/>
            </w:pPr>
            <w:r>
              <w:rPr/>
              <w:t> </w:t>
            </w:r>
          </w:p>
        </w:tc>
        <w:tc>
          <w:tcPr>
            <w:tcW w:w="9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c>
          <w:tcPr>
            <w:tcW w:w="146" w:type="dxa"/>
            <w:tcBorders/>
            <w:vAlign w:val="center"/>
          </w:tcPr>
          <w:p>
            <w:pPr>
              <w:pStyle w:val="TableContents"/>
              <w:bidi w:val="0"/>
              <w:spacing w:before="0" w:after="283"/>
              <w:jc w:val="right"/>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reported in constant currency</w:t>
            </w:r>
          </w:p>
        </w:tc>
        <w:tc>
          <w:tcPr>
            <w:tcW w:w="146" w:type="dxa"/>
            <w:tcBorders/>
            <w:vAlign w:val="center"/>
          </w:tcPr>
          <w:p>
            <w:pPr>
              <w:pStyle w:val="TableContents"/>
              <w:bidi w:val="0"/>
              <w:spacing w:before="0" w:after="283"/>
              <w:jc w:val="center"/>
              <w:rPr/>
            </w:pPr>
            <w:r>
              <w:rPr/>
              <w:t> </w:t>
            </w:r>
          </w:p>
        </w:tc>
        <w:tc>
          <w:tcPr>
            <w:tcW w:w="9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reported in constant currency</w:t>
            </w:r>
          </w:p>
        </w:tc>
        <w:tc>
          <w:tcPr>
            <w:tcW w:w="146" w:type="dxa"/>
            <w:tcBorders/>
            <w:vAlign w:val="center"/>
          </w:tcPr>
          <w:p>
            <w:pPr>
              <w:pStyle w:val="TableContents"/>
              <w:bidi w:val="0"/>
              <w:spacing w:before="0" w:after="283"/>
              <w:jc w:val="center"/>
              <w:rPr/>
            </w:pPr>
            <w:r>
              <w:rPr/>
              <w:t> </w:t>
            </w:r>
          </w:p>
        </w:tc>
        <w:tc>
          <w:tcPr>
            <w:tcW w:w="103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Total Revenue</w:t>
            </w:r>
          </w:p>
        </w:tc>
      </w:tr>
      <w:tr>
        <w:trPr/>
        <w:tc>
          <w:tcPr>
            <w:tcW w:w="1291" w:type="dxa"/>
            <w:tcBorders/>
            <w:vAlign w:val="center"/>
          </w:tcPr>
          <w:p>
            <w:pPr>
              <w:pStyle w:val="TableContents"/>
              <w:bidi w:val="0"/>
              <w:spacing w:before="0" w:after="283"/>
              <w:jc w:val="left"/>
              <w:rPr/>
            </w:pPr>
            <w:r>
              <w:rPr/>
              <w:t>Revenue from Canadian medical cannabis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5,245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8</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5,600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9</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23,505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9</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24,998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10</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Revenue from Canadian adult-use cannabis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55,959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81</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53,081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87</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234,365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90</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224,048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91</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Revenue from wholesale cannabis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1</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1,682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7,295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18,207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7</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Revenue from international cannabis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25,762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37</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21,945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36</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78,899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30</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63,356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25</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Less excise taxes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(18,622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(27</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(21,399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(35</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(83,291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602" w:type="dxa"/>
            <w:tcBorders/>
            <w:vAlign w:val="center"/>
          </w:tcPr>
          <w:p>
            <w:pPr>
              <w:pStyle w:val="TableContents"/>
              <w:bidi w:val="0"/>
              <w:spacing w:before="0" w:after="283"/>
              <w:jc w:val="right"/>
              <w:rPr/>
            </w:pPr>
            <w:r>
              <w:rPr/>
              <w:t>(32</w:t>
            </w:r>
          </w:p>
        </w:tc>
        <w:tc>
          <w:tcPr>
            <w:tcW w:w="3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(81,608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594" w:type="dxa"/>
            <w:tcBorders/>
            <w:vAlign w:val="center"/>
          </w:tcPr>
          <w:p>
            <w:pPr>
              <w:pStyle w:val="TableContents"/>
              <w:bidi w:val="0"/>
              <w:spacing w:before="0" w:after="283"/>
              <w:jc w:val="right"/>
              <w:rPr/>
            </w:pPr>
            <w:r>
              <w:rPr/>
              <w:t>(33</w:t>
            </w:r>
          </w:p>
        </w:tc>
        <w:tc>
          <w:tcPr>
            <w:tcW w:w="442" w:type="dxa"/>
            <w:tcBorders/>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left"/>
              <w:rPr/>
            </w:pPr>
            <w:r>
              <w:rPr/>
              <w:t>Total</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68,981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60,909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260,773</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3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249,001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9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w:t>
            </w:r>
          </w:p>
        </w:tc>
        <w:tc>
          <w:tcPr>
            <w:tcW w:w="44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12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36" w:type="dxa"/>
            <w:gridSpan w:val="2"/>
            <w:tcBorders/>
            <w:vAlign w:val="center"/>
          </w:tcPr>
          <w:p>
            <w:pPr>
              <w:pStyle w:val="TableContents"/>
              <w:bidi w:val="0"/>
              <w:spacing w:before="0" w:after="283"/>
              <w:jc w:val="center"/>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485"/>
        <w:gridCol w:w="146"/>
        <w:gridCol w:w="226"/>
        <w:gridCol w:w="886"/>
        <w:gridCol w:w="301"/>
        <w:gridCol w:w="146"/>
        <w:gridCol w:w="226"/>
        <w:gridCol w:w="886"/>
        <w:gridCol w:w="301"/>
        <w:gridCol w:w="146"/>
        <w:gridCol w:w="226"/>
        <w:gridCol w:w="886"/>
        <w:gridCol w:w="301"/>
        <w:gridCol w:w="146"/>
        <w:gridCol w:w="226"/>
        <w:gridCol w:w="766"/>
        <w:gridCol w:w="301"/>
        <w:gridCol w:w="146"/>
        <w:gridCol w:w="226"/>
        <w:gridCol w:w="886"/>
        <w:gridCol w:w="346"/>
      </w:tblGrid>
      <w:tr>
        <w:trPr/>
        <w:tc>
          <w:tcPr>
            <w:tcW w:w="10205" w:type="dxa"/>
            <w:gridSpan w:val="21"/>
            <w:tcBorders/>
            <w:vAlign w:val="center"/>
          </w:tcPr>
          <w:p>
            <w:pPr>
              <w:pStyle w:val="TableContents"/>
              <w:bidi w:val="0"/>
              <w:spacing w:before="0" w:after="283"/>
              <w:jc w:val="left"/>
              <w:rPr/>
            </w:pPr>
            <w:r>
              <w:rPr/>
              <w:t> </w:t>
            </w:r>
          </w:p>
        </w:tc>
      </w:tr>
      <w:tr>
        <w:trPr/>
        <w:tc>
          <w:tcPr>
            <w:tcW w:w="10205" w:type="dxa"/>
            <w:gridSpan w:val="21"/>
            <w:tcBorders/>
            <w:vAlign w:val="center"/>
          </w:tcPr>
          <w:p>
            <w:pPr>
              <w:pStyle w:val="TableContents"/>
              <w:bidi w:val="0"/>
              <w:spacing w:before="0" w:after="283"/>
              <w:jc w:val="left"/>
              <w:rPr/>
            </w:pPr>
            <w:r>
              <w:rPr>
                <w:rStyle w:val="StrongEmphasis"/>
              </w:rPr>
              <w:t>Other Financial Information: Gross Margin and Adjusted Gross Margin</w:t>
            </w:r>
          </w:p>
        </w:tc>
      </w:tr>
      <w:tr>
        <w:trPr/>
        <w:tc>
          <w:tcPr>
            <w:tcW w:w="10205" w:type="dxa"/>
            <w:gridSpan w:val="21"/>
            <w:tcBorders/>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574" w:type="dxa"/>
            <w:gridSpan w:val="19"/>
            <w:tcBorders/>
            <w:vAlign w:val="center"/>
          </w:tcPr>
          <w:p>
            <w:pPr>
              <w:pStyle w:val="TableContents"/>
              <w:bidi w:val="0"/>
              <w:spacing w:before="0" w:after="283"/>
              <w:jc w:val="center"/>
              <w:rPr/>
            </w:pPr>
            <w:r>
              <w:rPr>
                <w:rStyle w:val="StrongEmphasis"/>
              </w:rPr>
              <w:t>For the three months ended May 31, 2026</w:t>
            </w:r>
          </w:p>
        </w:tc>
      </w:tr>
      <w:tr>
        <w:trPr/>
        <w:tc>
          <w:tcPr>
            <w:tcW w:w="2485"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right"/>
              <w:rPr/>
            </w:pPr>
            <w:r>
              <w:rPr/>
              <w:t> </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Beverage</w:t>
            </w:r>
          </w:p>
        </w:tc>
        <w:tc>
          <w:tcPr>
            <w:tcW w:w="146" w:type="dxa"/>
            <w:tcBorders/>
            <w:vAlign w:val="center"/>
          </w:tcPr>
          <w:p>
            <w:pPr>
              <w:pStyle w:val="TableContents"/>
              <w:bidi w:val="0"/>
              <w:spacing w:before="0" w:after="283"/>
              <w:jc w:val="right"/>
              <w:rPr/>
            </w:pPr>
            <w:r>
              <w:rPr/>
              <w:t> </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Cannabis</w:t>
            </w:r>
          </w:p>
        </w:tc>
        <w:tc>
          <w:tcPr>
            <w:tcW w:w="146" w:type="dxa"/>
            <w:tcBorders/>
            <w:vAlign w:val="center"/>
          </w:tcPr>
          <w:p>
            <w:pPr>
              <w:pStyle w:val="TableContents"/>
              <w:bidi w:val="0"/>
              <w:spacing w:before="0" w:after="283"/>
              <w:jc w:val="center"/>
              <w:rPr/>
            </w:pPr>
            <w:r>
              <w:rPr/>
              <w:t> </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Distribution</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Wellness</w:t>
            </w:r>
          </w:p>
        </w:tc>
        <w:tc>
          <w:tcPr>
            <w:tcW w:w="146" w:type="dxa"/>
            <w:tcBorders/>
            <w:vAlign w:val="center"/>
          </w:tcPr>
          <w:p>
            <w:pPr>
              <w:pStyle w:val="TableContents"/>
              <w:bidi w:val="0"/>
              <w:spacing w:before="0" w:after="283"/>
              <w:jc w:val="center"/>
              <w:rPr/>
            </w:pPr>
            <w:r>
              <w:rPr/>
              <w:t> </w:t>
            </w:r>
          </w:p>
        </w:tc>
        <w:tc>
          <w:tcPr>
            <w:tcW w:w="14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Total</w:t>
            </w:r>
          </w:p>
        </w:tc>
      </w:tr>
      <w:tr>
        <w:trPr/>
        <w:tc>
          <w:tcPr>
            <w:tcW w:w="2485" w:type="dxa"/>
            <w:tcBorders/>
            <w:vAlign w:val="center"/>
          </w:tcPr>
          <w:p>
            <w:pPr>
              <w:pStyle w:val="TableContents"/>
              <w:bidi w:val="0"/>
              <w:spacing w:before="0" w:after="283"/>
              <w:jc w:val="left"/>
              <w:rPr/>
            </w:pPr>
            <w:r>
              <w:rPr/>
              <w:t>Net revenue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105,596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71,471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84,958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19,689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281,714</w:t>
            </w:r>
          </w:p>
        </w:tc>
        <w:tc>
          <w:tcPr>
            <w:tcW w:w="346" w:type="dxa"/>
            <w:tcBorders/>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Cost of goods sold</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65,002</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39,759</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73,296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13,136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191,193</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Gross profit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40,594</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31,712</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11,662</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6,553</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90,521</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Gross margin</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38</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44</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14</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33</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32</w:t>
            </w:r>
          </w:p>
        </w:tc>
        <w:tc>
          <w:tcPr>
            <w:tcW w:w="3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485" w:type="dxa"/>
            <w:tcBorders/>
            <w:vAlign w:val="center"/>
          </w:tcPr>
          <w:p>
            <w:pPr>
              <w:pStyle w:val="TableContents"/>
              <w:bidi w:val="0"/>
              <w:spacing w:before="0" w:after="283"/>
              <w:jc w:val="left"/>
              <w:rPr/>
            </w:pPr>
            <w:r>
              <w:rPr/>
              <w:t>Adjustments:</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58" w:type="dxa"/>
            <w:gridSpan w:val="3"/>
            <w:tcBorders/>
            <w:vAlign w:val="center"/>
          </w:tcPr>
          <w:p>
            <w:pPr>
              <w:pStyle w:val="TableContents"/>
              <w:bidi w:val="0"/>
              <w:spacing w:before="0" w:after="283"/>
              <w:jc w:val="center"/>
              <w:rPr/>
            </w:pPr>
            <w:r>
              <w:rPr/>
              <w:t> </w:t>
            </w:r>
          </w:p>
        </w:tc>
      </w:tr>
      <w:tr>
        <w:trPr/>
        <w:tc>
          <w:tcPr>
            <w:tcW w:w="2485" w:type="dxa"/>
            <w:tcBorders/>
            <w:vAlign w:val="center"/>
          </w:tcPr>
          <w:p>
            <w:pPr>
              <w:pStyle w:val="TableContents"/>
              <w:bidi w:val="0"/>
              <w:spacing w:before="0" w:after="283"/>
              <w:jc w:val="left"/>
              <w:rPr/>
            </w:pPr>
            <w:r>
              <w:rPr/>
              <w:t>Purchase price accounting step-up</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2,150</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2,150</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Adjusted gross profit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42,744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31,712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11,662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6,553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92,671</w:t>
            </w:r>
          </w:p>
        </w:tc>
        <w:tc>
          <w:tcPr>
            <w:tcW w:w="346" w:type="dxa"/>
            <w:tcBorders/>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Adjusted gross margin</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40</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44</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14</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33</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33</w:t>
            </w:r>
          </w:p>
        </w:tc>
        <w:tc>
          <w:tcPr>
            <w:tcW w:w="3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48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center"/>
              <w:rPr/>
            </w:pPr>
            <w:r>
              <w:rPr/>
              <w:t> </w:t>
            </w:r>
          </w:p>
        </w:tc>
        <w:tc>
          <w:tcPr>
            <w:tcW w:w="14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center"/>
              <w:rPr/>
            </w:pPr>
            <w:r>
              <w:rPr/>
              <w:t> </w:t>
            </w:r>
          </w:p>
        </w:tc>
        <w:tc>
          <w:tcPr>
            <w:tcW w:w="1458" w:type="dxa"/>
            <w:gridSpan w:val="3"/>
            <w:tcBorders/>
            <w:vAlign w:val="center"/>
          </w:tcPr>
          <w:p>
            <w:pPr>
              <w:pStyle w:val="TableContents"/>
              <w:bidi w:val="0"/>
              <w:spacing w:before="0" w:after="283"/>
              <w:jc w:val="right"/>
              <w:rPr/>
            </w:pPr>
            <w:r>
              <w:rPr/>
              <w:t> </w:t>
            </w:r>
          </w:p>
        </w:tc>
      </w:tr>
      <w:tr>
        <w:trPr/>
        <w:tc>
          <w:tcPr>
            <w:tcW w:w="248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574" w:type="dxa"/>
            <w:gridSpan w:val="19"/>
            <w:tcBorders/>
            <w:vAlign w:val="center"/>
          </w:tcPr>
          <w:p>
            <w:pPr>
              <w:pStyle w:val="TableContents"/>
              <w:bidi w:val="0"/>
              <w:spacing w:before="0" w:after="283"/>
              <w:jc w:val="center"/>
              <w:rPr/>
            </w:pPr>
            <w:r>
              <w:rPr>
                <w:rStyle w:val="StrongEmphasis"/>
              </w:rPr>
              <w:t>For the three months ended May 31, 2025</w:t>
            </w:r>
          </w:p>
        </w:tc>
      </w:tr>
      <w:tr>
        <w:trPr/>
        <w:tc>
          <w:tcPr>
            <w:tcW w:w="2485"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right"/>
              <w:rPr/>
            </w:pPr>
            <w:r>
              <w:rPr/>
              <w:t> </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Beverage</w:t>
            </w:r>
          </w:p>
        </w:tc>
        <w:tc>
          <w:tcPr>
            <w:tcW w:w="146" w:type="dxa"/>
            <w:tcBorders/>
            <w:vAlign w:val="center"/>
          </w:tcPr>
          <w:p>
            <w:pPr>
              <w:pStyle w:val="TableContents"/>
              <w:bidi w:val="0"/>
              <w:spacing w:before="0" w:after="283"/>
              <w:jc w:val="right"/>
              <w:rPr/>
            </w:pPr>
            <w:r>
              <w:rPr/>
              <w:t> </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Cannabis</w:t>
            </w:r>
          </w:p>
        </w:tc>
        <w:tc>
          <w:tcPr>
            <w:tcW w:w="146" w:type="dxa"/>
            <w:tcBorders/>
            <w:vAlign w:val="center"/>
          </w:tcPr>
          <w:p>
            <w:pPr>
              <w:pStyle w:val="TableContents"/>
              <w:bidi w:val="0"/>
              <w:spacing w:before="0" w:after="283"/>
              <w:jc w:val="center"/>
              <w:rPr/>
            </w:pPr>
            <w:r>
              <w:rPr/>
              <w:t> </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Distribution</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Wellness</w:t>
            </w:r>
          </w:p>
        </w:tc>
        <w:tc>
          <w:tcPr>
            <w:tcW w:w="146" w:type="dxa"/>
            <w:tcBorders/>
            <w:vAlign w:val="center"/>
          </w:tcPr>
          <w:p>
            <w:pPr>
              <w:pStyle w:val="TableContents"/>
              <w:bidi w:val="0"/>
              <w:spacing w:before="0" w:after="283"/>
              <w:jc w:val="center"/>
              <w:rPr/>
            </w:pPr>
            <w:r>
              <w:rPr/>
              <w:t> </w:t>
            </w:r>
          </w:p>
        </w:tc>
        <w:tc>
          <w:tcPr>
            <w:tcW w:w="14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Total</w:t>
            </w:r>
          </w:p>
        </w:tc>
      </w:tr>
      <w:tr>
        <w:trPr/>
        <w:tc>
          <w:tcPr>
            <w:tcW w:w="2485" w:type="dxa"/>
            <w:tcBorders/>
            <w:vAlign w:val="center"/>
          </w:tcPr>
          <w:p>
            <w:pPr>
              <w:pStyle w:val="TableContents"/>
              <w:bidi w:val="0"/>
              <w:spacing w:before="0" w:after="283"/>
              <w:jc w:val="left"/>
              <w:rPr/>
            </w:pPr>
            <w:r>
              <w:rPr/>
              <w:t>Net revenue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65,621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67,826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74,053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17,035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224,535</w:t>
            </w:r>
          </w:p>
        </w:tc>
        <w:tc>
          <w:tcPr>
            <w:tcW w:w="346" w:type="dxa"/>
            <w:tcBorders/>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Cost of goods sold</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40,630</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38,201</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66,615</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11,456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156,902</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Gross profit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24,991</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29,625</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7,438</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5,579</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67,633</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Gross margin</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38</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44</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10</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33</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30</w:t>
            </w:r>
          </w:p>
        </w:tc>
        <w:tc>
          <w:tcPr>
            <w:tcW w:w="3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48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58" w:type="dxa"/>
            <w:gridSpan w:val="3"/>
            <w:tcBorders/>
            <w:vAlign w:val="center"/>
          </w:tcPr>
          <w:p>
            <w:pPr>
              <w:pStyle w:val="TableContents"/>
              <w:bidi w:val="0"/>
              <w:spacing w:before="0" w:after="283"/>
              <w:jc w:val="center"/>
              <w:rPr/>
            </w:pPr>
            <w:r>
              <w:rPr/>
              <w:t> </w:t>
            </w:r>
          </w:p>
        </w:tc>
      </w:tr>
      <w:tr>
        <w:trPr/>
        <w:tc>
          <w:tcPr>
            <w:tcW w:w="248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574" w:type="dxa"/>
            <w:gridSpan w:val="19"/>
            <w:tcBorders/>
            <w:vAlign w:val="center"/>
          </w:tcPr>
          <w:p>
            <w:pPr>
              <w:pStyle w:val="TableContents"/>
              <w:bidi w:val="0"/>
              <w:spacing w:before="0" w:after="283"/>
              <w:jc w:val="center"/>
              <w:rPr/>
            </w:pPr>
            <w:r>
              <w:rPr>
                <w:rStyle w:val="StrongEmphasis"/>
              </w:rPr>
              <w:t>For the twelve months ended May 31, 2026</w:t>
            </w:r>
          </w:p>
        </w:tc>
      </w:tr>
      <w:tr>
        <w:trPr/>
        <w:tc>
          <w:tcPr>
            <w:tcW w:w="2485"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right"/>
              <w:rPr/>
            </w:pPr>
            <w:r>
              <w:rPr/>
              <w:t> </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Beverage</w:t>
            </w:r>
          </w:p>
        </w:tc>
        <w:tc>
          <w:tcPr>
            <w:tcW w:w="146" w:type="dxa"/>
            <w:tcBorders/>
            <w:vAlign w:val="center"/>
          </w:tcPr>
          <w:p>
            <w:pPr>
              <w:pStyle w:val="TableContents"/>
              <w:bidi w:val="0"/>
              <w:spacing w:before="0" w:after="283"/>
              <w:jc w:val="right"/>
              <w:rPr/>
            </w:pPr>
            <w:r>
              <w:rPr/>
              <w:t> </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Cannabis</w:t>
            </w:r>
          </w:p>
        </w:tc>
        <w:tc>
          <w:tcPr>
            <w:tcW w:w="146" w:type="dxa"/>
            <w:tcBorders/>
            <w:vAlign w:val="center"/>
          </w:tcPr>
          <w:p>
            <w:pPr>
              <w:pStyle w:val="TableContents"/>
              <w:bidi w:val="0"/>
              <w:spacing w:before="0" w:after="283"/>
              <w:jc w:val="center"/>
              <w:rPr/>
            </w:pPr>
            <w:r>
              <w:rPr/>
              <w:t> </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Distribution</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Wellness</w:t>
            </w:r>
          </w:p>
        </w:tc>
        <w:tc>
          <w:tcPr>
            <w:tcW w:w="146" w:type="dxa"/>
            <w:tcBorders/>
            <w:vAlign w:val="center"/>
          </w:tcPr>
          <w:p>
            <w:pPr>
              <w:pStyle w:val="TableContents"/>
              <w:bidi w:val="0"/>
              <w:spacing w:before="0" w:after="283"/>
              <w:jc w:val="center"/>
              <w:rPr/>
            </w:pPr>
            <w:r>
              <w:rPr/>
              <w:t> </w:t>
            </w:r>
          </w:p>
        </w:tc>
        <w:tc>
          <w:tcPr>
            <w:tcW w:w="14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Total</w:t>
            </w:r>
          </w:p>
        </w:tc>
      </w:tr>
      <w:tr>
        <w:trPr/>
        <w:tc>
          <w:tcPr>
            <w:tcW w:w="2485" w:type="dxa"/>
            <w:tcBorders/>
            <w:vAlign w:val="center"/>
          </w:tcPr>
          <w:p>
            <w:pPr>
              <w:pStyle w:val="TableContents"/>
              <w:bidi w:val="0"/>
              <w:spacing w:before="0" w:after="283"/>
              <w:jc w:val="left"/>
              <w:rPr/>
            </w:pPr>
            <w:r>
              <w:rPr/>
              <w:t>Net revenue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253,976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268,342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327,244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65,892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915,454</w:t>
            </w:r>
          </w:p>
        </w:tc>
        <w:tc>
          <w:tcPr>
            <w:tcW w:w="346" w:type="dxa"/>
            <w:tcBorders/>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Cost of goods sold</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162,743</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161,256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286,589</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44,425</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655,013</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Gross profit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91,233</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107,086</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40,655</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21,467</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260,441</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Gross margin</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36</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40</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12</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33</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28</w:t>
            </w:r>
          </w:p>
        </w:tc>
        <w:tc>
          <w:tcPr>
            <w:tcW w:w="3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485" w:type="dxa"/>
            <w:tcBorders/>
            <w:vAlign w:val="center"/>
          </w:tcPr>
          <w:p>
            <w:pPr>
              <w:pStyle w:val="TableContents"/>
              <w:bidi w:val="0"/>
              <w:spacing w:before="0" w:after="283"/>
              <w:jc w:val="left"/>
              <w:rPr/>
            </w:pPr>
            <w:r>
              <w:rPr/>
              <w:t>Adjustments:</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58" w:type="dxa"/>
            <w:gridSpan w:val="3"/>
            <w:tcBorders/>
            <w:vAlign w:val="center"/>
          </w:tcPr>
          <w:p>
            <w:pPr>
              <w:pStyle w:val="TableContents"/>
              <w:bidi w:val="0"/>
              <w:spacing w:before="0" w:after="283"/>
              <w:jc w:val="center"/>
              <w:rPr/>
            </w:pPr>
            <w:r>
              <w:rPr/>
              <w:t> </w:t>
            </w:r>
          </w:p>
        </w:tc>
      </w:tr>
      <w:tr>
        <w:trPr/>
        <w:tc>
          <w:tcPr>
            <w:tcW w:w="2485" w:type="dxa"/>
            <w:tcBorders/>
            <w:vAlign w:val="center"/>
          </w:tcPr>
          <w:p>
            <w:pPr>
              <w:pStyle w:val="TableContents"/>
              <w:bidi w:val="0"/>
              <w:spacing w:before="0" w:after="283"/>
              <w:jc w:val="left"/>
              <w:rPr/>
            </w:pPr>
            <w:r>
              <w:rPr/>
              <w:t>Purchase price accounting step-up</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2,150</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2,150</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Adjusted gross profit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93,383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107,086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40,655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21,467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262,591</w:t>
            </w:r>
          </w:p>
        </w:tc>
        <w:tc>
          <w:tcPr>
            <w:tcW w:w="346" w:type="dxa"/>
            <w:tcBorders/>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Adjusted gross margin</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37</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40</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12</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33</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29</w:t>
            </w:r>
          </w:p>
        </w:tc>
        <w:tc>
          <w:tcPr>
            <w:tcW w:w="3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48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58" w:type="dxa"/>
            <w:gridSpan w:val="3"/>
            <w:tcBorders/>
            <w:vAlign w:val="center"/>
          </w:tcPr>
          <w:p>
            <w:pPr>
              <w:pStyle w:val="TableContents"/>
              <w:bidi w:val="0"/>
              <w:spacing w:before="0" w:after="283"/>
              <w:jc w:val="center"/>
              <w:rPr/>
            </w:pPr>
            <w:r>
              <w:rPr/>
              <w:t> </w:t>
            </w:r>
          </w:p>
        </w:tc>
      </w:tr>
      <w:tr>
        <w:trPr/>
        <w:tc>
          <w:tcPr>
            <w:tcW w:w="248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574" w:type="dxa"/>
            <w:gridSpan w:val="19"/>
            <w:tcBorders/>
            <w:vAlign w:val="center"/>
          </w:tcPr>
          <w:p>
            <w:pPr>
              <w:pStyle w:val="TableContents"/>
              <w:bidi w:val="0"/>
              <w:spacing w:before="0" w:after="283"/>
              <w:jc w:val="center"/>
              <w:rPr/>
            </w:pPr>
            <w:r>
              <w:rPr>
                <w:rStyle w:val="StrongEmphasis"/>
              </w:rPr>
              <w:t>For the twelve months ended May 31, 2025</w:t>
            </w:r>
          </w:p>
        </w:tc>
      </w:tr>
      <w:tr>
        <w:trPr/>
        <w:tc>
          <w:tcPr>
            <w:tcW w:w="2485"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right"/>
              <w:rPr/>
            </w:pPr>
            <w:r>
              <w:rPr/>
              <w:t> </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Beverage</w:t>
            </w:r>
          </w:p>
        </w:tc>
        <w:tc>
          <w:tcPr>
            <w:tcW w:w="146" w:type="dxa"/>
            <w:tcBorders/>
            <w:vAlign w:val="center"/>
          </w:tcPr>
          <w:p>
            <w:pPr>
              <w:pStyle w:val="TableContents"/>
              <w:bidi w:val="0"/>
              <w:spacing w:before="0" w:after="283"/>
              <w:jc w:val="right"/>
              <w:rPr/>
            </w:pPr>
            <w:r>
              <w:rPr/>
              <w:t> </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Cannabis</w:t>
            </w:r>
          </w:p>
        </w:tc>
        <w:tc>
          <w:tcPr>
            <w:tcW w:w="146" w:type="dxa"/>
            <w:tcBorders/>
            <w:vAlign w:val="center"/>
          </w:tcPr>
          <w:p>
            <w:pPr>
              <w:pStyle w:val="TableContents"/>
              <w:bidi w:val="0"/>
              <w:spacing w:before="0" w:after="283"/>
              <w:jc w:val="center"/>
              <w:rPr/>
            </w:pPr>
            <w:r>
              <w:rPr/>
              <w:t> </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Distribution</w:t>
            </w:r>
          </w:p>
        </w:tc>
        <w:tc>
          <w:tcPr>
            <w:tcW w:w="146" w:type="dxa"/>
            <w:tcBorders/>
            <w:vAlign w:val="center"/>
          </w:tcPr>
          <w:p>
            <w:pPr>
              <w:pStyle w:val="TableContents"/>
              <w:bidi w:val="0"/>
              <w:spacing w:before="0" w:after="283"/>
              <w:jc w:val="center"/>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Wellness</w:t>
            </w:r>
          </w:p>
        </w:tc>
        <w:tc>
          <w:tcPr>
            <w:tcW w:w="146" w:type="dxa"/>
            <w:tcBorders/>
            <w:vAlign w:val="center"/>
          </w:tcPr>
          <w:p>
            <w:pPr>
              <w:pStyle w:val="TableContents"/>
              <w:bidi w:val="0"/>
              <w:spacing w:before="0" w:after="283"/>
              <w:jc w:val="center"/>
              <w:rPr/>
            </w:pPr>
            <w:r>
              <w:rPr/>
              <w:t> </w:t>
            </w:r>
          </w:p>
        </w:tc>
        <w:tc>
          <w:tcPr>
            <w:tcW w:w="14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Total</w:t>
            </w:r>
          </w:p>
        </w:tc>
      </w:tr>
      <w:tr>
        <w:trPr/>
        <w:tc>
          <w:tcPr>
            <w:tcW w:w="2485" w:type="dxa"/>
            <w:tcBorders/>
            <w:vAlign w:val="center"/>
          </w:tcPr>
          <w:p>
            <w:pPr>
              <w:pStyle w:val="TableContents"/>
              <w:bidi w:val="0"/>
              <w:spacing w:before="0" w:after="283"/>
              <w:jc w:val="left"/>
              <w:rPr/>
            </w:pPr>
            <w:r>
              <w:rPr/>
              <w:t>Net revenue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240,595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249,001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271,228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60,485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821,309</w:t>
            </w:r>
          </w:p>
        </w:tc>
        <w:tc>
          <w:tcPr>
            <w:tcW w:w="346" w:type="dxa"/>
            <w:tcBorders/>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Cost of goods sold</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147,591</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150,005</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241,896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41,247</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580,739</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Gross profit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93,004</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98,996</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29,332</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19,238</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240,570</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Gross margin</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39</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40</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11</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32</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29</w:t>
            </w:r>
          </w:p>
        </w:tc>
        <w:tc>
          <w:tcPr>
            <w:tcW w:w="3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485" w:type="dxa"/>
            <w:tcBorders/>
            <w:vAlign w:val="center"/>
          </w:tcPr>
          <w:p>
            <w:pPr>
              <w:pStyle w:val="TableContents"/>
              <w:bidi w:val="0"/>
              <w:spacing w:before="0" w:after="283"/>
              <w:jc w:val="left"/>
              <w:rPr/>
            </w:pPr>
            <w:r>
              <w:rPr/>
              <w:t>Adjustments:</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58" w:type="dxa"/>
            <w:gridSpan w:val="3"/>
            <w:tcBorders/>
            <w:vAlign w:val="center"/>
          </w:tcPr>
          <w:p>
            <w:pPr>
              <w:pStyle w:val="TableContents"/>
              <w:bidi w:val="0"/>
              <w:spacing w:before="0" w:after="283"/>
              <w:jc w:val="center"/>
              <w:rPr/>
            </w:pPr>
            <w:r>
              <w:rPr/>
              <w:t> </w:t>
            </w:r>
          </w:p>
        </w:tc>
      </w:tr>
      <w:tr>
        <w:trPr/>
        <w:tc>
          <w:tcPr>
            <w:tcW w:w="2485" w:type="dxa"/>
            <w:tcBorders/>
            <w:vAlign w:val="center"/>
          </w:tcPr>
          <w:p>
            <w:pPr>
              <w:pStyle w:val="TableContents"/>
              <w:bidi w:val="0"/>
              <w:spacing w:before="0" w:after="283"/>
              <w:jc w:val="left"/>
              <w:rPr/>
            </w:pPr>
            <w:r>
              <w:rPr/>
              <w:t>Purchase price accounting step-up</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1,610</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1,610</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Adjusted gross profit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94,614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98,996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29,332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19,238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242,180</w:t>
            </w:r>
          </w:p>
        </w:tc>
        <w:tc>
          <w:tcPr>
            <w:tcW w:w="346" w:type="dxa"/>
            <w:tcBorders/>
            <w:vAlign w:val="center"/>
          </w:tcPr>
          <w:p>
            <w:pPr>
              <w:pStyle w:val="TableContents"/>
              <w:bidi w:val="0"/>
              <w:spacing w:before="0" w:after="283"/>
              <w:jc w:val="left"/>
              <w:rPr/>
            </w:pPr>
            <w:r>
              <w:rPr/>
              <w:t> </w:t>
            </w:r>
          </w:p>
        </w:tc>
      </w:tr>
      <w:tr>
        <w:trPr/>
        <w:tc>
          <w:tcPr>
            <w:tcW w:w="2485" w:type="dxa"/>
            <w:tcBorders/>
            <w:vAlign w:val="center"/>
          </w:tcPr>
          <w:p>
            <w:pPr>
              <w:pStyle w:val="TableContents"/>
              <w:bidi w:val="0"/>
              <w:spacing w:before="0" w:after="283"/>
              <w:jc w:val="left"/>
              <w:rPr/>
            </w:pPr>
            <w:r>
              <w:rPr/>
              <w:t>Adjusted gross margin</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39</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40</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11</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32</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center"/>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29</w:t>
            </w:r>
          </w:p>
        </w:tc>
        <w:tc>
          <w:tcPr>
            <w:tcW w:w="3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48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1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58" w:type="dxa"/>
            <w:gridSpan w:val="3"/>
            <w:tcBorders/>
            <w:vAlign w:val="center"/>
          </w:tcPr>
          <w:p>
            <w:pPr>
              <w:pStyle w:val="TableContents"/>
              <w:bidi w:val="0"/>
              <w:spacing w:before="0" w:after="283"/>
              <w:jc w:val="center"/>
              <w:rPr/>
            </w:pPr>
            <w:r>
              <w:rPr/>
              <w:t> </w:t>
            </w:r>
          </w:p>
        </w:tc>
      </w:tr>
    </w:tbl>
    <w:p>
      <w:pPr>
        <w:pStyle w:val="TextBody"/>
        <w:bidi w:val="0"/>
        <w:spacing w:before="0" w:after="283"/>
        <w:jc w:val="left"/>
        <w:rPr/>
      </w:pPr>
      <w:r>
        <w:rPr/>
      </w:r>
    </w:p>
    <w:tbl>
      <w:tblPr>
        <w:tblW w:w="13999" w:type="dxa"/>
        <w:jc w:val="left"/>
        <w:tblInd w:w="0" w:type="dxa"/>
        <w:tblLayout w:type="fixed"/>
        <w:tblCellMar>
          <w:top w:w="28" w:type="dxa"/>
          <w:left w:w="28" w:type="dxa"/>
          <w:bottom w:w="28" w:type="dxa"/>
          <w:right w:w="28" w:type="dxa"/>
        </w:tblCellMar>
      </w:tblPr>
      <w:tblGrid>
        <w:gridCol w:w="1576"/>
        <w:gridCol w:w="146"/>
        <w:gridCol w:w="226"/>
        <w:gridCol w:w="841"/>
        <w:gridCol w:w="181"/>
        <w:gridCol w:w="146"/>
        <w:gridCol w:w="226"/>
        <w:gridCol w:w="1141"/>
        <w:gridCol w:w="181"/>
        <w:gridCol w:w="146"/>
        <w:gridCol w:w="226"/>
        <w:gridCol w:w="1141"/>
        <w:gridCol w:w="181"/>
        <w:gridCol w:w="146"/>
        <w:gridCol w:w="793"/>
        <w:gridCol w:w="408"/>
        <w:gridCol w:w="146"/>
        <w:gridCol w:w="226"/>
        <w:gridCol w:w="961"/>
        <w:gridCol w:w="181"/>
        <w:gridCol w:w="146"/>
        <w:gridCol w:w="226"/>
        <w:gridCol w:w="1141"/>
        <w:gridCol w:w="181"/>
        <w:gridCol w:w="146"/>
        <w:gridCol w:w="226"/>
        <w:gridCol w:w="1141"/>
        <w:gridCol w:w="181"/>
        <w:gridCol w:w="146"/>
        <w:gridCol w:w="759"/>
        <w:gridCol w:w="487"/>
      </w:tblGrid>
      <w:tr>
        <w:trPr/>
        <w:tc>
          <w:tcPr>
            <w:tcW w:w="13999" w:type="dxa"/>
            <w:gridSpan w:val="31"/>
            <w:tcBorders/>
            <w:vAlign w:val="center"/>
          </w:tcPr>
          <w:p>
            <w:pPr>
              <w:pStyle w:val="TableContents"/>
              <w:bidi w:val="0"/>
              <w:spacing w:before="0" w:after="283"/>
              <w:jc w:val="left"/>
              <w:rPr/>
            </w:pPr>
            <w:r>
              <w:rPr/>
              <w:t> </w:t>
            </w:r>
          </w:p>
        </w:tc>
      </w:tr>
      <w:tr>
        <w:trPr/>
        <w:tc>
          <w:tcPr>
            <w:tcW w:w="13999" w:type="dxa"/>
            <w:gridSpan w:val="31"/>
            <w:tcBorders/>
            <w:vAlign w:val="center"/>
          </w:tcPr>
          <w:p>
            <w:pPr>
              <w:pStyle w:val="TableContents"/>
              <w:bidi w:val="0"/>
              <w:spacing w:before="0" w:after="283"/>
              <w:jc w:val="left"/>
              <w:rPr/>
            </w:pPr>
            <w:r>
              <w:rPr>
                <w:rStyle w:val="StrongEmphasis"/>
              </w:rPr>
              <w:t>Other Financial Information: Adjusted Earnings Before Interest, Taxes and Amortization</w:t>
            </w:r>
          </w:p>
        </w:tc>
      </w:tr>
      <w:tr>
        <w:trPr/>
        <w:tc>
          <w:tcPr>
            <w:tcW w:w="13999" w:type="dxa"/>
            <w:gridSpan w:val="31"/>
            <w:tcBorders/>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42" w:type="dxa"/>
            <w:gridSpan w:val="7"/>
            <w:tcBorders/>
            <w:vAlign w:val="center"/>
          </w:tcPr>
          <w:p>
            <w:pPr>
              <w:pStyle w:val="TableContents"/>
              <w:bidi w:val="0"/>
              <w:spacing w:before="0" w:after="283"/>
              <w:jc w:val="center"/>
              <w:rPr/>
            </w:pPr>
            <w:r>
              <w:rPr>
                <w:rStyle w:val="StrongEmphasis"/>
              </w:rPr>
              <w:t>For the three months ended May 31,</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01" w:type="dxa"/>
            <w:gridSpan w:val="2"/>
            <w:tcBorders/>
            <w:vAlign w:val="center"/>
          </w:tcPr>
          <w:p>
            <w:pPr>
              <w:pStyle w:val="TableContents"/>
              <w:bidi w:val="0"/>
              <w:spacing w:before="0" w:after="283"/>
              <w:jc w:val="center"/>
              <w:rPr/>
            </w:pPr>
            <w:r>
              <w:rPr>
                <w:rStyle w:val="StrongEmphasis"/>
              </w:rPr>
              <w:t>% Change</w:t>
            </w:r>
          </w:p>
        </w:tc>
        <w:tc>
          <w:tcPr>
            <w:tcW w:w="146" w:type="dxa"/>
            <w:tcBorders/>
            <w:vAlign w:val="center"/>
          </w:tcPr>
          <w:p>
            <w:pPr>
              <w:pStyle w:val="TableContents"/>
              <w:bidi w:val="0"/>
              <w:spacing w:before="0" w:after="283"/>
              <w:jc w:val="right"/>
              <w:rPr/>
            </w:pPr>
            <w:r>
              <w:rPr/>
              <w:t> </w:t>
            </w:r>
          </w:p>
        </w:tc>
        <w:tc>
          <w:tcPr>
            <w:tcW w:w="3062" w:type="dxa"/>
            <w:gridSpan w:val="7"/>
            <w:tcBorders/>
            <w:vAlign w:val="center"/>
          </w:tcPr>
          <w:p>
            <w:pPr>
              <w:pStyle w:val="TableContents"/>
              <w:bidi w:val="0"/>
              <w:spacing w:before="0" w:after="283"/>
              <w:jc w:val="center"/>
              <w:rPr/>
            </w:pPr>
            <w:r>
              <w:rPr>
                <w:rStyle w:val="StrongEmphasis"/>
              </w:rPr>
              <w:t>For the year ended May 31,</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46" w:type="dxa"/>
            <w:gridSpan w:val="2"/>
            <w:tcBorders/>
            <w:vAlign w:val="center"/>
          </w:tcPr>
          <w:p>
            <w:pPr>
              <w:pStyle w:val="TableContents"/>
              <w:bidi w:val="0"/>
              <w:spacing w:before="0" w:after="283"/>
              <w:jc w:val="center"/>
              <w:rPr/>
            </w:pPr>
            <w:r>
              <w:rPr>
                <w:rStyle w:val="StrongEmphasis"/>
              </w:rPr>
              <w:t>% Change</w:t>
            </w:r>
          </w:p>
        </w:tc>
      </w:tr>
      <w:tr>
        <w:trPr/>
        <w:tc>
          <w:tcPr>
            <w:tcW w:w="1576"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right"/>
              <w:rPr/>
            </w:pPr>
            <w:r>
              <w:rPr/>
              <w:t> </w:t>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895"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c>
          <w:tcPr>
            <w:tcW w:w="146" w:type="dxa"/>
            <w:tcBorders/>
            <w:vAlign w:val="center"/>
          </w:tcPr>
          <w:p>
            <w:pPr>
              <w:pStyle w:val="TableContents"/>
              <w:bidi w:val="0"/>
              <w:spacing w:before="0" w:after="283"/>
              <w:jc w:val="right"/>
              <w:rPr/>
            </w:pPr>
            <w:r>
              <w:rPr/>
              <w:t> </w:t>
            </w:r>
          </w:p>
        </w:tc>
        <w:tc>
          <w:tcPr>
            <w:tcW w:w="136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940"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r>
      <w:tr>
        <w:trPr/>
        <w:tc>
          <w:tcPr>
            <w:tcW w:w="1576" w:type="dxa"/>
            <w:tcBorders/>
            <w:vAlign w:val="center"/>
          </w:tcPr>
          <w:p>
            <w:pPr>
              <w:pStyle w:val="TableContents"/>
              <w:bidi w:val="0"/>
              <w:spacing w:before="0" w:after="283"/>
              <w:jc w:val="left"/>
              <w:rPr/>
            </w:pPr>
            <w:r>
              <w:rPr/>
              <w:t>Net income (loss)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(37,929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(1,267,895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1,229,966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(97</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(105,158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(2,181,356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2,076,198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(95</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Income tax (recovery) expense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13,863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(125,142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139,005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(111</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17,098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(121,017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138,115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(114</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Interest expense,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6,628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3,966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2,662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67</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23,663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29,952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(6,289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(21</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Non-operating income (expense),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984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(54,915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55,899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(102</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1,370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(10,284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11,654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(113</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19,341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34,080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(14,739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(43</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67,601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133,490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(65,889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(49</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Stock-based compensation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14,880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6,100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8,780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144</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45,940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24,289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21,651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89</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Change in fair value of contingent consideration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NM</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(15,000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NM</w:t>
            </w:r>
          </w:p>
        </w:tc>
      </w:tr>
      <w:tr>
        <w:trPr/>
        <w:tc>
          <w:tcPr>
            <w:tcW w:w="1576" w:type="dxa"/>
            <w:tcBorders/>
            <w:vAlign w:val="center"/>
          </w:tcPr>
          <w:p>
            <w:pPr>
              <w:pStyle w:val="TableContents"/>
              <w:bidi w:val="0"/>
              <w:spacing w:before="0" w:after="283"/>
              <w:jc w:val="left"/>
              <w:rPr/>
            </w:pPr>
            <w:r>
              <w:rPr/>
              <w:t>Impairment of intangible assets and goodwill</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1,396,904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(1,396,904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(100</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2,096,139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(2,096,139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(100</w:t>
            </w:r>
          </w:p>
        </w:tc>
        <w:tc>
          <w:tcPr>
            <w:tcW w:w="487" w:type="dxa"/>
            <w:tcBorders/>
            <w:vAlign w:val="center"/>
          </w:tcPr>
          <w:p>
            <w:pPr>
              <w:pStyle w:val="TableContents"/>
              <w:bidi w:val="0"/>
              <w:spacing w:before="0" w:after="283"/>
              <w:jc w:val="left"/>
              <w:rPr/>
            </w:pPr>
            <w:r>
              <w:rPr/>
              <w:t>)%</w:t>
            </w:r>
          </w:p>
        </w:tc>
      </w:tr>
      <w:tr>
        <w:trPr/>
        <w:tc>
          <w:tcPr>
            <w:tcW w:w="1722" w:type="dxa"/>
            <w:gridSpan w:val="2"/>
            <w:tcBorders/>
            <w:vAlign w:val="center"/>
          </w:tcPr>
          <w:p>
            <w:pPr>
              <w:pStyle w:val="TableContents"/>
              <w:bidi w:val="0"/>
              <w:spacing w:before="0" w:after="283"/>
              <w:jc w:val="left"/>
              <w:rPr/>
            </w:pPr>
            <w:r>
              <w:rPr/>
              <w:t>Other than temporary change in fair value of convertible notes receivable</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1,661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(1,661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(100</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21,661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(21,661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(100</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Project 420 business optimization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NM</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2,600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(2,400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(92</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Loss (gain) on sale of capital assets - non-operating facility</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1,787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(1,787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(100</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1,787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(1,787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(100</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Purchase price accounting step-up</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2,150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NM</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2,150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1,610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34</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Litigation costs, net of recoveries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1,405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12,093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(10,688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(88</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3,902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17,347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(13,445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(78</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Restructuring costs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7,192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17,034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(9,842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(58</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13,113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34,283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(21,170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(62</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Transaction costs (income),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3,364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1,971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71</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6,260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4,534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1,726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38</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Adjusted EBITDA</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31,878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27,644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4,234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15</w:t>
            </w:r>
          </w:p>
        </w:tc>
        <w:tc>
          <w:tcPr>
            <w:tcW w:w="40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61,139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55,035</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6,104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w:t>
            </w:r>
          </w:p>
        </w:tc>
        <w:tc>
          <w:tcPr>
            <w:tcW w:w="48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 </w:t>
            </w:r>
          </w:p>
        </w:tc>
      </w:tr>
      <w:tr>
        <w:trPr/>
        <w:tc>
          <w:tcPr>
            <w:tcW w:w="15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42" w:type="dxa"/>
            <w:gridSpan w:val="7"/>
            <w:tcBorders/>
            <w:vAlign w:val="center"/>
          </w:tcPr>
          <w:p>
            <w:pPr>
              <w:pStyle w:val="TableContents"/>
              <w:bidi w:val="0"/>
              <w:spacing w:before="0" w:after="283"/>
              <w:jc w:val="center"/>
              <w:rPr/>
            </w:pPr>
            <w:r>
              <w:rPr>
                <w:rStyle w:val="StrongEmphasis"/>
              </w:rPr>
              <w:t>For the three months ended May 31,</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01" w:type="dxa"/>
            <w:gridSpan w:val="2"/>
            <w:tcBorders/>
            <w:vAlign w:val="center"/>
          </w:tcPr>
          <w:p>
            <w:pPr>
              <w:pStyle w:val="TableContents"/>
              <w:bidi w:val="0"/>
              <w:spacing w:before="0" w:after="283"/>
              <w:jc w:val="center"/>
              <w:rPr/>
            </w:pPr>
            <w:r>
              <w:rPr>
                <w:rStyle w:val="StrongEmphasis"/>
              </w:rPr>
              <w:t>% Change</w:t>
            </w:r>
          </w:p>
        </w:tc>
        <w:tc>
          <w:tcPr>
            <w:tcW w:w="146" w:type="dxa"/>
            <w:tcBorders/>
            <w:vAlign w:val="center"/>
          </w:tcPr>
          <w:p>
            <w:pPr>
              <w:pStyle w:val="TableContents"/>
              <w:bidi w:val="0"/>
              <w:spacing w:before="0" w:after="283"/>
              <w:jc w:val="right"/>
              <w:rPr/>
            </w:pPr>
            <w:r>
              <w:rPr/>
              <w:t> </w:t>
            </w:r>
          </w:p>
        </w:tc>
        <w:tc>
          <w:tcPr>
            <w:tcW w:w="3062" w:type="dxa"/>
            <w:gridSpan w:val="7"/>
            <w:tcBorders/>
            <w:vAlign w:val="center"/>
          </w:tcPr>
          <w:p>
            <w:pPr>
              <w:pStyle w:val="TableContents"/>
              <w:bidi w:val="0"/>
              <w:spacing w:before="0" w:after="283"/>
              <w:jc w:val="center"/>
              <w:rPr/>
            </w:pPr>
            <w:r>
              <w:rPr>
                <w:rStyle w:val="StrongEmphasis"/>
              </w:rPr>
              <w:t>For the year ended May 31,</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46" w:type="dxa"/>
            <w:gridSpan w:val="2"/>
            <w:tcBorders/>
            <w:vAlign w:val="center"/>
          </w:tcPr>
          <w:p>
            <w:pPr>
              <w:pStyle w:val="TableContents"/>
              <w:bidi w:val="0"/>
              <w:spacing w:before="0" w:after="283"/>
              <w:jc w:val="center"/>
              <w:rPr/>
            </w:pPr>
            <w:r>
              <w:rPr>
                <w:rStyle w:val="StrongEmphasis"/>
              </w:rPr>
              <w:t>% Change</w:t>
            </w:r>
          </w:p>
        </w:tc>
      </w:tr>
      <w:tr>
        <w:trPr/>
        <w:tc>
          <w:tcPr>
            <w:tcW w:w="1576"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right"/>
              <w:rPr/>
            </w:pPr>
            <w:r>
              <w:rPr/>
              <w:t> </w:t>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895"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c>
          <w:tcPr>
            <w:tcW w:w="146" w:type="dxa"/>
            <w:tcBorders/>
            <w:vAlign w:val="center"/>
          </w:tcPr>
          <w:p>
            <w:pPr>
              <w:pStyle w:val="TableContents"/>
              <w:bidi w:val="0"/>
              <w:spacing w:before="0" w:after="283"/>
              <w:jc w:val="right"/>
              <w:rPr/>
            </w:pPr>
            <w:r>
              <w:rPr/>
              <w:t> </w:t>
            </w:r>
          </w:p>
        </w:tc>
        <w:tc>
          <w:tcPr>
            <w:tcW w:w="136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940"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r>
      <w:tr>
        <w:trPr/>
        <w:tc>
          <w:tcPr>
            <w:tcW w:w="1576" w:type="dxa"/>
            <w:tcBorders/>
            <w:vAlign w:val="center"/>
          </w:tcPr>
          <w:p>
            <w:pPr>
              <w:pStyle w:val="TableContents"/>
              <w:bidi w:val="0"/>
              <w:spacing w:before="0" w:after="283"/>
              <w:jc w:val="left"/>
              <w:rPr/>
            </w:pPr>
            <w:r>
              <w:rPr/>
              <w:t>Net loss attributable to stockholders of Tilray Brands, Inc.</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(49,572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(1,272,795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1,223,223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(96</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(121,397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(2,186,738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2,065,341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(94</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Non-operating income (expense),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984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(54,915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55,899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(102</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1,370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(10,284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11,654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(113</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19,341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34,080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(14,739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(43</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67,601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133,490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(65,889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(49</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Deferred income tax expense (benefits),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5,584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(128,197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133,781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(104</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8,015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(125,511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133,526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(106</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Stock-based compensation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14,880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6,100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8,780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144</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45,940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24,289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21,651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89</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Change in fair value of contingent consideration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NM</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(15,000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NM</w:t>
            </w:r>
          </w:p>
        </w:tc>
      </w:tr>
      <w:tr>
        <w:trPr/>
        <w:tc>
          <w:tcPr>
            <w:tcW w:w="1576" w:type="dxa"/>
            <w:tcBorders/>
            <w:vAlign w:val="center"/>
          </w:tcPr>
          <w:p>
            <w:pPr>
              <w:pStyle w:val="TableContents"/>
              <w:bidi w:val="0"/>
              <w:spacing w:before="0" w:after="283"/>
              <w:jc w:val="left"/>
              <w:rPr/>
            </w:pPr>
            <w:r>
              <w:rPr/>
              <w:t>Impairment of intangible assets and goodwill</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1,396,904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(1,396,904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(100</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2,096,139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(2,096,139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(100</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Other than temporary change in fair value of convertible notes receivable, attributable to stockholders of Tilray Brands, Inc.</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1,129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(1,129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(100</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14,729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(14,729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(100</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Project 420 business optimization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NM</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2,600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(2,400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(92</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Purchase price accounting step-up</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2,150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NM</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2,150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1,610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34</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Litigation costs, net of recoveries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1,405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12,093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(10,688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(88</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3,902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17,347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(13,445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(78</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Restructuring costs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7,192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17,034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(9,842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(58</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13,113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34,283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(21,170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(62</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Transaction costs (income),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3,364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1,971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9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71</w:t>
            </w:r>
          </w:p>
        </w:tc>
        <w:tc>
          <w:tcPr>
            <w:tcW w:w="4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6,260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4,534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1,726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38</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Adjusted net income (loss)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5,328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13,404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(8,076</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(60</w:t>
            </w:r>
          </w:p>
        </w:tc>
        <w:tc>
          <w:tcPr>
            <w:tcW w:w="40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12,154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6,488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5,666</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87</w:t>
            </w:r>
          </w:p>
        </w:tc>
        <w:tc>
          <w:tcPr>
            <w:tcW w:w="48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Adjusted net income (loss) per share - basic</w:t>
            </w:r>
            <w:r>
              <w:rPr>
                <w:position w:val="8"/>
                <w:sz w:val="19"/>
              </w:rPr>
              <w:t>(1)</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0.05</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0.14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(0.09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(64</w:t>
            </w:r>
          </w:p>
        </w:tc>
        <w:tc>
          <w:tcPr>
            <w:tcW w:w="40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0.11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0.07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0.04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57</w:t>
            </w:r>
          </w:p>
        </w:tc>
        <w:tc>
          <w:tcPr>
            <w:tcW w:w="48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 </w:t>
            </w:r>
          </w:p>
        </w:tc>
      </w:tr>
      <w:tr>
        <w:trPr/>
        <w:tc>
          <w:tcPr>
            <w:tcW w:w="13999" w:type="dxa"/>
            <w:gridSpan w:val="31"/>
            <w:tcBorders/>
            <w:vAlign w:val="center"/>
          </w:tcPr>
          <w:p>
            <w:pPr>
              <w:pStyle w:val="TableContents"/>
              <w:bidi w:val="0"/>
              <w:spacing w:before="0" w:after="283"/>
              <w:jc w:val="left"/>
              <w:rPr/>
            </w:pPr>
            <w:r>
              <w:rPr/>
              <w:t>(1) - Current and prior year share amounts have been retrospectively adjusted to reflect the Reverse Stock Split, which became effective on December 2, 2025.</w:t>
            </w:r>
          </w:p>
        </w:tc>
      </w:tr>
      <w:tr>
        <w:trPr/>
        <w:tc>
          <w:tcPr>
            <w:tcW w:w="157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 </w:t>
            </w:r>
          </w:p>
        </w:tc>
      </w:tr>
      <w:tr>
        <w:trPr/>
        <w:tc>
          <w:tcPr>
            <w:tcW w:w="13999" w:type="dxa"/>
            <w:gridSpan w:val="31"/>
            <w:tcBorders/>
            <w:vAlign w:val="center"/>
          </w:tcPr>
          <w:p>
            <w:pPr>
              <w:pStyle w:val="TableContents"/>
              <w:bidi w:val="0"/>
              <w:spacing w:before="0" w:after="283"/>
              <w:jc w:val="left"/>
              <w:rPr/>
            </w:pPr>
            <w:r>
              <w:rPr>
                <w:rStyle w:val="StrongEmphasis"/>
              </w:rPr>
              <w:t>Other Financial Information: Free Cash Flow</w:t>
            </w:r>
          </w:p>
        </w:tc>
      </w:tr>
      <w:tr>
        <w:trPr/>
        <w:tc>
          <w:tcPr>
            <w:tcW w:w="13999" w:type="dxa"/>
            <w:gridSpan w:val="31"/>
            <w:tcBorders/>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942" w:type="dxa"/>
            <w:gridSpan w:val="7"/>
            <w:tcBorders/>
            <w:vAlign w:val="center"/>
          </w:tcPr>
          <w:p>
            <w:pPr>
              <w:pStyle w:val="TableContents"/>
              <w:bidi w:val="0"/>
              <w:spacing w:before="0" w:after="283"/>
              <w:jc w:val="center"/>
              <w:rPr/>
            </w:pPr>
            <w:r>
              <w:rPr>
                <w:rStyle w:val="StrongEmphasis"/>
              </w:rPr>
              <w:t>For the three months ended May 31,</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01" w:type="dxa"/>
            <w:gridSpan w:val="2"/>
            <w:tcBorders/>
            <w:vAlign w:val="center"/>
          </w:tcPr>
          <w:p>
            <w:pPr>
              <w:pStyle w:val="TableContents"/>
              <w:bidi w:val="0"/>
              <w:spacing w:before="0" w:after="283"/>
              <w:jc w:val="center"/>
              <w:rPr/>
            </w:pPr>
            <w:r>
              <w:rPr>
                <w:rStyle w:val="StrongEmphasis"/>
              </w:rPr>
              <w:t>% Change</w:t>
            </w:r>
          </w:p>
        </w:tc>
        <w:tc>
          <w:tcPr>
            <w:tcW w:w="146" w:type="dxa"/>
            <w:tcBorders/>
            <w:vAlign w:val="center"/>
          </w:tcPr>
          <w:p>
            <w:pPr>
              <w:pStyle w:val="TableContents"/>
              <w:bidi w:val="0"/>
              <w:spacing w:before="0" w:after="283"/>
              <w:jc w:val="right"/>
              <w:rPr/>
            </w:pPr>
            <w:r>
              <w:rPr/>
              <w:t> </w:t>
            </w:r>
          </w:p>
        </w:tc>
        <w:tc>
          <w:tcPr>
            <w:tcW w:w="3062" w:type="dxa"/>
            <w:gridSpan w:val="7"/>
            <w:tcBorders/>
            <w:vAlign w:val="center"/>
          </w:tcPr>
          <w:p>
            <w:pPr>
              <w:pStyle w:val="TableContents"/>
              <w:bidi w:val="0"/>
              <w:spacing w:before="0" w:after="283"/>
              <w:jc w:val="center"/>
              <w:rPr/>
            </w:pPr>
            <w:r>
              <w:rPr>
                <w:rStyle w:val="StrongEmphasis"/>
              </w:rPr>
              <w:t>For the year ended May 31,</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46" w:type="dxa"/>
            <w:gridSpan w:val="2"/>
            <w:tcBorders/>
            <w:vAlign w:val="center"/>
          </w:tcPr>
          <w:p>
            <w:pPr>
              <w:pStyle w:val="TableContents"/>
              <w:bidi w:val="0"/>
              <w:spacing w:before="0" w:after="283"/>
              <w:jc w:val="center"/>
              <w:rPr/>
            </w:pPr>
            <w:r>
              <w:rPr>
                <w:rStyle w:val="StrongEmphasis"/>
              </w:rPr>
              <w:t>% Change</w:t>
            </w:r>
          </w:p>
        </w:tc>
      </w:tr>
      <w:tr>
        <w:trPr/>
        <w:tc>
          <w:tcPr>
            <w:tcW w:w="1576"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right"/>
              <w:rPr/>
            </w:pPr>
            <w:r>
              <w:rPr/>
              <w:t> </w:t>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895"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c>
          <w:tcPr>
            <w:tcW w:w="146" w:type="dxa"/>
            <w:tcBorders/>
            <w:vAlign w:val="center"/>
          </w:tcPr>
          <w:p>
            <w:pPr>
              <w:pStyle w:val="TableContents"/>
              <w:bidi w:val="0"/>
              <w:spacing w:before="0" w:after="283"/>
              <w:jc w:val="right"/>
              <w:rPr/>
            </w:pPr>
            <w:r>
              <w:rPr/>
              <w:t> </w:t>
            </w:r>
          </w:p>
        </w:tc>
        <w:tc>
          <w:tcPr>
            <w:tcW w:w="136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940"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r>
      <w:tr>
        <w:trPr/>
        <w:tc>
          <w:tcPr>
            <w:tcW w:w="1576" w:type="dxa"/>
            <w:tcBorders/>
            <w:vAlign w:val="center"/>
          </w:tcPr>
          <w:p>
            <w:pPr>
              <w:pStyle w:val="TableContents"/>
              <w:bidi w:val="0"/>
              <w:spacing w:before="0" w:after="283"/>
              <w:jc w:val="left"/>
              <w:rPr/>
            </w:pPr>
            <w:r>
              <w:rPr/>
              <w:t>Net cash provided by (used in) operating activities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(37,324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(12,807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(24,517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191</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(69,144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(94,599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25,455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(27</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Less: investments in capital and intangible assets,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(8,440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(340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(8,100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2382</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(29,480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(26,093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(3,387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13</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Free cash flow</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(45,764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(13,147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(32,617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248</w:t>
            </w:r>
          </w:p>
        </w:tc>
        <w:tc>
          <w:tcPr>
            <w:tcW w:w="40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(98,624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(120,692</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22,068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(18</w:t>
            </w:r>
          </w:p>
        </w:tc>
        <w:tc>
          <w:tcPr>
            <w:tcW w:w="48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Add: growth CAPEX</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2,366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93" w:type="dxa"/>
            <w:tcBorders/>
            <w:vAlign w:val="center"/>
          </w:tcPr>
          <w:p>
            <w:pPr>
              <w:pStyle w:val="TableContents"/>
              <w:bidi w:val="0"/>
              <w:spacing w:before="0" w:after="283"/>
              <w:jc w:val="right"/>
              <w:rPr/>
            </w:pPr>
            <w:r>
              <w:rPr/>
              <w:t>980</w:t>
            </w:r>
          </w:p>
        </w:tc>
        <w:tc>
          <w:tcPr>
            <w:tcW w:w="408"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9,779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6,537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3,242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50</w:t>
            </w:r>
          </w:p>
        </w:tc>
        <w:tc>
          <w:tcPr>
            <w:tcW w:w="487" w:type="dxa"/>
            <w:tcBorders/>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left"/>
              <w:rPr/>
            </w:pPr>
            <w:r>
              <w:rPr/>
              <w:t>Add: cash paid for litigation settlements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NM</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2,804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2,804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NM</w:t>
            </w:r>
          </w:p>
        </w:tc>
      </w:tr>
      <w:tr>
        <w:trPr/>
        <w:tc>
          <w:tcPr>
            <w:tcW w:w="1576" w:type="dxa"/>
            <w:tcBorders/>
            <w:vAlign w:val="center"/>
          </w:tcPr>
          <w:p>
            <w:pPr>
              <w:pStyle w:val="TableContents"/>
              <w:bidi w:val="0"/>
              <w:spacing w:before="0" w:after="283"/>
              <w:jc w:val="left"/>
              <w:rPr/>
            </w:pPr>
            <w:r>
              <w:rPr/>
              <w:t>Adjusted free cash flow</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(43,398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(12,928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(30,470</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9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236</w:t>
            </w:r>
          </w:p>
        </w:tc>
        <w:tc>
          <w:tcPr>
            <w:tcW w:w="40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(86,041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(114,155</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28,114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w:t>
            </w:r>
          </w:p>
        </w:tc>
        <w:tc>
          <w:tcPr>
            <w:tcW w:w="48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157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530"/>
        <w:gridCol w:w="146"/>
        <w:gridCol w:w="255"/>
        <w:gridCol w:w="1003"/>
        <w:gridCol w:w="340"/>
        <w:gridCol w:w="165"/>
        <w:gridCol w:w="255"/>
        <w:gridCol w:w="1003"/>
        <w:gridCol w:w="340"/>
        <w:gridCol w:w="146"/>
        <w:gridCol w:w="226"/>
        <w:gridCol w:w="886"/>
        <w:gridCol w:w="301"/>
        <w:gridCol w:w="146"/>
        <w:gridCol w:w="226"/>
        <w:gridCol w:w="886"/>
        <w:gridCol w:w="351"/>
      </w:tblGrid>
      <w:tr>
        <w:trPr/>
        <w:tc>
          <w:tcPr>
            <w:tcW w:w="10205" w:type="dxa"/>
            <w:gridSpan w:val="17"/>
            <w:tcBorders/>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left"/>
              <w:rPr/>
            </w:pPr>
            <w:r>
              <w:rPr>
                <w:rStyle w:val="StrongEmphasis"/>
              </w:rPr>
              <w:t>Other Financial Information: Key Operating Metrics</w:t>
            </w:r>
          </w:p>
        </w:tc>
      </w:tr>
      <w:tr>
        <w:trPr/>
        <w:tc>
          <w:tcPr>
            <w:tcW w:w="10205" w:type="dxa"/>
            <w:gridSpan w:val="17"/>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3361" w:type="dxa"/>
            <w:gridSpan w:val="7"/>
            <w:tcBorders/>
            <w:vAlign w:val="center"/>
          </w:tcPr>
          <w:p>
            <w:pPr>
              <w:pStyle w:val="TableContents"/>
              <w:bidi w:val="0"/>
              <w:spacing w:before="0" w:after="283"/>
              <w:jc w:val="center"/>
              <w:rPr/>
            </w:pPr>
            <w:r>
              <w:rPr>
                <w:rStyle w:val="StrongEmphasis"/>
              </w:rPr>
              <w:t>For the three months ended, May 31,</w:t>
            </w:r>
          </w:p>
        </w:tc>
        <w:tc>
          <w:tcPr>
            <w:tcW w:w="146" w:type="dxa"/>
            <w:tcBorders/>
            <w:vAlign w:val="center"/>
          </w:tcPr>
          <w:p>
            <w:pPr>
              <w:pStyle w:val="TableContents"/>
              <w:bidi w:val="0"/>
              <w:spacing w:before="0" w:after="283"/>
              <w:jc w:val="right"/>
              <w:rPr/>
            </w:pPr>
            <w:r>
              <w:rPr/>
              <w:t> </w:t>
            </w:r>
          </w:p>
        </w:tc>
        <w:tc>
          <w:tcPr>
            <w:tcW w:w="3022" w:type="dxa"/>
            <w:gridSpan w:val="7"/>
            <w:tcBorders/>
            <w:vAlign w:val="center"/>
          </w:tcPr>
          <w:p>
            <w:pPr>
              <w:pStyle w:val="TableContents"/>
              <w:bidi w:val="0"/>
              <w:spacing w:before="0" w:after="283"/>
              <w:jc w:val="center"/>
              <w:rPr/>
            </w:pPr>
            <w:r>
              <w:rPr>
                <w:rStyle w:val="StrongEmphasis"/>
              </w:rPr>
              <w:t>For the year ended May 31,</w:t>
            </w:r>
          </w:p>
        </w:tc>
      </w:tr>
      <w:tr>
        <w:trPr/>
        <w:tc>
          <w:tcPr>
            <w:tcW w:w="3530" w:type="dxa"/>
            <w:tcBorders/>
            <w:vAlign w:val="center"/>
          </w:tcPr>
          <w:p>
            <w:pPr>
              <w:pStyle w:val="TableContents"/>
              <w:bidi w:val="0"/>
              <w:spacing w:before="0" w:after="283"/>
              <w:jc w:val="left"/>
              <w:rPr/>
            </w:pPr>
            <w:r>
              <w:rPr>
                <w:rStyle w:val="StrongEmphasis"/>
              </w:rPr>
              <w:t>(in thousands of U.S. dollars)</w:t>
            </w:r>
          </w:p>
        </w:tc>
        <w:tc>
          <w:tcPr>
            <w:tcW w:w="146" w:type="dxa"/>
            <w:tcBorders/>
            <w:vAlign w:val="center"/>
          </w:tcPr>
          <w:p>
            <w:pPr>
              <w:pStyle w:val="TableContents"/>
              <w:bidi w:val="0"/>
              <w:spacing w:before="0" w:after="283"/>
              <w:jc w:val="right"/>
              <w:rPr/>
            </w:pPr>
            <w:r>
              <w:rPr/>
              <w:t> </w:t>
            </w:r>
          </w:p>
        </w:tc>
        <w:tc>
          <w:tcPr>
            <w:tcW w:w="159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65" w:type="dxa"/>
            <w:tcBorders/>
            <w:vAlign w:val="center"/>
          </w:tcPr>
          <w:p>
            <w:pPr>
              <w:pStyle w:val="TableContents"/>
              <w:bidi w:val="0"/>
              <w:spacing w:before="0" w:after="283"/>
              <w:jc w:val="center"/>
              <w:rPr/>
            </w:pPr>
            <w:r>
              <w:rPr/>
              <w:t> </w:t>
            </w:r>
          </w:p>
        </w:tc>
        <w:tc>
          <w:tcPr>
            <w:tcW w:w="159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46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r>
      <w:tr>
        <w:trPr/>
        <w:tc>
          <w:tcPr>
            <w:tcW w:w="3530" w:type="dxa"/>
            <w:tcBorders/>
            <w:vAlign w:val="center"/>
          </w:tcPr>
          <w:p>
            <w:pPr>
              <w:pStyle w:val="TableContents"/>
              <w:bidi w:val="0"/>
              <w:spacing w:before="0" w:after="283"/>
              <w:jc w:val="left"/>
              <w:rPr/>
            </w:pPr>
            <w:r>
              <w:rPr/>
              <w:t>Net beverage revenue</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w:t>
            </w:r>
          </w:p>
        </w:tc>
        <w:tc>
          <w:tcPr>
            <w:tcW w:w="1003" w:type="dxa"/>
            <w:tcBorders/>
            <w:vAlign w:val="center"/>
          </w:tcPr>
          <w:p>
            <w:pPr>
              <w:pStyle w:val="TableContents"/>
              <w:bidi w:val="0"/>
              <w:spacing w:before="0" w:after="283"/>
              <w:jc w:val="right"/>
              <w:rPr/>
            </w:pPr>
            <w:r>
              <w:rPr/>
              <w:t>105,596</w:t>
            </w:r>
          </w:p>
        </w:tc>
        <w:tc>
          <w:tcPr>
            <w:tcW w:w="34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w:t>
            </w:r>
          </w:p>
        </w:tc>
        <w:tc>
          <w:tcPr>
            <w:tcW w:w="1003" w:type="dxa"/>
            <w:tcBorders/>
            <w:vAlign w:val="center"/>
          </w:tcPr>
          <w:p>
            <w:pPr>
              <w:pStyle w:val="TableContents"/>
              <w:bidi w:val="0"/>
              <w:spacing w:before="0" w:after="283"/>
              <w:jc w:val="right"/>
              <w:rPr/>
            </w:pPr>
            <w:r>
              <w:rPr/>
              <w:t>65,621</w:t>
            </w:r>
          </w:p>
        </w:tc>
        <w:tc>
          <w:tcPr>
            <w:tcW w:w="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253,976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240,595</w:t>
            </w:r>
          </w:p>
        </w:tc>
        <w:tc>
          <w:tcPr>
            <w:tcW w:w="351"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Net cannabis revenue</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71,471</w:t>
            </w:r>
          </w:p>
        </w:tc>
        <w:tc>
          <w:tcPr>
            <w:tcW w:w="34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67,826</w:t>
            </w:r>
          </w:p>
        </w:tc>
        <w:tc>
          <w:tcPr>
            <w:tcW w:w="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268,342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249,001</w:t>
            </w:r>
          </w:p>
        </w:tc>
        <w:tc>
          <w:tcPr>
            <w:tcW w:w="351"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Distribution revenue</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84,958</w:t>
            </w:r>
          </w:p>
        </w:tc>
        <w:tc>
          <w:tcPr>
            <w:tcW w:w="34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74,053</w:t>
            </w:r>
          </w:p>
        </w:tc>
        <w:tc>
          <w:tcPr>
            <w:tcW w:w="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327,244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271,228</w:t>
            </w:r>
          </w:p>
        </w:tc>
        <w:tc>
          <w:tcPr>
            <w:tcW w:w="351"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Wellness revenue</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19,689</w:t>
            </w:r>
          </w:p>
        </w:tc>
        <w:tc>
          <w:tcPr>
            <w:tcW w:w="34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17,035</w:t>
            </w:r>
          </w:p>
        </w:tc>
        <w:tc>
          <w:tcPr>
            <w:tcW w:w="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65,892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60,485</w:t>
            </w:r>
          </w:p>
        </w:tc>
        <w:tc>
          <w:tcPr>
            <w:tcW w:w="351"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Beverage costs</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65,002</w:t>
            </w:r>
          </w:p>
        </w:tc>
        <w:tc>
          <w:tcPr>
            <w:tcW w:w="34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40,630</w:t>
            </w:r>
          </w:p>
        </w:tc>
        <w:tc>
          <w:tcPr>
            <w:tcW w:w="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162,743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147,591</w:t>
            </w:r>
          </w:p>
        </w:tc>
        <w:tc>
          <w:tcPr>
            <w:tcW w:w="351"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Cannabis costs</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39,759</w:t>
            </w:r>
          </w:p>
        </w:tc>
        <w:tc>
          <w:tcPr>
            <w:tcW w:w="34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38,201</w:t>
            </w:r>
          </w:p>
        </w:tc>
        <w:tc>
          <w:tcPr>
            <w:tcW w:w="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161,256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150,005</w:t>
            </w:r>
          </w:p>
        </w:tc>
        <w:tc>
          <w:tcPr>
            <w:tcW w:w="351"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Distribution costs</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73,296</w:t>
            </w:r>
          </w:p>
        </w:tc>
        <w:tc>
          <w:tcPr>
            <w:tcW w:w="34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66,615</w:t>
            </w:r>
          </w:p>
        </w:tc>
        <w:tc>
          <w:tcPr>
            <w:tcW w:w="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286,589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241,896</w:t>
            </w:r>
          </w:p>
        </w:tc>
        <w:tc>
          <w:tcPr>
            <w:tcW w:w="351"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Wellness costs</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13,136</w:t>
            </w:r>
          </w:p>
        </w:tc>
        <w:tc>
          <w:tcPr>
            <w:tcW w:w="34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11,456</w:t>
            </w:r>
          </w:p>
        </w:tc>
        <w:tc>
          <w:tcPr>
            <w:tcW w:w="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44,425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41,247</w:t>
            </w:r>
          </w:p>
        </w:tc>
        <w:tc>
          <w:tcPr>
            <w:tcW w:w="351"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Adjusted gross profit (excluding PPA step-up)</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92,671</w:t>
            </w:r>
          </w:p>
        </w:tc>
        <w:tc>
          <w:tcPr>
            <w:tcW w:w="34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67,633</w:t>
            </w:r>
          </w:p>
        </w:tc>
        <w:tc>
          <w:tcPr>
            <w:tcW w:w="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262,591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242,180</w:t>
            </w:r>
          </w:p>
        </w:tc>
        <w:tc>
          <w:tcPr>
            <w:tcW w:w="351"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Beverage adjusted gross margin (excluding PPA step-up)</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40</w:t>
            </w:r>
          </w:p>
        </w:tc>
        <w:tc>
          <w:tcPr>
            <w:tcW w:w="340"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38</w:t>
            </w:r>
          </w:p>
        </w:tc>
        <w:tc>
          <w:tcPr>
            <w:tcW w:w="34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37</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39</w:t>
            </w:r>
          </w:p>
        </w:tc>
        <w:tc>
          <w:tcPr>
            <w:tcW w:w="351" w:type="dxa"/>
            <w:tcBorders/>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Cannabis adjusted gross margin (excluding PPA step-up)</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44</w:t>
            </w:r>
          </w:p>
        </w:tc>
        <w:tc>
          <w:tcPr>
            <w:tcW w:w="340"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44</w:t>
            </w:r>
          </w:p>
        </w:tc>
        <w:tc>
          <w:tcPr>
            <w:tcW w:w="34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40</w:t>
            </w:r>
          </w:p>
        </w:tc>
        <w:tc>
          <w:tcPr>
            <w:tcW w:w="351" w:type="dxa"/>
            <w:tcBorders/>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Distribution gross margin</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14</w:t>
            </w:r>
          </w:p>
        </w:tc>
        <w:tc>
          <w:tcPr>
            <w:tcW w:w="340"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10</w:t>
            </w:r>
          </w:p>
        </w:tc>
        <w:tc>
          <w:tcPr>
            <w:tcW w:w="34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11</w:t>
            </w:r>
          </w:p>
        </w:tc>
        <w:tc>
          <w:tcPr>
            <w:tcW w:w="351" w:type="dxa"/>
            <w:tcBorders/>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Wellness gross margin</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33</w:t>
            </w:r>
          </w:p>
        </w:tc>
        <w:tc>
          <w:tcPr>
            <w:tcW w:w="340"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33</w:t>
            </w:r>
          </w:p>
        </w:tc>
        <w:tc>
          <w:tcPr>
            <w:tcW w:w="34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32</w:t>
            </w:r>
          </w:p>
        </w:tc>
        <w:tc>
          <w:tcPr>
            <w:tcW w:w="351" w:type="dxa"/>
            <w:tcBorders/>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Adjusted EBITDA</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31,878</w:t>
            </w:r>
          </w:p>
        </w:tc>
        <w:tc>
          <w:tcPr>
            <w:tcW w:w="34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27,644</w:t>
            </w:r>
          </w:p>
        </w:tc>
        <w:tc>
          <w:tcPr>
            <w:tcW w:w="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61,139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55,035</w:t>
            </w:r>
          </w:p>
        </w:tc>
        <w:tc>
          <w:tcPr>
            <w:tcW w:w="351"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Cash, restricted cash and marketable securities as at the year ended:</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234,631</w:t>
            </w:r>
          </w:p>
        </w:tc>
        <w:tc>
          <w:tcPr>
            <w:tcW w:w="34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256,363</w:t>
            </w:r>
          </w:p>
        </w:tc>
        <w:tc>
          <w:tcPr>
            <w:tcW w:w="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234,631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256,363</w:t>
            </w:r>
          </w:p>
        </w:tc>
        <w:tc>
          <w:tcPr>
            <w:tcW w:w="351"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Working capital as at the year ended:</w:t>
            </w:r>
          </w:p>
        </w:tc>
        <w:tc>
          <w:tcPr>
            <w:tcW w:w="146"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433,754</w:t>
            </w:r>
          </w:p>
        </w:tc>
        <w:tc>
          <w:tcPr>
            <w:tcW w:w="34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right"/>
              <w:rPr/>
            </w:pPr>
            <w:r>
              <w:rPr/>
              <w:t> </w:t>
            </w:r>
          </w:p>
        </w:tc>
        <w:tc>
          <w:tcPr>
            <w:tcW w:w="1003" w:type="dxa"/>
            <w:tcBorders/>
            <w:vAlign w:val="center"/>
          </w:tcPr>
          <w:p>
            <w:pPr>
              <w:pStyle w:val="TableContents"/>
              <w:bidi w:val="0"/>
              <w:spacing w:before="0" w:after="283"/>
              <w:jc w:val="right"/>
              <w:rPr/>
            </w:pPr>
            <w:r>
              <w:rPr/>
              <w:t>408,323</w:t>
            </w:r>
          </w:p>
        </w:tc>
        <w:tc>
          <w:tcPr>
            <w:tcW w:w="34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433,754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408,323</w:t>
            </w:r>
          </w:p>
        </w:tc>
        <w:tc>
          <w:tcPr>
            <w:tcW w:w="351"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8" w:type="dxa"/>
            <w:gridSpan w:val="3"/>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right"/>
              <w:rPr/>
            </w:pPr>
            <w:r>
              <w:rPr/>
              <w:t> </w:t>
            </w:r>
          </w:p>
        </w:tc>
        <w:tc>
          <w:tcPr>
            <w:tcW w:w="159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3" w:type="dxa"/>
            <w:gridSpan w:val="3"/>
            <w:tcBorders/>
            <w:vAlign w:val="center"/>
          </w:tcPr>
          <w:p>
            <w:pPr>
              <w:pStyle w:val="TableContents"/>
              <w:bidi w:val="0"/>
              <w:spacing w:before="0" w:after="283"/>
              <w:jc w:val="right"/>
              <w:rPr/>
            </w:pPr>
            <w:r>
              <w:rPr/>
              <w:t> </w:t>
            </w:r>
          </w:p>
        </w:tc>
      </w:tr>
    </w:tbl>
    <w:p>
      <w:pPr>
        <w:pStyle w:val="TextBody"/>
        <w:bidi w:val="0"/>
        <w:spacing w:before="0" w:after="283"/>
        <w:jc w:val="left"/>
        <w:rPr/>
      </w:pPr>
      <w:r>
        <w:rPr/>
      </w:r>
    </w:p>
    <w:tbl>
      <w:tblPr>
        <w:tblW w:w="13729" w:type="dxa"/>
        <w:jc w:val="left"/>
        <w:tblInd w:w="0" w:type="dxa"/>
        <w:tblLayout w:type="fixed"/>
        <w:tblCellMar>
          <w:top w:w="28" w:type="dxa"/>
          <w:left w:w="28" w:type="dxa"/>
          <w:bottom w:w="28" w:type="dxa"/>
          <w:right w:w="28" w:type="dxa"/>
        </w:tblCellMar>
      </w:tblPr>
      <w:tblGrid>
        <w:gridCol w:w="1426"/>
        <w:gridCol w:w="146"/>
        <w:gridCol w:w="226"/>
        <w:gridCol w:w="841"/>
        <w:gridCol w:w="181"/>
        <w:gridCol w:w="146"/>
        <w:gridCol w:w="226"/>
        <w:gridCol w:w="1141"/>
        <w:gridCol w:w="181"/>
        <w:gridCol w:w="146"/>
        <w:gridCol w:w="226"/>
        <w:gridCol w:w="1141"/>
        <w:gridCol w:w="181"/>
        <w:gridCol w:w="146"/>
        <w:gridCol w:w="771"/>
        <w:gridCol w:w="430"/>
        <w:gridCol w:w="146"/>
        <w:gridCol w:w="226"/>
        <w:gridCol w:w="841"/>
        <w:gridCol w:w="181"/>
        <w:gridCol w:w="146"/>
        <w:gridCol w:w="226"/>
        <w:gridCol w:w="1141"/>
        <w:gridCol w:w="181"/>
        <w:gridCol w:w="146"/>
        <w:gridCol w:w="226"/>
        <w:gridCol w:w="1141"/>
        <w:gridCol w:w="181"/>
        <w:gridCol w:w="146"/>
        <w:gridCol w:w="759"/>
        <w:gridCol w:w="487"/>
      </w:tblGrid>
      <w:tr>
        <w:trPr/>
        <w:tc>
          <w:tcPr>
            <w:tcW w:w="13729" w:type="dxa"/>
            <w:gridSpan w:val="31"/>
            <w:tcBorders/>
            <w:vAlign w:val="center"/>
          </w:tcPr>
          <w:p>
            <w:pPr>
              <w:pStyle w:val="TableContents"/>
              <w:bidi w:val="0"/>
              <w:spacing w:before="0" w:after="283"/>
              <w:jc w:val="left"/>
              <w:rPr/>
            </w:pPr>
            <w:r>
              <w:rPr/>
              <w:t> </w:t>
            </w:r>
          </w:p>
        </w:tc>
      </w:tr>
      <w:tr>
        <w:trPr/>
        <w:tc>
          <w:tcPr>
            <w:tcW w:w="13729" w:type="dxa"/>
            <w:gridSpan w:val="31"/>
            <w:tcBorders/>
            <w:vAlign w:val="center"/>
          </w:tcPr>
          <w:p>
            <w:pPr>
              <w:pStyle w:val="TableContents"/>
              <w:bidi w:val="0"/>
              <w:spacing w:before="0" w:after="283"/>
              <w:jc w:val="left"/>
              <w:rPr/>
            </w:pPr>
            <w:r>
              <w:rPr>
                <w:rStyle w:val="StrongEmphasis"/>
              </w:rPr>
              <w:t>Other Financial Information: Adjusted cash operating income (loss)</w:t>
            </w:r>
          </w:p>
        </w:tc>
      </w:tr>
      <w:tr>
        <w:trPr/>
        <w:tc>
          <w:tcPr>
            <w:tcW w:w="13729" w:type="dxa"/>
            <w:gridSpan w:val="31"/>
            <w:tcBorders/>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42" w:type="dxa"/>
            <w:gridSpan w:val="7"/>
            <w:tcBorders/>
            <w:vAlign w:val="center"/>
          </w:tcPr>
          <w:p>
            <w:pPr>
              <w:pStyle w:val="TableContents"/>
              <w:bidi w:val="0"/>
              <w:spacing w:before="0" w:after="283"/>
              <w:jc w:val="center"/>
              <w:rPr/>
            </w:pPr>
            <w:r>
              <w:rPr>
                <w:rStyle w:val="StrongEmphasis"/>
              </w:rPr>
              <w:t>For the three months ended May 31,</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01" w:type="dxa"/>
            <w:gridSpan w:val="2"/>
            <w:tcBorders/>
            <w:vAlign w:val="center"/>
          </w:tcPr>
          <w:p>
            <w:pPr>
              <w:pStyle w:val="TableContents"/>
              <w:bidi w:val="0"/>
              <w:spacing w:before="0" w:after="283"/>
              <w:jc w:val="center"/>
              <w:rPr/>
            </w:pPr>
            <w:r>
              <w:rPr>
                <w:rStyle w:val="StrongEmphasis"/>
              </w:rPr>
              <w:t>% Change</w:t>
            </w:r>
          </w:p>
        </w:tc>
        <w:tc>
          <w:tcPr>
            <w:tcW w:w="146" w:type="dxa"/>
            <w:tcBorders/>
            <w:vAlign w:val="center"/>
          </w:tcPr>
          <w:p>
            <w:pPr>
              <w:pStyle w:val="TableContents"/>
              <w:bidi w:val="0"/>
              <w:spacing w:before="0" w:after="283"/>
              <w:jc w:val="right"/>
              <w:rPr/>
            </w:pPr>
            <w:r>
              <w:rPr/>
              <w:t> </w:t>
            </w:r>
          </w:p>
        </w:tc>
        <w:tc>
          <w:tcPr>
            <w:tcW w:w="2942" w:type="dxa"/>
            <w:gridSpan w:val="7"/>
            <w:tcBorders/>
            <w:vAlign w:val="center"/>
          </w:tcPr>
          <w:p>
            <w:pPr>
              <w:pStyle w:val="TableContents"/>
              <w:bidi w:val="0"/>
              <w:spacing w:before="0" w:after="283"/>
              <w:jc w:val="center"/>
              <w:rPr/>
            </w:pPr>
            <w:r>
              <w:rPr>
                <w:rStyle w:val="StrongEmphasis"/>
              </w:rPr>
              <w:t>For the year ended May 31,</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center"/>
              <w:rPr/>
            </w:pPr>
            <w:r>
              <w:rPr>
                <w:rStyle w:val="StrongEmphasis"/>
              </w:rPr>
              <w:t>Change</w:t>
            </w:r>
          </w:p>
        </w:tc>
        <w:tc>
          <w:tcPr>
            <w:tcW w:w="146" w:type="dxa"/>
            <w:tcBorders/>
            <w:vAlign w:val="center"/>
          </w:tcPr>
          <w:p>
            <w:pPr>
              <w:pStyle w:val="TableContents"/>
              <w:bidi w:val="0"/>
              <w:spacing w:before="0" w:after="283"/>
              <w:jc w:val="center"/>
              <w:rPr/>
            </w:pPr>
            <w:r>
              <w:rPr/>
              <w:t> </w:t>
            </w:r>
          </w:p>
        </w:tc>
        <w:tc>
          <w:tcPr>
            <w:tcW w:w="1246" w:type="dxa"/>
            <w:gridSpan w:val="2"/>
            <w:tcBorders/>
            <w:vAlign w:val="center"/>
          </w:tcPr>
          <w:p>
            <w:pPr>
              <w:pStyle w:val="TableContents"/>
              <w:bidi w:val="0"/>
              <w:spacing w:before="0" w:after="283"/>
              <w:jc w:val="center"/>
              <w:rPr/>
            </w:pPr>
            <w:r>
              <w:rPr>
                <w:rStyle w:val="StrongEmphasis"/>
              </w:rPr>
              <w:t>% Change</w:t>
            </w:r>
          </w:p>
        </w:tc>
      </w:tr>
      <w:tr>
        <w:trPr/>
        <w:tc>
          <w:tcPr>
            <w:tcW w:w="14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895"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c>
          <w:tcPr>
            <w:tcW w:w="146" w:type="dxa"/>
            <w:tcBorders/>
            <w:vAlign w:val="center"/>
          </w:tcPr>
          <w:p>
            <w:pPr>
              <w:pStyle w:val="TableContents"/>
              <w:bidi w:val="0"/>
              <w:spacing w:before="0" w:after="283"/>
              <w:jc w:val="right"/>
              <w:rPr/>
            </w:pPr>
            <w:r>
              <w:rPr/>
              <w:t> </w:t>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940"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 vs. 2025</w:t>
            </w:r>
          </w:p>
        </w:tc>
      </w:tr>
      <w:tr>
        <w:trPr/>
        <w:tc>
          <w:tcPr>
            <w:tcW w:w="1426" w:type="dxa"/>
            <w:tcBorders/>
            <w:vAlign w:val="center"/>
          </w:tcPr>
          <w:p>
            <w:pPr>
              <w:pStyle w:val="TableContents"/>
              <w:bidi w:val="0"/>
              <w:spacing w:before="0" w:after="283"/>
              <w:jc w:val="left"/>
              <w:rPr/>
            </w:pPr>
            <w:r>
              <w:rPr/>
              <w:t>Operating loss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(16,454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(1,443,986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1,427,532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71" w:type="dxa"/>
            <w:tcBorders/>
            <w:vAlign w:val="center"/>
          </w:tcPr>
          <w:p>
            <w:pPr>
              <w:pStyle w:val="TableContents"/>
              <w:bidi w:val="0"/>
              <w:spacing w:before="0" w:after="283"/>
              <w:jc w:val="right"/>
              <w:rPr/>
            </w:pPr>
            <w:r>
              <w:rPr/>
              <w:t>(99</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(63,027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(2,282,705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2,219,678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(97</w:t>
            </w:r>
          </w:p>
        </w:tc>
        <w:tc>
          <w:tcPr>
            <w:tcW w:w="487" w:type="dxa"/>
            <w:tcBorders/>
            <w:vAlign w:val="center"/>
          </w:tcPr>
          <w:p>
            <w:pPr>
              <w:pStyle w:val="TableContents"/>
              <w:bidi w:val="0"/>
              <w:spacing w:before="0" w:after="283"/>
              <w:jc w:val="left"/>
              <w:rPr/>
            </w:pPr>
            <w:r>
              <w:rPr/>
              <w:t>)%</w:t>
            </w:r>
          </w:p>
        </w:tc>
      </w:tr>
      <w:tr>
        <w:trPr/>
        <w:tc>
          <w:tcPr>
            <w:tcW w:w="1426" w:type="dxa"/>
            <w:tcBorders/>
            <w:vAlign w:val="center"/>
          </w:tcPr>
          <w:p>
            <w:pPr>
              <w:pStyle w:val="TableContents"/>
              <w:bidi w:val="0"/>
              <w:spacing w:before="0" w:after="283"/>
              <w:jc w:val="left"/>
              <w:rPr/>
            </w:pPr>
            <w:r>
              <w:rPr/>
              <w:t>Change in fair value of contingent consideration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NM</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(15,000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NM</w:t>
            </w:r>
          </w:p>
        </w:tc>
      </w:tr>
      <w:tr>
        <w:trPr/>
        <w:tc>
          <w:tcPr>
            <w:tcW w:w="1426" w:type="dxa"/>
            <w:tcBorders/>
            <w:vAlign w:val="center"/>
          </w:tcPr>
          <w:p>
            <w:pPr>
              <w:pStyle w:val="TableContents"/>
              <w:bidi w:val="0"/>
              <w:spacing w:before="0" w:after="283"/>
              <w:jc w:val="left"/>
              <w:rPr/>
            </w:pPr>
            <w:r>
              <w:rPr/>
              <w:t>Impairments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1,396,904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(1,396,904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71" w:type="dxa"/>
            <w:tcBorders/>
            <w:vAlign w:val="center"/>
          </w:tcPr>
          <w:p>
            <w:pPr>
              <w:pStyle w:val="TableContents"/>
              <w:bidi w:val="0"/>
              <w:spacing w:before="0" w:after="283"/>
              <w:jc w:val="right"/>
              <w:rPr/>
            </w:pPr>
            <w:r>
              <w:rPr/>
              <w:t>(100</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2,096,139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(2,096,139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(100</w:t>
            </w:r>
          </w:p>
        </w:tc>
        <w:tc>
          <w:tcPr>
            <w:tcW w:w="487" w:type="dxa"/>
            <w:tcBorders/>
            <w:vAlign w:val="center"/>
          </w:tcPr>
          <w:p>
            <w:pPr>
              <w:pStyle w:val="TableContents"/>
              <w:bidi w:val="0"/>
              <w:spacing w:before="0" w:after="283"/>
              <w:jc w:val="left"/>
              <w:rPr/>
            </w:pPr>
            <w:r>
              <w:rPr/>
              <w:t>)%</w:t>
            </w:r>
          </w:p>
        </w:tc>
      </w:tr>
      <w:tr>
        <w:trPr/>
        <w:tc>
          <w:tcPr>
            <w:tcW w:w="1426" w:type="dxa"/>
            <w:tcBorders/>
            <w:vAlign w:val="center"/>
          </w:tcPr>
          <w:p>
            <w:pPr>
              <w:pStyle w:val="TableContents"/>
              <w:bidi w:val="0"/>
              <w:spacing w:before="0" w:after="283"/>
              <w:jc w:val="left"/>
              <w:rPr/>
            </w:pPr>
            <w:r>
              <w:rPr/>
              <w:t>Other than temporary change in fair value of convertible notes receivable, attributable to stockholders of Tilray Brands, Inc.</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1,661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(1,661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71" w:type="dxa"/>
            <w:tcBorders/>
            <w:vAlign w:val="center"/>
          </w:tcPr>
          <w:p>
            <w:pPr>
              <w:pStyle w:val="TableContents"/>
              <w:bidi w:val="0"/>
              <w:spacing w:before="0" w:after="283"/>
              <w:jc w:val="right"/>
              <w:rPr/>
            </w:pPr>
            <w:r>
              <w:rPr/>
              <w:t>(100</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21,661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(21,661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(100</w:t>
            </w:r>
          </w:p>
        </w:tc>
        <w:tc>
          <w:tcPr>
            <w:tcW w:w="487" w:type="dxa"/>
            <w:tcBorders/>
            <w:vAlign w:val="center"/>
          </w:tcPr>
          <w:p>
            <w:pPr>
              <w:pStyle w:val="TableContents"/>
              <w:bidi w:val="0"/>
              <w:spacing w:before="0" w:after="283"/>
              <w:jc w:val="left"/>
              <w:rPr/>
            </w:pPr>
            <w:r>
              <w:rPr/>
              <w:t>)%</w:t>
            </w:r>
          </w:p>
        </w:tc>
      </w:tr>
      <w:tr>
        <w:trPr/>
        <w:tc>
          <w:tcPr>
            <w:tcW w:w="1426" w:type="dxa"/>
            <w:tcBorders/>
            <w:vAlign w:val="center"/>
          </w:tcPr>
          <w:p>
            <w:pPr>
              <w:pStyle w:val="TableContents"/>
              <w:bidi w:val="0"/>
              <w:spacing w:before="0" w:after="283"/>
              <w:jc w:val="left"/>
              <w:rPr/>
            </w:pPr>
            <w:r>
              <w:rPr/>
              <w:t>Amortization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19,341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34,080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(14,739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71" w:type="dxa"/>
            <w:tcBorders/>
            <w:vAlign w:val="center"/>
          </w:tcPr>
          <w:p>
            <w:pPr>
              <w:pStyle w:val="TableContents"/>
              <w:bidi w:val="0"/>
              <w:spacing w:before="0" w:after="283"/>
              <w:jc w:val="right"/>
              <w:rPr/>
            </w:pPr>
            <w:r>
              <w:rPr/>
              <w:t>(43</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67,601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133,490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(65,889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(49</w:t>
            </w:r>
          </w:p>
        </w:tc>
        <w:tc>
          <w:tcPr>
            <w:tcW w:w="487" w:type="dxa"/>
            <w:tcBorders/>
            <w:vAlign w:val="center"/>
          </w:tcPr>
          <w:p>
            <w:pPr>
              <w:pStyle w:val="TableContents"/>
              <w:bidi w:val="0"/>
              <w:spacing w:before="0" w:after="283"/>
              <w:jc w:val="left"/>
              <w:rPr/>
            </w:pPr>
            <w:r>
              <w:rPr/>
              <w:t>)%</w:t>
            </w:r>
          </w:p>
        </w:tc>
      </w:tr>
      <w:tr>
        <w:trPr/>
        <w:tc>
          <w:tcPr>
            <w:tcW w:w="1426" w:type="dxa"/>
            <w:tcBorders/>
            <w:vAlign w:val="center"/>
          </w:tcPr>
          <w:p>
            <w:pPr>
              <w:pStyle w:val="TableContents"/>
              <w:bidi w:val="0"/>
              <w:spacing w:before="0" w:after="283"/>
              <w:jc w:val="left"/>
              <w:rPr/>
            </w:pPr>
            <w:r>
              <w:rPr/>
              <w:t>Stock-based compensation</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14,880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6,100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8,780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71" w:type="dxa"/>
            <w:tcBorders/>
            <w:vAlign w:val="center"/>
          </w:tcPr>
          <w:p>
            <w:pPr>
              <w:pStyle w:val="TableContents"/>
              <w:bidi w:val="0"/>
              <w:spacing w:before="0" w:after="283"/>
              <w:jc w:val="right"/>
              <w:rPr/>
            </w:pPr>
            <w:r>
              <w:rPr/>
              <w:t>144</w:t>
            </w:r>
          </w:p>
        </w:tc>
        <w:tc>
          <w:tcPr>
            <w:tcW w:w="43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45,940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24,289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21,651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vAlign w:val="center"/>
          </w:tcPr>
          <w:p>
            <w:pPr>
              <w:pStyle w:val="TableContents"/>
              <w:bidi w:val="0"/>
              <w:spacing w:before="0" w:after="283"/>
              <w:jc w:val="right"/>
              <w:rPr/>
            </w:pPr>
            <w:r>
              <w:rPr/>
              <w:t>89</w:t>
            </w:r>
          </w:p>
        </w:tc>
        <w:tc>
          <w:tcPr>
            <w:tcW w:w="487" w:type="dxa"/>
            <w:tcBorders/>
            <w:vAlign w:val="center"/>
          </w:tcPr>
          <w:p>
            <w:pPr>
              <w:pStyle w:val="TableContents"/>
              <w:bidi w:val="0"/>
              <w:spacing w:before="0" w:after="283"/>
              <w:jc w:val="left"/>
              <w:rPr/>
            </w:pPr>
            <w:r>
              <w:rPr/>
              <w:t>%</w:t>
            </w:r>
          </w:p>
        </w:tc>
      </w:tr>
      <w:tr>
        <w:trPr/>
        <w:tc>
          <w:tcPr>
            <w:tcW w:w="1426" w:type="dxa"/>
            <w:tcBorders/>
            <w:vAlign w:val="center"/>
          </w:tcPr>
          <w:p>
            <w:pPr>
              <w:pStyle w:val="TableContents"/>
              <w:bidi w:val="0"/>
              <w:spacing w:before="0" w:after="283"/>
              <w:jc w:val="left"/>
              <w:rPr/>
            </w:pPr>
            <w:r>
              <w:rPr>
                <w:rStyle w:val="StrongEmphasis"/>
              </w:rPr>
              <w:t>Adjusted cash operating income (loss)</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17,767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(5,241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23,008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7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(439</w:t>
            </w:r>
          </w:p>
        </w:tc>
        <w:tc>
          <w:tcPr>
            <w:tcW w:w="4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35,514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(7,126</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42,640</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(598</w:t>
            </w:r>
          </w:p>
        </w:tc>
        <w:tc>
          <w:tcPr>
            <w:tcW w:w="48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142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0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46" w:type="dxa"/>
            <w:gridSpan w:val="2"/>
            <w:tcBorders/>
            <w:vAlign w:val="center"/>
          </w:tcPr>
          <w:p>
            <w:pPr>
              <w:pStyle w:val="TableContents"/>
              <w:bidi w:val="0"/>
              <w:spacing w:before="0" w:after="283"/>
              <w:jc w:val="righ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7802</Words>
  <Characters>41914</Characters>
  <CharactersWithSpaces>50675</CharactersWithSpaces>
  <Paragraphs>5813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