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10,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Tilray Brands,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TLRY</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10, 2024, Tilray Brands, Inc. (“Tilray”) issued a press release announcing financial results for its first quarter ended August 31, 2024. A copy of the press release is furnished herewith as Exhibit 99.1.</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Tilray, whether made before or after the date hereof, regardless of any general incorporation language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364"/>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October 10, 2024</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98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69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9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Tilray Brands, Inc.</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10, 2024</w:t>
            </w:r>
          </w:p>
        </w:tc>
        <w:tc>
          <w:tcPr>
            <w:tcW w:w="39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Mitchell Gendel</w:t>
            </w:r>
          </w:p>
        </w:tc>
      </w:tr>
      <w:tr>
        <w:trPr>
          <w:trHeight w:val="237"/>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Mitchell Gendel</w:t>
            </w:r>
          </w:p>
        </w:tc>
      </w:tr>
      <w:tr>
        <w:trPr>
          <w:trHeight w:val="243"/>
        </w:trPr>
        <w:tc>
          <w:tcPr>
            <w:tcW w:w="35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8"/>
              </w:rPr>
              <w:t>Global General Counsel</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Tilray Brands Reports Q1 2025 Financial Results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Tilray Achieves 13% Year-Over-Year Growth, Generating Record Q1 Net Revenue of $200 Million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Q1 Gross Margin Increases Over 500 Basis Points, Representing 20% Year-Over-Year Growth</w:t>
      </w:r>
    </w:p>
    <w:p>
      <w:pPr>
        <w:spacing w:after="0" w:line="206" w:lineRule="exact"/>
        <w:rPr>
          <w:sz w:val="20"/>
          <w:szCs w:val="20"/>
          <w:color w:val="auto"/>
        </w:rPr>
      </w:pPr>
    </w:p>
    <w:p>
      <w:pPr>
        <w:jc w:val="center"/>
        <w:ind w:left="340" w:right="1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Tilray Beverages Achieves 132% Net Revenue Growth, Tilray Alternative Beverages Launched in October to Fuel Key U.S. Markets with Hemp-Derived Delta-9 THC Products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German Medical Cannabis Flower Revenue Increases by 50% Following Legalization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Conference Call to be Held at 8:30 a.m. ET Today</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NEW YORK and LEAMINGTON, Ontario, Oct. 10, 2024 (GLOBE NEWSWIRE) -- Tilray Brands, Inc. (“Tilray”, “our”, “we” or the “Company”) (Nasdaq: TLRY; TSX: TLRY), a leading global lifestyle and consumer packaged goods company, today reported financial results for its first quarter ended August 31, 2024. All financial information in this press release is reported in U.S. dollars, unless otherwise indicated.</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Irwin D. Simon, Tilray Brands’ Chairman and Chief Executive Officer, stated, “As the Chairman and CEO of Tilray Brands, I am excited to lead a company that is disrupting the CPG industry through innovative products that are transforming the way consumers eat, drink, and unwind with cannabis, hemp and beverage products. Our investments in the cannabis, wellness, beverage, and distribution industries are focused on shaping the future and staying ahead of the curve. We are dedicated to executing our strategic plan to increase revenue, drive operational efficiencies, and improve margins and profitability while investing in our continued growth. Our commitment to innovation and growth is unwavering.”</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Mr. Simon, continued, “We believe that there is a greater likelihood that the upcoming U.S. Presidential elections will result in improved regulatory changes in the cannabis industry, as both candidates have publicly confirmed their support for further legalization. We are optimistic about the future of the cannabis industry and look forward to the potential opportunities that lie ahead.”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Highlights – First Quarter Fiscal Year 2025</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Net revenue increased 13% to $200 million in the first quarter compared to $177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Gross profit increased by 35% to $59.7 million in the first quarter compared to $44.2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Gross margin increased to 30% in the first quarter compared to 25% in the prior year quarter.</w:t>
      </w:r>
    </w:p>
    <w:p>
      <w:pPr>
        <w:ind w:left="540"/>
        <w:spacing w:after="0" w:line="231" w:lineRule="auto"/>
        <w:rPr>
          <w:sz w:val="20"/>
          <w:szCs w:val="20"/>
          <w:color w:val="auto"/>
        </w:rPr>
      </w:pPr>
      <w:r>
        <w:rPr>
          <w:rFonts w:ascii="Times New Roman" w:cs="Times New Roman" w:eastAsia="Times New Roman" w:hAnsi="Times New Roman"/>
          <w:sz w:val="22"/>
          <w:szCs w:val="22"/>
          <w:color w:val="auto"/>
        </w:rPr>
        <w:t>Net loss improved by 38% to $(34.7) million in the first quarter compared to $(55.9)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Net loss per share improved to $(0.04) in the first quarter compared to $(0.10)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Adjusted net loss per share improved to $(0.01) in the first quarter compared to $(0.04)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Adjusted EBITDA in the first quarter was $9.3 million compared to $10.7 million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Beverage alcohol net revenue including acquisitions increased 132% to $56.0 million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line="230" w:lineRule="auto"/>
        <w:rPr>
          <w:sz w:val="20"/>
          <w:szCs w:val="20"/>
          <w:color w:val="auto"/>
        </w:rPr>
      </w:pPr>
      <w:r>
        <w:rPr>
          <w:rFonts w:ascii="Times New Roman" w:cs="Times New Roman" w:eastAsia="Times New Roman" w:hAnsi="Times New Roman"/>
          <w:sz w:val="22"/>
          <w:szCs w:val="22"/>
          <w:color w:val="auto"/>
        </w:rPr>
        <w:t>Beverage alcohol gross margin was 41% in the first quarter.</w:t>
      </w:r>
    </w:p>
    <w:p>
      <w:pPr>
        <w:ind w:left="540"/>
        <w:spacing w:after="0" w:line="231" w:lineRule="auto"/>
        <w:rPr>
          <w:sz w:val="20"/>
          <w:szCs w:val="20"/>
          <w:color w:val="auto"/>
        </w:rPr>
      </w:pPr>
      <w:r>
        <w:rPr>
          <w:rFonts w:ascii="Times New Roman" w:cs="Times New Roman" w:eastAsia="Times New Roman" w:hAnsi="Times New Roman"/>
          <w:sz w:val="22"/>
          <w:szCs w:val="22"/>
          <w:color w:val="auto"/>
        </w:rPr>
        <w:t>Cannabis net revenue was $61.2 million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ind w:right="4600"/>
        <w:spacing w:after="0" w:line="230" w:lineRule="auto"/>
        <w:rPr>
          <w:sz w:val="20"/>
          <w:szCs w:val="20"/>
          <w:color w:val="auto"/>
        </w:rPr>
      </w:pPr>
      <w:r>
        <w:rPr>
          <w:rFonts w:ascii="Times New Roman" w:cs="Times New Roman" w:eastAsia="Times New Roman" w:hAnsi="Times New Roman"/>
          <w:sz w:val="22"/>
          <w:szCs w:val="22"/>
          <w:color w:val="auto"/>
        </w:rPr>
        <w:t>Cannabis gross margin was 40% in the first quarter.</w:t>
      </w:r>
    </w:p>
    <w:p>
      <w:pPr>
        <w:jc w:val="center"/>
        <w:ind w:right="4800"/>
        <w:spacing w:after="0" w:line="231" w:lineRule="auto"/>
        <w:rPr>
          <w:sz w:val="20"/>
          <w:szCs w:val="20"/>
          <w:color w:val="auto"/>
        </w:rPr>
      </w:pPr>
      <w:r>
        <w:rPr>
          <w:rFonts w:ascii="Times New Roman" w:cs="Times New Roman" w:eastAsia="Times New Roman" w:hAnsi="Times New Roman"/>
          <w:sz w:val="22"/>
          <w:szCs w:val="22"/>
          <w:color w:val="auto"/>
        </w:rPr>
        <w:t>Distribution net revenue was $68.1 million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ind w:right="4360"/>
        <w:spacing w:after="0" w:line="230" w:lineRule="auto"/>
        <w:rPr>
          <w:sz w:val="20"/>
          <w:szCs w:val="20"/>
          <w:color w:val="auto"/>
        </w:rPr>
      </w:pPr>
      <w:r>
        <w:rPr>
          <w:rFonts w:ascii="Times New Roman" w:cs="Times New Roman" w:eastAsia="Times New Roman" w:hAnsi="Times New Roman"/>
          <w:sz w:val="22"/>
          <w:szCs w:val="22"/>
          <w:color w:val="auto"/>
        </w:rPr>
        <w:t>Distribution gross margin was 12% in the first quarter.</w:t>
      </w:r>
    </w:p>
    <w:p>
      <w:pPr>
        <w:ind w:left="540"/>
        <w:spacing w:after="0" w:line="231" w:lineRule="auto"/>
        <w:rPr>
          <w:sz w:val="20"/>
          <w:szCs w:val="20"/>
          <w:color w:val="auto"/>
        </w:rPr>
      </w:pPr>
      <w:r>
        <w:rPr>
          <w:rFonts w:ascii="Times New Roman" w:cs="Times New Roman" w:eastAsia="Times New Roman" w:hAnsi="Times New Roman"/>
          <w:sz w:val="22"/>
          <w:szCs w:val="22"/>
          <w:color w:val="auto"/>
        </w:rPr>
        <w:t>Wellness net revenue increased 11% to $14.8 million in first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22"/>
          <w:szCs w:val="22"/>
          <w:color w:val="auto"/>
        </w:rPr>
        <w:t>Wellness gross margin was 32% in the first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Live Conference Call and Audio Webcast</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Tilray Brands will host a webcast to discuss these results today at 8:30 a.m. ET. Investors may join the live webcast available on the Investors section of the Company’s website at www.tilray.com. A replay will be available and archived on the Company’s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Tilray Brands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 Tilray’s unprecedented platform supports over 40 brands in over 20 countries, including comprehensive cannabis offerings, hemp-based foods, and craft beverages.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more information on how we are elevating lives through moments of connection, visit Tilray.com and follow @Tilray on all social platforms.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Tilray Brands, visit www.Tilray.com and follow @Tilray</w:t>
      </w:r>
    </w:p>
    <w:p>
      <w:pPr>
        <w:sectPr>
          <w:pgSz w:w="11900" w:h="16838" w:orient="portrait"/>
          <w:cols w:equalWidth="0" w:num="1">
            <w:col w:w="11240"/>
          </w:cols>
          <w:pgMar w:left="320" w:top="108" w:right="339" w:bottom="5" w:gutter="0" w:footer="0" w:header="0"/>
        </w:sectPr>
      </w:pPr>
    </w:p>
    <w:bookmarkStart w:id="4" w:name="page5"/>
    <w:bookmarkEnd w:id="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Statement Concerning Forward-Looking Statements</w:t>
      </w:r>
    </w:p>
    <w:p>
      <w:pPr>
        <w:spacing w:after="0" w:line="2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Forward-looking statements include statements regarding our intentions, beliefs, projections, outlook, analyses or current expectations concerning, among other things: the Company’s ability to disrupt the CPG industry for cannabis, hemp, and beverage consumption;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expected revenue growth, sales volume, profitability, synergies and accretion related to any of its acquisitions; expected commercial opportunities and regulatory developments in the U.S., including upon U.S. federal cannabis legalization or rescheduling; the Company’s anticipated investments and acquisitions, including in organic and strategic growth, partnership efforts, product offerings and other initiatives; the Company’s ability to commercialize new and innovative products; market opportunities and regulatory risks for Hemp-Derived Delta-9 (HDD9) beverage products, and expected sales, distribution, margin, price and revenue generation projections; consumer sentiment regarding HDD9 beverage products; and Tilray’s strategy and anticipated offerings within the HDD9 beverage product segment.</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Non-U.S. GAAP Financial Measures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net income (loss), Adjusted net income (loss) per share, free cash flow, adjusted free cash flow, constant currency presentations of revenue and cash and marketable securities.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foreign exchange movements and other items. The unavailable information could have a significant impact on the Company's GAAP financial results.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above in this press release.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Adjusted EBITDA is calculated as net income (loss) before income tax benefits, net; interest expense, net; non-operating income (expense), net; amortization; stock-based compensation; change in fair value of contingent consideration; purchase price accounting step-up; facility start-up and closure costs; litigation costs; restructuring costs, and transaction (income) costs, net. A</w:t>
      </w:r>
    </w:p>
    <w:p>
      <w:pPr>
        <w:sectPr>
          <w:pgSz w:w="11900" w:h="16922" w:orient="portrait"/>
          <w:cols w:equalWidth="0" w:num="1">
            <w:col w:w="11240"/>
          </w:cols>
          <w:pgMar w:left="320" w:top="108" w:right="339" w:bottom="0" w:gutter="0" w:footer="0" w:header="0"/>
        </w:sectPr>
      </w:pPr>
    </w:p>
    <w:bookmarkStart w:id="5" w:name="page6"/>
    <w:bookmarkEnd w:id="5"/>
    <w:p>
      <w:pPr>
        <w:jc w:val="both"/>
        <w:spacing w:after="0" w:line="234" w:lineRule="auto"/>
        <w:rPr>
          <w:sz w:val="20"/>
          <w:szCs w:val="20"/>
          <w:color w:val="auto"/>
        </w:rPr>
      </w:pPr>
      <w:r>
        <w:rPr>
          <w:rFonts w:ascii="Times New Roman" w:cs="Times New Roman" w:eastAsia="Times New Roman" w:hAnsi="Times New Roman"/>
          <w:sz w:val="22"/>
          <w:szCs w:val="22"/>
          <w:color w:val="auto"/>
        </w:rPr>
        <w:t>reconciliation of Adjusted EBITDA to net loss, the most directly comparable GAAP measure, has been provided in the financial statement tables included below in this press release. Historically, we have included lease expenses for leases that were treated differently under IFRS 16 and ASC 842 in the calculation of adjusted EBITDA, aiming to align our definition with industry peers reporting under IFRS. The decision to include these lease expenses in the Company's definition of adjusted EBITDA was based on our efforts to maintain comparability with peers. However, as the Company has continued to diversify, particularly with strategic acquisitions such as the newly acquired beverage alcohol business portfolio, this comparison is no longer relevant, accordingly, we are no longer including this adjustment. Had the Company continued to include lease expenses that were treated differently under IFRS 16 and ASC 842, the impact to adjusted EBITDA would have been $0.7 million for the three months ended August 31, 2023.</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Adjusted net income (loss) is calculated as net loss attributable to stockholders of Tilray Brands, Inc., less; non-operating income (expense), net; amortization; stock-based compensation; change in fair value of contingent consideration; facility start-up and closure costs;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Adjusted net income (loss) per share is calculated as net loss attributable to stockholders of Tilray Brands, Inc., net; non-operating income (expense), net; amortization; stock-based compensation; change in fair value of contingent consideration; facility start-up and closure costs;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above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above in this press release.</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 intangible assets, net, which excludes the amount of capital expenditures that are considered to be associated with growth of future operations rather than to maintain the existing operations of the Company, and excludes our integration costs related to HEXO and the cash income taxes related to Aphria Diamond to align with management’s prescribed guidance. A reconciliation of net cash flow provided by (used in) operating activities to adjusted free cash flow, the most directly comparable GAAP measure, has been provided in the financial statement tables included above in this press release.</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 news@tilray.com</w:t>
      </w:r>
    </w:p>
    <w:p>
      <w:pPr>
        <w:spacing w:after="0"/>
        <w:rPr>
          <w:sz w:val="20"/>
          <w:szCs w:val="20"/>
          <w:color w:val="auto"/>
        </w:rPr>
      </w:pPr>
      <w:r>
        <w:rPr>
          <w:rFonts w:ascii="Times New Roman" w:cs="Times New Roman" w:eastAsia="Times New Roman" w:hAnsi="Times New Roman"/>
          <w:sz w:val="22"/>
          <w:szCs w:val="22"/>
          <w:color w:val="auto"/>
        </w:rPr>
        <w:t>Investor Contact: investors@tilray.com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Position</w:t>
            </w:r>
          </w:p>
        </w:tc>
        <w:tc>
          <w:tcPr>
            <w:tcW w:w="160" w:type="dxa"/>
            <w:vAlign w:val="bottom"/>
          </w:tcPr>
          <w:p>
            <w:pPr>
              <w:spacing w:after="0"/>
              <w:rPr>
                <w:sz w:val="24"/>
                <w:szCs w:val="2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220" w:type="dxa"/>
            <w:vAlign w:val="bottom"/>
          </w:tcPr>
          <w:p>
            <w:pPr>
              <w:spacing w:after="0"/>
              <w:rPr>
                <w:sz w:val="24"/>
                <w:szCs w:val="24"/>
                <w:color w:val="auto"/>
              </w:rPr>
            </w:pP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May 31,</w:t>
            </w:r>
          </w:p>
        </w:tc>
        <w:tc>
          <w:tcPr>
            <w:tcW w:w="0" w:type="dxa"/>
            <w:vAlign w:val="bottom"/>
          </w:tcPr>
          <w:p>
            <w:pPr>
              <w:spacing w:after="0"/>
              <w:rPr>
                <w:sz w:val="1"/>
                <w:szCs w:val="1"/>
                <w:color w:val="auto"/>
              </w:rPr>
            </w:pPr>
          </w:p>
        </w:tc>
      </w:tr>
      <w:tr>
        <w:trPr>
          <w:trHeight w:val="254"/>
        </w:trPr>
        <w:tc>
          <w:tcPr>
            <w:tcW w:w="8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0" w:type="dxa"/>
            <w:vAlign w:val="bottom"/>
          </w:tcPr>
          <w:p>
            <w:pPr>
              <w:spacing w:after="0"/>
              <w:rPr>
                <w:sz w:val="1"/>
                <w:szCs w:val="1"/>
                <w:color w:val="auto"/>
              </w:rPr>
            </w:pPr>
          </w:p>
        </w:tc>
      </w:tr>
      <w:tr>
        <w:trPr>
          <w:trHeight w:val="247"/>
        </w:trPr>
        <w:tc>
          <w:tcPr>
            <w:tcW w:w="83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Assets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205,186</w:t>
            </w:r>
          </w:p>
        </w:tc>
        <w:tc>
          <w:tcPr>
            <w:tcW w:w="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228,340</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Marketable securities</w:t>
            </w: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74,869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32,182</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 net</w:t>
            </w: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104,037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101,695</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264,295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252,087</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Prepaids and other current assets</w:t>
            </w: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44,960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31,332</w:t>
            </w:r>
          </w:p>
        </w:tc>
        <w:tc>
          <w:tcPr>
            <w:tcW w:w="0" w:type="dxa"/>
            <w:vAlign w:val="bottom"/>
          </w:tcPr>
          <w:p>
            <w:pPr>
              <w:spacing w:after="0"/>
              <w:rPr>
                <w:sz w:val="1"/>
                <w:szCs w:val="1"/>
                <w:color w:val="auto"/>
              </w:rPr>
            </w:pPr>
          </w:p>
        </w:tc>
      </w:tr>
      <w:tr>
        <w:trPr>
          <w:trHeight w:val="283"/>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Assets held for sale</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32,536</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32,074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6" w:name="page7"/>
    <w:bookmarkEnd w:id="6"/>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725,883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677,710</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 assets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555,136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558,247</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Operating lease, right-of-use assets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17,176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16,101</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Intangible assets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908,768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915,469</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Goodwill</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2,009,714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2,008,884</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investments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7,853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7,859</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Convertible notes receivable</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32,000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32,000</w:t>
            </w:r>
          </w:p>
        </w:tc>
        <w:tc>
          <w:tcPr>
            <w:tcW w:w="0" w:type="dxa"/>
            <w:vAlign w:val="bottom"/>
          </w:tcPr>
          <w:p>
            <w:pPr>
              <w:spacing w:after="0"/>
              <w:rPr>
                <w:sz w:val="1"/>
                <w:szCs w:val="1"/>
                <w:color w:val="auto"/>
              </w:rPr>
            </w:pPr>
          </w:p>
        </w:tc>
      </w:tr>
      <w:tr>
        <w:trPr>
          <w:trHeight w:val="283"/>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assets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5,337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5,395</w:t>
            </w: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4,261,867</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4,221,665</w:t>
            </w:r>
          </w:p>
        </w:tc>
        <w:tc>
          <w:tcPr>
            <w:tcW w:w="0" w:type="dxa"/>
            <w:vAlign w:val="bottom"/>
          </w:tcPr>
          <w:p>
            <w:pPr>
              <w:spacing w:after="0"/>
              <w:rPr>
                <w:sz w:val="1"/>
                <w:szCs w:val="1"/>
                <w:color w:val="auto"/>
              </w:rPr>
            </w:pPr>
          </w:p>
        </w:tc>
      </w:tr>
      <w:tr>
        <w:trPr>
          <w:trHeight w:val="21"/>
        </w:trPr>
        <w:tc>
          <w:tcPr>
            <w:tcW w:w="83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8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Bank indebtedness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18,134</w:t>
            </w:r>
          </w:p>
        </w:tc>
        <w:tc>
          <w:tcPr>
            <w:tcW w:w="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18,033</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236,146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241,957</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Contingent consideration</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15,000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Warrant liability</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2,557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3,253</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lease liabilities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5,640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5,091</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long-term debt</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16,072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15,506</w:t>
            </w:r>
          </w:p>
        </w:tc>
        <w:tc>
          <w:tcPr>
            <w:tcW w:w="0" w:type="dxa"/>
            <w:vAlign w:val="bottom"/>
          </w:tcPr>
          <w:p>
            <w:pPr>
              <w:spacing w:after="0"/>
              <w:rPr>
                <w:sz w:val="1"/>
                <w:szCs w:val="1"/>
                <w:color w:val="auto"/>
              </w:rPr>
            </w:pPr>
          </w:p>
        </w:tc>
      </w:tr>
      <w:tr>
        <w:trPr>
          <w:trHeight w:val="282"/>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Current portion of convertible debentures payable</w:t>
            </w:r>
          </w:p>
        </w:tc>
        <w:tc>
          <w:tcPr>
            <w:tcW w:w="22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w:t>
            </w:r>
          </w:p>
        </w:tc>
        <w:tc>
          <w:tcPr>
            <w:tcW w:w="0" w:type="dxa"/>
            <w:vAlign w:val="bottom"/>
          </w:tcPr>
          <w:p>
            <w:pPr>
              <w:spacing w:after="0"/>
              <w:rPr>
                <w:sz w:val="1"/>
                <w:szCs w:val="1"/>
                <w:color w:val="auto"/>
              </w:rPr>
            </w:pPr>
          </w:p>
        </w:tc>
      </w:tr>
      <w:tr>
        <w:trPr>
          <w:trHeight w:val="247"/>
        </w:trPr>
        <w:tc>
          <w:tcPr>
            <w:tcW w:w="83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2"/>
              <w:spacing w:after="0" w:line="247" w:lineRule="exact"/>
              <w:rPr>
                <w:sz w:val="20"/>
                <w:szCs w:val="20"/>
                <w:color w:val="auto"/>
              </w:rPr>
            </w:pPr>
            <w:r>
              <w:rPr>
                <w:rFonts w:ascii="Times New Roman" w:cs="Times New Roman" w:eastAsia="Times New Roman" w:hAnsi="Times New Roman"/>
                <w:sz w:val="22"/>
                <w:szCs w:val="22"/>
                <w:color w:val="auto"/>
              </w:rPr>
              <w:t>293,549</w:t>
            </w:r>
          </w:p>
        </w:tc>
        <w:tc>
          <w:tcPr>
            <w:tcW w:w="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line="247" w:lineRule="exact"/>
              <w:rPr>
                <w:sz w:val="20"/>
                <w:szCs w:val="20"/>
                <w:color w:val="auto"/>
              </w:rPr>
            </w:pPr>
            <w:r>
              <w:rPr>
                <w:rFonts w:ascii="Times New Roman" w:cs="Times New Roman" w:eastAsia="Times New Roman" w:hAnsi="Times New Roman"/>
                <w:sz w:val="22"/>
                <w:szCs w:val="22"/>
                <w:color w:val="auto"/>
              </w:rPr>
              <w:t>299,170</w:t>
            </w:r>
          </w:p>
        </w:tc>
        <w:tc>
          <w:tcPr>
            <w:tcW w:w="0" w:type="dxa"/>
            <w:vAlign w:val="bottom"/>
          </w:tcPr>
          <w:p>
            <w:pPr>
              <w:spacing w:after="0"/>
              <w:rPr>
                <w:sz w:val="1"/>
                <w:szCs w:val="1"/>
                <w:color w:val="auto"/>
              </w:rPr>
            </w:pPr>
          </w:p>
        </w:tc>
      </w:tr>
      <w:tr>
        <w:trPr>
          <w:trHeight w:val="274"/>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Long - term liabilities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Lease liabilities</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60,657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60,422</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Long-term debt</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155,268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158,352</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Convertible debentures payable</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132,650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129,583</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136,230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130,870</w:t>
            </w:r>
          </w:p>
        </w:tc>
        <w:tc>
          <w:tcPr>
            <w:tcW w:w="0" w:type="dxa"/>
            <w:vAlign w:val="bottom"/>
          </w:tcPr>
          <w:p>
            <w:pPr>
              <w:spacing w:after="0"/>
              <w:rPr>
                <w:sz w:val="1"/>
                <w:szCs w:val="1"/>
                <w:color w:val="auto"/>
              </w:rPr>
            </w:pPr>
          </w:p>
        </w:tc>
      </w:tr>
      <w:tr>
        <w:trPr>
          <w:trHeight w:val="282"/>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liabilities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0" w:type="dxa"/>
            <w:vAlign w:val="bottom"/>
          </w:tcPr>
          <w:p>
            <w:pPr>
              <w:spacing w:after="0"/>
              <w:rPr>
                <w:sz w:val="1"/>
                <w:szCs w:val="1"/>
                <w:color w:val="auto"/>
              </w:rPr>
            </w:pPr>
          </w:p>
        </w:tc>
      </w:tr>
      <w:tr>
        <w:trPr>
          <w:trHeight w:val="247"/>
        </w:trPr>
        <w:tc>
          <w:tcPr>
            <w:tcW w:w="830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auto"/>
              </w:rPr>
              <w:t>Total liabilities</w:t>
            </w:r>
          </w:p>
        </w:tc>
        <w:tc>
          <w:tcPr>
            <w:tcW w:w="220" w:type="dxa"/>
            <w:vAlign w:val="bottom"/>
          </w:tcPr>
          <w:p>
            <w:pPr>
              <w:spacing w:after="0"/>
              <w:rPr>
                <w:sz w:val="21"/>
                <w:szCs w:val="21"/>
                <w:color w:val="auto"/>
              </w:rPr>
            </w:pPr>
          </w:p>
        </w:tc>
        <w:tc>
          <w:tcPr>
            <w:tcW w:w="1140" w:type="dxa"/>
            <w:vAlign w:val="bottom"/>
          </w:tcPr>
          <w:p>
            <w:pPr>
              <w:jc w:val="right"/>
              <w:ind w:right="12"/>
              <w:spacing w:after="0" w:line="247" w:lineRule="exact"/>
              <w:rPr>
                <w:sz w:val="20"/>
                <w:szCs w:val="20"/>
                <w:color w:val="auto"/>
              </w:rPr>
            </w:pPr>
            <w:r>
              <w:rPr>
                <w:rFonts w:ascii="Times New Roman" w:cs="Times New Roman" w:eastAsia="Times New Roman" w:hAnsi="Times New Roman"/>
                <w:sz w:val="22"/>
                <w:szCs w:val="22"/>
                <w:color w:val="auto"/>
              </w:rPr>
              <w:t>778,453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778,487</w:t>
            </w:r>
          </w:p>
        </w:tc>
        <w:tc>
          <w:tcPr>
            <w:tcW w:w="0" w:type="dxa"/>
            <w:vAlign w:val="bottom"/>
          </w:tcPr>
          <w:p>
            <w:pPr>
              <w:spacing w:after="0"/>
              <w:rPr>
                <w:sz w:val="1"/>
                <w:szCs w:val="1"/>
                <w:color w:val="auto"/>
              </w:rPr>
            </w:pPr>
          </w:p>
        </w:tc>
      </w:tr>
      <w:tr>
        <w:trPr>
          <w:trHeight w:val="274"/>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Stockholders' equity</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Common stock ($0.0001 par value; 1,198,000,000 common shares authorized; 875,444,828</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and 831,925,373 common shares issued and outstanding, respectively)</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Preferred shares ($0.0001 par value; 10,000,000 preferred shares authorized; nil and nil</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preferred shares issued and outstanding, respectively)</w:t>
            </w:r>
          </w:p>
        </w:tc>
        <w:tc>
          <w:tcPr>
            <w:tcW w:w="22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6,217,533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6,146,810</w:t>
            </w:r>
          </w:p>
        </w:tc>
        <w:tc>
          <w:tcPr>
            <w:tcW w:w="0" w:type="dxa"/>
            <w:vAlign w:val="bottom"/>
          </w:tcPr>
          <w:p>
            <w:pPr>
              <w:spacing w:after="0"/>
              <w:rPr>
                <w:sz w:val="1"/>
                <w:szCs w:val="1"/>
                <w:color w:val="auto"/>
              </w:rPr>
            </w:pPr>
          </w:p>
        </w:tc>
      </w:tr>
      <w:tr>
        <w:trPr>
          <w:trHeight w:val="270"/>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other comprehensive loss</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(39,877)</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(43,499)</w:t>
            </w:r>
          </w:p>
        </w:tc>
        <w:tc>
          <w:tcPr>
            <w:tcW w:w="0" w:type="dxa"/>
            <w:vAlign w:val="bottom"/>
          </w:tcPr>
          <w:p>
            <w:pPr>
              <w:spacing w:after="0"/>
              <w:rPr>
                <w:sz w:val="1"/>
                <w:szCs w:val="1"/>
                <w:color w:val="auto"/>
              </w:rPr>
            </w:pPr>
          </w:p>
        </w:tc>
      </w:tr>
      <w:tr>
        <w:trPr>
          <w:trHeight w:val="282"/>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Accumulated deficit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(2,699,653)</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(2,660,488)</w:t>
            </w:r>
          </w:p>
        </w:tc>
        <w:tc>
          <w:tcPr>
            <w:tcW w:w="0" w:type="dxa"/>
            <w:vAlign w:val="bottom"/>
          </w:tcPr>
          <w:p>
            <w:pPr>
              <w:spacing w:after="0"/>
              <w:rPr>
                <w:sz w:val="1"/>
                <w:szCs w:val="1"/>
                <w:color w:val="auto"/>
              </w:rPr>
            </w:pPr>
          </w:p>
        </w:tc>
      </w:tr>
      <w:tr>
        <w:trPr>
          <w:trHeight w:val="251"/>
        </w:trPr>
        <w:tc>
          <w:tcPr>
            <w:tcW w:w="830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Total Tilray Brands, Inc. stockholders' equity</w:t>
            </w:r>
          </w:p>
        </w:tc>
        <w:tc>
          <w:tcPr>
            <w:tcW w:w="220" w:type="dxa"/>
            <w:vAlign w:val="bottom"/>
          </w:tcPr>
          <w:p>
            <w:pPr>
              <w:spacing w:after="0"/>
              <w:rPr>
                <w:sz w:val="21"/>
                <w:szCs w:val="21"/>
                <w:color w:val="auto"/>
              </w:rPr>
            </w:pPr>
          </w:p>
        </w:tc>
        <w:tc>
          <w:tcPr>
            <w:tcW w:w="11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3,478,091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3,442,906</w:t>
            </w:r>
          </w:p>
        </w:tc>
        <w:tc>
          <w:tcPr>
            <w:tcW w:w="0" w:type="dxa"/>
            <w:vAlign w:val="bottom"/>
          </w:tcPr>
          <w:p>
            <w:pPr>
              <w:spacing w:after="0"/>
              <w:rPr>
                <w:sz w:val="1"/>
                <w:szCs w:val="1"/>
                <w:color w:val="auto"/>
              </w:rPr>
            </w:pPr>
          </w:p>
        </w:tc>
      </w:tr>
      <w:tr>
        <w:trPr>
          <w:trHeight w:val="282"/>
        </w:trPr>
        <w:tc>
          <w:tcPr>
            <w:tcW w:w="83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Non-controlling interests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5,323</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272</w:t>
            </w:r>
          </w:p>
        </w:tc>
        <w:tc>
          <w:tcPr>
            <w:tcW w:w="0" w:type="dxa"/>
            <w:vAlign w:val="bottom"/>
          </w:tcPr>
          <w:p>
            <w:pPr>
              <w:spacing w:after="0"/>
              <w:rPr>
                <w:sz w:val="1"/>
                <w:szCs w:val="1"/>
                <w:color w:val="auto"/>
              </w:rPr>
            </w:pPr>
          </w:p>
        </w:tc>
      </w:tr>
      <w:tr>
        <w:trPr>
          <w:trHeight w:val="265"/>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stockholders' equity</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3,483,414</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3,443,178</w:t>
            </w:r>
          </w:p>
        </w:tc>
        <w:tc>
          <w:tcPr>
            <w:tcW w:w="0" w:type="dxa"/>
            <w:vAlign w:val="bottom"/>
          </w:tcPr>
          <w:p>
            <w:pPr>
              <w:spacing w:after="0"/>
              <w:rPr>
                <w:sz w:val="1"/>
                <w:szCs w:val="1"/>
                <w:color w:val="auto"/>
              </w:rPr>
            </w:pPr>
          </w:p>
        </w:tc>
      </w:tr>
      <w:tr>
        <w:trPr>
          <w:trHeight w:val="263"/>
        </w:trPr>
        <w:tc>
          <w:tcPr>
            <w:tcW w:w="83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 liabilities and stockholders' equity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4,261,867</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4,221,665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Net Income (Loss) and Comprehensive Income (Loss)</w:t>
      </w:r>
    </w:p>
    <w:p>
      <w:pPr>
        <w:spacing w:after="0" w:line="3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14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22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 Change</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8"/>
              </w:rPr>
              <w:t>(in thousands of U.S. dollars, except for per share data)</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2024 vs. 2023</w:t>
            </w:r>
          </w:p>
        </w:tc>
      </w:tr>
      <w:tr>
        <w:trPr>
          <w:trHeight w:val="251"/>
        </w:trPr>
        <w:tc>
          <w:tcPr>
            <w:tcW w:w="51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revenue</w:t>
            </w:r>
          </w:p>
        </w:tc>
        <w:tc>
          <w:tcPr>
            <w:tcW w:w="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200,044</w:t>
            </w:r>
          </w:p>
        </w:tc>
        <w:tc>
          <w:tcPr>
            <w:tcW w:w="220" w:type="dxa"/>
            <w:vAlign w:val="bottom"/>
          </w:tcPr>
          <w:p>
            <w:pPr>
              <w:spacing w:after="0"/>
              <w:rPr>
                <w:sz w:val="21"/>
                <w:szCs w:val="21"/>
                <w:color w:val="auto"/>
              </w:rPr>
            </w:pP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176,949</w:t>
            </w:r>
          </w:p>
        </w:tc>
        <w:tc>
          <w:tcPr>
            <w:tcW w:w="220" w:type="dxa"/>
            <w:vAlign w:val="bottom"/>
          </w:tcPr>
          <w:p>
            <w:pPr>
              <w:spacing w:after="0"/>
              <w:rPr>
                <w:sz w:val="21"/>
                <w:szCs w:val="21"/>
                <w:color w:val="auto"/>
              </w:rPr>
            </w:pPr>
          </w:p>
        </w:tc>
        <w:tc>
          <w:tcPr>
            <w:tcW w:w="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23,095</w:t>
            </w:r>
          </w:p>
        </w:tc>
        <w:tc>
          <w:tcPr>
            <w:tcW w:w="200" w:type="dxa"/>
            <w:vAlign w:val="bottom"/>
          </w:tcPr>
          <w:p>
            <w:pPr>
              <w:spacing w:after="0"/>
              <w:rPr>
                <w:sz w:val="21"/>
                <w:szCs w:val="21"/>
                <w:color w:val="auto"/>
              </w:rPr>
            </w:pPr>
          </w:p>
        </w:tc>
        <w:tc>
          <w:tcPr>
            <w:tcW w:w="14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w:t>
            </w: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140,338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132,753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7,585</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51"/>
        </w:trPr>
        <w:tc>
          <w:tcPr>
            <w:tcW w:w="51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Gross profit</w:t>
            </w:r>
          </w:p>
        </w:tc>
        <w:tc>
          <w:tcPr>
            <w:tcW w:w="160" w:type="dxa"/>
            <w:vAlign w:val="bottom"/>
          </w:tcPr>
          <w:p>
            <w:pPr>
              <w:spacing w:after="0"/>
              <w:rPr>
                <w:sz w:val="21"/>
                <w:szCs w:val="21"/>
                <w:color w:val="auto"/>
              </w:rPr>
            </w:pPr>
          </w:p>
        </w:tc>
        <w:tc>
          <w:tcPr>
            <w:tcW w:w="11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59,706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44,196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15,510</w:t>
            </w:r>
          </w:p>
        </w:tc>
        <w:tc>
          <w:tcPr>
            <w:tcW w:w="200" w:type="dxa"/>
            <w:vAlign w:val="bottom"/>
          </w:tcPr>
          <w:p>
            <w:pPr>
              <w:spacing w:after="0"/>
              <w:rPr>
                <w:sz w:val="21"/>
                <w:szCs w:val="21"/>
                <w:color w:val="auto"/>
              </w:rPr>
            </w:pPr>
          </w:p>
        </w:tc>
        <w:tc>
          <w:tcPr>
            <w:tcW w:w="14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35%</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44,113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40,516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3,597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Selling</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11,690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6,859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4,831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21,804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22,225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Marketing and promotion</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11,566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8,535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3,031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Research and development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6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11,107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 costs, net of recoveries</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Restructuring costs</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3,332</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w:t>
            </w:r>
          </w:p>
        </w:tc>
      </w:tr>
      <w:tr>
        <w:trPr>
          <w:trHeight w:val="282"/>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Transaction costs (income), net</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8,502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(7,346)</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Total operating expenses</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96,276</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78,558</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17,718</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6"/>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Operating loss</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(36,570)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(34,362)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(2,208)</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63" w:orient="portrait"/>
          <w:cols w:equalWidth="0" w:num="1">
            <w:col w:w="11220"/>
          </w:cols>
          <w:pgMar w:left="340" w:top="108"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expense,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(9,842)</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(9,835)</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Non-operating income (expense), net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12,646</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(4,402)</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17,048</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(387)%</w:t>
            </w:r>
          </w:p>
        </w:tc>
        <w:tc>
          <w:tcPr>
            <w:tcW w:w="0" w:type="dxa"/>
            <w:vAlign w:val="bottom"/>
          </w:tcPr>
          <w:p>
            <w:pPr>
              <w:spacing w:after="0"/>
              <w:rPr>
                <w:sz w:val="1"/>
                <w:szCs w:val="1"/>
                <w:color w:val="auto"/>
              </w:rPr>
            </w:pPr>
          </w:p>
        </w:tc>
      </w:tr>
      <w:tr>
        <w:trPr>
          <w:trHeight w:val="251"/>
        </w:trPr>
        <w:tc>
          <w:tcPr>
            <w:tcW w:w="51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Loss before income taxes</w:t>
            </w:r>
          </w:p>
        </w:tc>
        <w:tc>
          <w:tcPr>
            <w:tcW w:w="34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(33,766)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(48,599)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14,833</w:t>
            </w:r>
          </w:p>
        </w:tc>
        <w:tc>
          <w:tcPr>
            <w:tcW w:w="200" w:type="dxa"/>
            <w:vAlign w:val="bottom"/>
          </w:tcPr>
          <w:p>
            <w:pPr>
              <w:spacing w:after="0"/>
              <w:rPr>
                <w:sz w:val="21"/>
                <w:szCs w:val="21"/>
                <w:color w:val="auto"/>
              </w:rPr>
            </w:pPr>
          </w:p>
        </w:tc>
        <w:tc>
          <w:tcPr>
            <w:tcW w:w="14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82"/>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Income tax expense, net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886</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7,264</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(6,378)</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(34,652)</w:t>
            </w:r>
          </w:p>
        </w:tc>
        <w:tc>
          <w:tcPr>
            <w:tcW w:w="220" w:type="dxa"/>
            <w:vAlign w:val="bottom"/>
          </w:tcPr>
          <w:p>
            <w:pPr>
              <w:spacing w:after="0"/>
              <w:rPr>
                <w:sz w:val="23"/>
                <w:szCs w:val="23"/>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(55,863)</w:t>
            </w:r>
          </w:p>
        </w:tc>
        <w:tc>
          <w:tcPr>
            <w:tcW w:w="220" w:type="dxa"/>
            <w:vAlign w:val="bottom"/>
          </w:tcPr>
          <w:p>
            <w:pPr>
              <w:spacing w:after="0"/>
              <w:rPr>
                <w:sz w:val="23"/>
                <w:szCs w:val="23"/>
                <w:color w:val="auto"/>
              </w:rPr>
            </w:pPr>
          </w:p>
        </w:tc>
        <w:tc>
          <w:tcPr>
            <w:tcW w:w="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21,211</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per share - basic and diluted</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514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22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w:t>
            </w:r>
          </w:p>
        </w:tc>
        <w:tc>
          <w:tcPr>
            <w:tcW w:w="2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0.06</w:t>
            </w:r>
          </w:p>
        </w:tc>
        <w:tc>
          <w:tcPr>
            <w:tcW w:w="200" w:type="dxa"/>
            <w:vAlign w:val="bottom"/>
            <w:vMerge w:val="continue"/>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tc>
        <w:tc>
          <w:tcPr>
            <w:tcW w:w="140" w:type="dxa"/>
            <w:vAlign w:val="bottom"/>
          </w:tcPr>
          <w:p>
            <w:pPr>
              <w:spacing w:after="0"/>
              <w:rPr>
                <w:sz w:val="24"/>
                <w:szCs w:val="24"/>
                <w:color w:val="auto"/>
              </w:rPr>
            </w:pPr>
          </w:p>
        </w:tc>
        <w:tc>
          <w:tcPr>
            <w:tcW w:w="2980" w:type="dxa"/>
            <w:vAlign w:val="bottom"/>
            <w:gridSpan w:val="5"/>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5"/>
            <w:vMerge w:val="continue"/>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14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22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0" w:type="dxa"/>
            <w:vAlign w:val="bottom"/>
          </w:tcPr>
          <w:p>
            <w:pPr>
              <w:spacing w:after="0"/>
              <w:rPr>
                <w:sz w:val="1"/>
                <w:szCs w:val="1"/>
                <w:color w:val="auto"/>
              </w:rPr>
            </w:pPr>
          </w:p>
        </w:tc>
      </w:tr>
      <w:tr>
        <w:trPr>
          <w:trHeight w:val="251"/>
        </w:trPr>
        <w:tc>
          <w:tcPr>
            <w:tcW w:w="5140" w:type="dxa"/>
            <w:vAlign w:val="bottom"/>
          </w:tcPr>
          <w:p>
            <w:pPr>
              <w:spacing w:after="0" w:line="251" w:lineRule="exact"/>
              <w:rPr>
                <w:sz w:val="20"/>
                <w:szCs w:val="20"/>
                <w:color w:val="auto"/>
              </w:rPr>
            </w:pPr>
            <w:r>
              <w:rPr>
                <w:rFonts w:ascii="Times New Roman" w:cs="Times New Roman" w:eastAsia="Times New Roman" w:hAnsi="Times New Roman"/>
                <w:sz w:val="22"/>
                <w:szCs w:val="22"/>
                <w:b w:val="1"/>
                <w:bCs w:val="1"/>
                <w:color w:val="auto"/>
              </w:rPr>
              <w:t>Cash provided by (used in) operating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(34,652)</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(55,863)</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21,211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Adjustments for:</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Deferred income tax expense, net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323</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547%</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Unrealized foreign exchange (gain) loss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(5,602)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(2,475)</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31,814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30,789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1,025</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Accretion of convertible debt discount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3,067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5,544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non-cash items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(6,357)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7,086</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Stock-based compensation</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43"/>
        </w:trPr>
        <w:tc>
          <w:tcPr>
            <w:tcW w:w="51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(Gain) loss on long-term investments &amp; equity</w:t>
            </w:r>
          </w:p>
        </w:tc>
        <w:tc>
          <w:tcPr>
            <w:tcW w:w="14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(546)</w:t>
            </w:r>
          </w:p>
        </w:tc>
        <w:tc>
          <w:tcPr>
            <w:tcW w:w="200" w:type="dxa"/>
            <w:vAlign w:val="bottom"/>
          </w:tcPr>
          <w:p>
            <w:pPr>
              <w:spacing w:after="0"/>
              <w:rPr>
                <w:sz w:val="21"/>
                <w:szCs w:val="2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(1162)%</w:t>
            </w:r>
          </w:p>
        </w:tc>
        <w:tc>
          <w:tcPr>
            <w:tcW w:w="0" w:type="dxa"/>
            <w:vAlign w:val="bottom"/>
          </w:tcPr>
          <w:p>
            <w:pPr>
              <w:spacing w:after="0"/>
              <w:rPr>
                <w:sz w:val="1"/>
                <w:szCs w:val="1"/>
                <w:color w:val="auto"/>
              </w:rPr>
            </w:pPr>
          </w:p>
        </w:tc>
      </w:tr>
      <w:tr>
        <w:trPr>
          <w:trHeight w:val="161"/>
        </w:trPr>
        <w:tc>
          <w:tcPr>
            <w:tcW w:w="51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investments</w:t>
            </w: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5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Loss on derivative instruments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10,345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(11,041)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11,107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Change in non-cash working capital:</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receivable</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(2,342)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13,044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(15,386)</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Prepaids and other current assets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(13,570)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(8,916)</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Inventory</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(12,383)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(16,033)</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w:t>
            </w:r>
          </w:p>
        </w:tc>
        <w:tc>
          <w:tcPr>
            <w:tcW w:w="0" w:type="dxa"/>
            <w:vAlign w:val="bottom"/>
          </w:tcPr>
          <w:p>
            <w:pPr>
              <w:spacing w:after="0"/>
              <w:rPr>
                <w:sz w:val="1"/>
                <w:szCs w:val="1"/>
                <w:color w:val="auto"/>
              </w:rPr>
            </w:pPr>
          </w:p>
        </w:tc>
      </w:tr>
      <w:tr>
        <w:trPr>
          <w:trHeight w:val="282"/>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Accounts payable and accrued liabilities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(8,472)</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(6,469)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(2,003)</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Net cash used in operating activities</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(35,307)</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(15,842)</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(19,465)</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0" w:type="dxa"/>
            <w:vAlign w:val="bottom"/>
          </w:tcPr>
          <w:p>
            <w:pPr>
              <w:spacing w:after="0"/>
              <w:rPr>
                <w:sz w:val="1"/>
                <w:szCs w:val="1"/>
                <w:color w:val="auto"/>
              </w:rPr>
            </w:pPr>
          </w:p>
        </w:tc>
      </w:tr>
      <w:tr>
        <w:trPr>
          <w:trHeight w:val="250"/>
        </w:trPr>
        <w:tc>
          <w:tcPr>
            <w:tcW w:w="514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investing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in capital and intangible assets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(6,736)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(4,152)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(2,584)</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disposal of capital and intangible assets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(314)</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Disposal (purchase) of marketable securities, net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(42,687)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(45,436)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2,749</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82"/>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Business acquisitions, net of cash acquired</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22,956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(22,956)</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investing activities</w:t>
            </w:r>
          </w:p>
        </w:tc>
        <w:tc>
          <w:tcPr>
            <w:tcW w:w="1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(49,395)</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(26,290)</w:t>
            </w:r>
          </w:p>
        </w:tc>
        <w:tc>
          <w:tcPr>
            <w:tcW w:w="22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(23,105)</w:t>
            </w:r>
          </w:p>
        </w:tc>
        <w:tc>
          <w:tcPr>
            <w:tcW w:w="200" w:type="dxa"/>
            <w:vAlign w:val="bottom"/>
          </w:tcPr>
          <w:p>
            <w:pPr>
              <w:spacing w:after="0"/>
              <w:rPr>
                <w:sz w:val="23"/>
                <w:szCs w:val="2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250"/>
        </w:trPr>
        <w:tc>
          <w:tcPr>
            <w:tcW w:w="514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Cash provided by (used in) financing activities: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Share capital issued, net of cash issuance costs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66,472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66,472</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long-term debt</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(7,621)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long-term debt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(4,791)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(6,369)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1,578</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Proceeds from convertible debt</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21,553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(21,553)</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convertible debt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70"/>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Repayment of lease liabilities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NM</w:t>
            </w:r>
          </w:p>
        </w:tc>
        <w:tc>
          <w:tcPr>
            <w:tcW w:w="0" w:type="dxa"/>
            <w:vAlign w:val="bottom"/>
          </w:tcPr>
          <w:p>
            <w:pPr>
              <w:spacing w:after="0"/>
              <w:rPr>
                <w:sz w:val="1"/>
                <w:szCs w:val="1"/>
                <w:color w:val="auto"/>
              </w:rPr>
            </w:pPr>
          </w:p>
        </w:tc>
      </w:tr>
      <w:tr>
        <w:trPr>
          <w:trHeight w:val="282"/>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increase (decrease) in bank indebtedness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(8,787)</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8,888</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60,590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14,018</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46,572</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332%</w:t>
            </w:r>
          </w:p>
        </w:tc>
        <w:tc>
          <w:tcPr>
            <w:tcW w:w="0" w:type="dxa"/>
            <w:vAlign w:val="bottom"/>
          </w:tcPr>
          <w:p>
            <w:pPr>
              <w:spacing w:after="0"/>
              <w:rPr>
                <w:sz w:val="1"/>
                <w:szCs w:val="1"/>
                <w:color w:val="auto"/>
              </w:rPr>
            </w:pPr>
          </w:p>
        </w:tc>
      </w:tr>
      <w:tr>
        <w:trPr>
          <w:trHeight w:val="263"/>
        </w:trPr>
        <w:tc>
          <w:tcPr>
            <w:tcW w:w="51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8"/>
              </w:rPr>
              <w:t>Effect of foreign exchange on cash and cash equivalents</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958</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614</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344</w:t>
            </w:r>
          </w:p>
        </w:tc>
        <w:tc>
          <w:tcPr>
            <w:tcW w:w="2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50"/>
        </w:trPr>
        <w:tc>
          <w:tcPr>
            <w:tcW w:w="51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decrease in cash and cash equivalents</w:t>
            </w:r>
          </w:p>
        </w:tc>
        <w:tc>
          <w:tcPr>
            <w:tcW w:w="14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(23,154)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(27,500)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4,346</w:t>
            </w:r>
          </w:p>
        </w:tc>
        <w:tc>
          <w:tcPr>
            <w:tcW w:w="200" w:type="dxa"/>
            <w:vAlign w:val="bottom"/>
          </w:tcPr>
          <w:p>
            <w:pPr>
              <w:spacing w:after="0"/>
              <w:rPr>
                <w:sz w:val="21"/>
                <w:szCs w:val="21"/>
                <w:color w:val="auto"/>
              </w:rPr>
            </w:pPr>
          </w:p>
        </w:tc>
        <w:tc>
          <w:tcPr>
            <w:tcW w:w="14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beginning of period</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228,340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206,632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21,708</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205,186</w:t>
            </w:r>
          </w:p>
        </w:tc>
        <w:tc>
          <w:tcPr>
            <w:tcW w:w="2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179,132</w:t>
            </w:r>
          </w:p>
        </w:tc>
        <w:tc>
          <w:tcPr>
            <w:tcW w:w="2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26,054</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Revenue by Operating Segment</w:t>
            </w:r>
          </w:p>
        </w:tc>
        <w:tc>
          <w:tcPr>
            <w:tcW w:w="180" w:type="dxa"/>
            <w:vAlign w:val="bottom"/>
          </w:tcPr>
          <w:p>
            <w:pPr>
              <w:spacing w:after="0"/>
              <w:rPr>
                <w:sz w:val="24"/>
                <w:szCs w:val="24"/>
                <w:color w:val="auto"/>
              </w:rPr>
            </w:pPr>
          </w:p>
        </w:tc>
        <w:tc>
          <w:tcPr>
            <w:tcW w:w="24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8"/>
              </w:rPr>
              <w:t>For the three months</w:t>
            </w:r>
          </w:p>
        </w:tc>
        <w:tc>
          <w:tcPr>
            <w:tcW w:w="1440" w:type="dxa"/>
            <w:vAlign w:val="bottom"/>
            <w:gridSpan w:val="3"/>
            <w:vMerge w:val="restart"/>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rPr>
              <w:t>% of</w:t>
            </w:r>
          </w:p>
        </w:tc>
        <w:tc>
          <w:tcPr>
            <w:tcW w:w="244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For the three months</w:t>
            </w:r>
          </w:p>
        </w:tc>
        <w:tc>
          <w:tcPr>
            <w:tcW w:w="106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 of</w:t>
            </w:r>
          </w:p>
        </w:tc>
        <w:tc>
          <w:tcPr>
            <w:tcW w:w="0" w:type="dxa"/>
            <w:vAlign w:val="bottom"/>
          </w:tcPr>
          <w:p>
            <w:pPr>
              <w:spacing w:after="0"/>
              <w:rPr>
                <w:sz w:val="1"/>
                <w:szCs w:val="1"/>
                <w:color w:val="auto"/>
              </w:rPr>
            </w:pPr>
          </w:p>
        </w:tc>
      </w:tr>
      <w:tr>
        <w:trPr>
          <w:trHeight w:val="227"/>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2"/>
            <w:vMerge w:val="continue"/>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2440" w:type="dxa"/>
            <w:vAlign w:val="bottom"/>
            <w:gridSpan w:val="3"/>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1440" w:type="dxa"/>
            <w:vAlign w:val="bottom"/>
            <w:gridSpan w:val="3"/>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ended</w:t>
            </w: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1"/>
              </w:rPr>
              <w:t>Total</w:t>
            </w:r>
          </w:p>
        </w:tc>
        <w:tc>
          <w:tcPr>
            <w:tcW w:w="0" w:type="dxa"/>
            <w:vAlign w:val="bottom"/>
          </w:tcPr>
          <w:p>
            <w:pPr>
              <w:spacing w:after="0"/>
              <w:rPr>
                <w:sz w:val="1"/>
                <w:szCs w:val="1"/>
                <w:color w:val="auto"/>
              </w:rPr>
            </w:pPr>
          </w:p>
        </w:tc>
      </w:tr>
      <w:tr>
        <w:trPr>
          <w:trHeight w:val="286"/>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Pr>
          <w:p>
            <w:pPr>
              <w:spacing w:after="0"/>
              <w:rPr>
                <w:sz w:val="24"/>
                <w:szCs w:val="24"/>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440" w:type="dxa"/>
            <w:vAlign w:val="bottom"/>
            <w:gridSpan w:val="3"/>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9"/>
              </w:rPr>
              <w:t>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c>
          <w:tcPr>
            <w:tcW w:w="0" w:type="dxa"/>
            <w:vAlign w:val="bottom"/>
          </w:tcPr>
          <w:p>
            <w:pPr>
              <w:spacing w:after="0"/>
              <w:rPr>
                <w:sz w:val="1"/>
                <w:szCs w:val="1"/>
                <w:color w:val="auto"/>
              </w:rPr>
            </w:pPr>
          </w:p>
        </w:tc>
      </w:tr>
      <w:tr>
        <w:trPr>
          <w:trHeight w:val="27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Beverage alcohol business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55,972</w:t>
            </w:r>
          </w:p>
        </w:tc>
        <w:tc>
          <w:tcPr>
            <w:tcW w:w="220" w:type="dxa"/>
            <w:vAlign w:val="bottom"/>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2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24,162</w:t>
            </w:r>
          </w:p>
        </w:tc>
        <w:tc>
          <w:tcPr>
            <w:tcW w:w="200" w:type="dxa"/>
            <w:vAlign w:val="bottom"/>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Cannabis business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61,249</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70,333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business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68,071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69,157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Wellness business</w:t>
            </w: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14,752</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13,297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64"/>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200,044</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176,949</w:t>
            </w:r>
          </w:p>
        </w:tc>
        <w:tc>
          <w:tcPr>
            <w:tcW w:w="2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1"/>
        </w:trPr>
        <w:tc>
          <w:tcPr>
            <w:tcW w:w="366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32"/>
        </w:trPr>
        <w:tc>
          <w:tcPr>
            <w:tcW w:w="62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Net Revenue by Operating Segment in Constant Currency</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97"/>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For the three months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For the three months</w:t>
            </w:r>
          </w:p>
        </w:tc>
        <w:tc>
          <w:tcPr>
            <w:tcW w:w="1060" w:type="dxa"/>
            <w:vAlign w:val="bottom"/>
          </w:tcPr>
          <w:p>
            <w:pPr>
              <w:spacing w:after="0"/>
              <w:rPr>
                <w:sz w:val="24"/>
                <w:szCs w:val="24"/>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1060" w:type="dxa"/>
            <w:vAlign w:val="bottom"/>
          </w:tcPr>
          <w:p>
            <w:pPr>
              <w:spacing w:after="0"/>
              <w:rPr>
                <w:sz w:val="23"/>
                <w:szCs w:val="23"/>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August 31, 2023</w:t>
            </w:r>
          </w:p>
        </w:tc>
        <w:tc>
          <w:tcPr>
            <w:tcW w:w="1060" w:type="dxa"/>
            <w:vAlign w:val="bottom"/>
          </w:tcPr>
          <w:p>
            <w:pPr>
              <w:spacing w:after="0"/>
              <w:rPr>
                <w:sz w:val="23"/>
                <w:szCs w:val="23"/>
                <w:color w:val="auto"/>
              </w:rPr>
            </w:pPr>
          </w:p>
        </w:tc>
      </w:tr>
      <w:tr>
        <w:trPr>
          <w:trHeight w:val="243"/>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2"/>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as reported in constant</w:t>
            </w:r>
          </w:p>
        </w:tc>
        <w:tc>
          <w:tcPr>
            <w:tcW w:w="126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 of Total</w:t>
            </w:r>
          </w:p>
        </w:tc>
        <w:tc>
          <w:tcPr>
            <w:tcW w:w="140" w:type="dxa"/>
            <w:vAlign w:val="bottom"/>
          </w:tcPr>
          <w:p>
            <w:pPr>
              <w:spacing w:after="0"/>
              <w:rPr>
                <w:sz w:val="21"/>
                <w:szCs w:val="21"/>
                <w:color w:val="auto"/>
              </w:rPr>
            </w:pPr>
          </w:p>
        </w:tc>
        <w:tc>
          <w:tcPr>
            <w:tcW w:w="24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as reported in constant</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 of Total</w:t>
            </w:r>
          </w:p>
        </w:tc>
      </w:tr>
      <w:tr>
        <w:trPr>
          <w:trHeight w:val="286"/>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Pr>
          <w:p>
            <w:pPr>
              <w:spacing w:after="0"/>
              <w:rPr>
                <w:sz w:val="24"/>
                <w:szCs w:val="24"/>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currency</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Revenue</w:t>
            </w:r>
          </w:p>
        </w:tc>
        <w:tc>
          <w:tcPr>
            <w:tcW w:w="140" w:type="dxa"/>
            <w:vAlign w:val="bottom"/>
          </w:tcPr>
          <w:p>
            <w:pPr>
              <w:spacing w:after="0"/>
              <w:rPr>
                <w:sz w:val="24"/>
                <w:szCs w:val="24"/>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51"/>
        </w:trPr>
        <w:tc>
          <w:tcPr>
            <w:tcW w:w="36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Beverage alcohol business</w:t>
            </w:r>
          </w:p>
        </w:tc>
        <w:tc>
          <w:tcPr>
            <w:tcW w:w="1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55,972</w:t>
            </w:r>
          </w:p>
        </w:tc>
        <w:tc>
          <w:tcPr>
            <w:tcW w:w="220" w:type="dxa"/>
            <w:vAlign w:val="bottom"/>
          </w:tcPr>
          <w:p>
            <w:pPr>
              <w:spacing w:after="0"/>
              <w:rPr>
                <w:sz w:val="21"/>
                <w:szCs w:val="21"/>
                <w:color w:val="auto"/>
              </w:rPr>
            </w:pPr>
          </w:p>
        </w:tc>
        <w:tc>
          <w:tcPr>
            <w:tcW w:w="10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27%</w:t>
            </w:r>
          </w:p>
        </w:tc>
        <w:tc>
          <w:tcPr>
            <w:tcW w:w="200" w:type="dxa"/>
            <w:vAlign w:val="bottom"/>
          </w:tcPr>
          <w:p>
            <w:pPr>
              <w:spacing w:after="0"/>
              <w:rPr>
                <w:sz w:val="21"/>
                <w:szCs w:val="21"/>
                <w:color w:val="auto"/>
              </w:rPr>
            </w:pPr>
          </w:p>
        </w:tc>
        <w:tc>
          <w:tcPr>
            <w:tcW w:w="1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Borders>
              <w:top w:val="single" w:sz="8" w:color="auto"/>
            </w:tcBorders>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24,162</w:t>
            </w:r>
          </w:p>
        </w:tc>
        <w:tc>
          <w:tcPr>
            <w:tcW w:w="200" w:type="dxa"/>
            <w:vAlign w:val="bottom"/>
          </w:tcPr>
          <w:p>
            <w:pPr>
              <w:spacing w:after="0"/>
              <w:rPr>
                <w:sz w:val="21"/>
                <w:szCs w:val="21"/>
                <w:color w:val="auto"/>
              </w:rPr>
            </w:pPr>
          </w:p>
        </w:tc>
        <w:tc>
          <w:tcPr>
            <w:tcW w:w="106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13%</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Cannabis business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62,792</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70,333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business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70,396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69,157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Wellness business</w:t>
            </w: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14,940</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13,297</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64"/>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204,100</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176,949</w:t>
            </w:r>
          </w:p>
        </w:tc>
        <w:tc>
          <w:tcPr>
            <w:tcW w:w="2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366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86"/>
        </w:trPr>
        <w:tc>
          <w:tcPr>
            <w:tcW w:w="62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Net Cannabis Revenue by Market Channel</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2"/>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 three months</w:t>
            </w:r>
          </w:p>
        </w:tc>
        <w:tc>
          <w:tcPr>
            <w:tcW w:w="126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c>
          <w:tcPr>
            <w:tcW w:w="140" w:type="dxa"/>
            <w:vAlign w:val="bottom"/>
          </w:tcPr>
          <w:p>
            <w:pPr>
              <w:spacing w:after="0"/>
              <w:rPr>
                <w:sz w:val="21"/>
                <w:szCs w:val="21"/>
                <w:color w:val="auto"/>
              </w:rPr>
            </w:pPr>
          </w:p>
        </w:tc>
        <w:tc>
          <w:tcPr>
            <w:tcW w:w="24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106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 of</w:t>
            </w: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40" w:type="dxa"/>
            <w:vAlign w:val="bottom"/>
          </w:tcPr>
          <w:p>
            <w:pPr>
              <w:spacing w:after="0"/>
              <w:rPr>
                <w:sz w:val="23"/>
                <w:szCs w:val="23"/>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1"/>
              </w:rPr>
              <w:t>Total</w:t>
            </w:r>
          </w:p>
        </w:tc>
      </w:tr>
      <w:tr>
        <w:trPr>
          <w:trHeight w:val="286"/>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Pr>
          <w:p>
            <w:pPr>
              <w:spacing w:after="0"/>
              <w:rPr>
                <w:sz w:val="24"/>
                <w:szCs w:val="24"/>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Revenue</w:t>
            </w:r>
          </w:p>
        </w:tc>
        <w:tc>
          <w:tcPr>
            <w:tcW w:w="140" w:type="dxa"/>
            <w:vAlign w:val="bottom"/>
          </w:tcPr>
          <w:p>
            <w:pPr>
              <w:spacing w:after="0"/>
              <w:rPr>
                <w:sz w:val="24"/>
                <w:szCs w:val="24"/>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August 31,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11"/>
        </w:trPr>
        <w:tc>
          <w:tcPr>
            <w:tcW w:w="366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Revenue from Canadian medical</w:t>
            </w:r>
          </w:p>
        </w:tc>
        <w:tc>
          <w:tcPr>
            <w:tcW w:w="1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6,261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6,142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3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Canadian adult-use</w:t>
            </w:r>
          </w:p>
        </w:tc>
        <w:tc>
          <w:tcPr>
            <w:tcW w:w="1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57,235</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71,195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Revenue from wholesale cannabis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5,507</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5,295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Revenue from international cannabis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12,191</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14,252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Less excise taxes</w:t>
            </w: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(19,945)</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(26,551)</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64"/>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61,249</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70,333</w:t>
            </w:r>
          </w:p>
        </w:tc>
        <w:tc>
          <w:tcPr>
            <w:tcW w:w="2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366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86"/>
        </w:trPr>
        <w:tc>
          <w:tcPr>
            <w:tcW w:w="62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Net Cannabis Revenue by Market Channel in Constant Currency</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2"/>
          </w:tcPr>
          <w:p>
            <w:pPr>
              <w:jc w:val="center"/>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2"/>
          </w:tcPr>
          <w:p>
            <w:pPr>
              <w:jc w:val="center"/>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For the three months</w:t>
            </w:r>
          </w:p>
        </w:tc>
        <w:tc>
          <w:tcPr>
            <w:tcW w:w="1060" w:type="dxa"/>
            <w:vAlign w:val="bottom"/>
          </w:tcPr>
          <w:p>
            <w:pPr>
              <w:spacing w:after="0"/>
              <w:rPr>
                <w:sz w:val="21"/>
                <w:szCs w:val="21"/>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460"/>
              <w:spacing w:after="0"/>
              <w:rPr>
                <w:sz w:val="20"/>
                <w:szCs w:val="20"/>
                <w:color w:val="auto"/>
              </w:rPr>
            </w:pPr>
            <w:r>
              <w:rPr>
                <w:rFonts w:ascii="Times New Roman" w:cs="Times New Roman" w:eastAsia="Times New Roman" w:hAnsi="Times New Roman"/>
                <w:sz w:val="22"/>
                <w:szCs w:val="22"/>
                <w:b w:val="1"/>
                <w:bCs w:val="1"/>
                <w:color w:val="auto"/>
                <w:w w:val="95"/>
              </w:rPr>
              <w:t>ended</w:t>
            </w: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440"/>
              <w:spacing w:after="0"/>
              <w:rPr>
                <w:sz w:val="20"/>
                <w:szCs w:val="20"/>
                <w:color w:val="auto"/>
              </w:rPr>
            </w:pPr>
            <w:r>
              <w:rPr>
                <w:rFonts w:ascii="Times New Roman" w:cs="Times New Roman" w:eastAsia="Times New Roman" w:hAnsi="Times New Roman"/>
                <w:sz w:val="22"/>
                <w:szCs w:val="22"/>
                <w:b w:val="1"/>
                <w:bCs w:val="1"/>
                <w:color w:val="auto"/>
                <w:w w:val="99"/>
              </w:rPr>
              <w:t>ended</w:t>
            </w:r>
          </w:p>
        </w:tc>
        <w:tc>
          <w:tcPr>
            <w:tcW w:w="1060" w:type="dxa"/>
            <w:vAlign w:val="bottom"/>
          </w:tcPr>
          <w:p>
            <w:pPr>
              <w:spacing w:after="0"/>
              <w:rPr>
                <w:sz w:val="23"/>
                <w:szCs w:val="23"/>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8"/>
              </w:rPr>
              <w:t>August 31, 2024</w:t>
            </w: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August 31, 2023</w:t>
            </w:r>
          </w:p>
        </w:tc>
        <w:tc>
          <w:tcPr>
            <w:tcW w:w="1060" w:type="dxa"/>
            <w:vAlign w:val="bottom"/>
          </w:tcPr>
          <w:p>
            <w:pPr>
              <w:spacing w:after="0"/>
              <w:rPr>
                <w:sz w:val="23"/>
                <w:szCs w:val="23"/>
                <w:color w:val="auto"/>
              </w:rPr>
            </w:pPr>
          </w:p>
        </w:tc>
      </w:tr>
      <w:tr>
        <w:trPr>
          <w:trHeight w:val="243"/>
        </w:trPr>
        <w:tc>
          <w:tcPr>
            <w:tcW w:w="3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2"/>
          </w:tcPr>
          <w:p>
            <w:pPr>
              <w:jc w:val="center"/>
              <w:ind w:right="3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as reported in constant</w:t>
            </w:r>
          </w:p>
        </w:tc>
        <w:tc>
          <w:tcPr>
            <w:tcW w:w="126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 of Total</w:t>
            </w:r>
          </w:p>
        </w:tc>
        <w:tc>
          <w:tcPr>
            <w:tcW w:w="140" w:type="dxa"/>
            <w:vAlign w:val="bottom"/>
          </w:tcPr>
          <w:p>
            <w:pPr>
              <w:spacing w:after="0"/>
              <w:rPr>
                <w:sz w:val="21"/>
                <w:szCs w:val="21"/>
                <w:color w:val="auto"/>
              </w:rPr>
            </w:pPr>
          </w:p>
        </w:tc>
        <w:tc>
          <w:tcPr>
            <w:tcW w:w="24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as reported in constant</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 of Total</w:t>
            </w:r>
          </w:p>
        </w:tc>
      </w:tr>
      <w:tr>
        <w:trPr>
          <w:trHeight w:val="286"/>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Pr>
          <w:p>
            <w:pPr>
              <w:spacing w:after="0"/>
              <w:rPr>
                <w:sz w:val="24"/>
                <w:szCs w:val="24"/>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currency</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9"/>
              </w:rPr>
              <w:t>Revenue</w:t>
            </w:r>
          </w:p>
        </w:tc>
        <w:tc>
          <w:tcPr>
            <w:tcW w:w="140" w:type="dxa"/>
            <w:vAlign w:val="bottom"/>
          </w:tcPr>
          <w:p>
            <w:pPr>
              <w:spacing w:after="0"/>
              <w:rPr>
                <w:sz w:val="24"/>
                <w:szCs w:val="24"/>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22"/>
                <w:szCs w:val="22"/>
                <w:b w:val="1"/>
                <w:bCs w:val="1"/>
                <w:color w:val="auto"/>
                <w:w w:val="97"/>
              </w:rPr>
              <w:t>currency</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Revenue</w:t>
            </w:r>
          </w:p>
        </w:tc>
      </w:tr>
      <w:tr>
        <w:trPr>
          <w:trHeight w:val="211"/>
        </w:trPr>
        <w:tc>
          <w:tcPr>
            <w:tcW w:w="366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Revenue from Canadian medical</w:t>
            </w:r>
          </w:p>
        </w:tc>
        <w:tc>
          <w:tcPr>
            <w:tcW w:w="1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6,432</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6,142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36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Revenue from Canadian adult-use</w:t>
            </w:r>
          </w:p>
        </w:tc>
        <w:tc>
          <w:tcPr>
            <w:tcW w:w="1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cannabis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58,806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71,195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Revenue from wholesale cannabis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5,658</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5,295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Revenue from international cannabis</w:t>
            </w:r>
          </w:p>
        </w:tc>
        <w:tc>
          <w:tcPr>
            <w:tcW w:w="14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12,388</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14,252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3"/>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Less excise taxes</w:t>
            </w: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(20,492)</w:t>
            </w:r>
          </w:p>
        </w:tc>
        <w:tc>
          <w:tcPr>
            <w:tcW w:w="2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(26,551)</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64"/>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62,792</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70,333</w:t>
            </w:r>
          </w:p>
        </w:tc>
        <w:tc>
          <w:tcPr>
            <w:tcW w:w="2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Key Operating Metrics</w:t>
            </w:r>
          </w:p>
        </w:tc>
        <w:tc>
          <w:tcPr>
            <w:tcW w:w="180" w:type="dxa"/>
            <w:vAlign w:val="bottom"/>
          </w:tcPr>
          <w:p>
            <w:pPr>
              <w:spacing w:after="0"/>
              <w:rPr>
                <w:sz w:val="24"/>
                <w:szCs w:val="24"/>
                <w:color w:val="auto"/>
              </w:rPr>
            </w:pPr>
          </w:p>
        </w:tc>
        <w:tc>
          <w:tcPr>
            <w:tcW w:w="2920" w:type="dxa"/>
            <w:vAlign w:val="bottom"/>
            <w:gridSpan w:val="4"/>
            <w:vMerge w:val="restart"/>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0" w:type="dxa"/>
            <w:vAlign w:val="bottom"/>
          </w:tcPr>
          <w:p>
            <w:pPr>
              <w:spacing w:after="0"/>
              <w:rPr>
                <w:sz w:val="1"/>
                <w:szCs w:val="1"/>
                <w:color w:val="auto"/>
              </w:rPr>
            </w:pPr>
          </w:p>
        </w:tc>
      </w:tr>
      <w:tr>
        <w:trPr>
          <w:trHeight w:val="254"/>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2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18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w w:val="99"/>
              </w:rPr>
              <w:t>August 31,</w:t>
            </w:r>
          </w:p>
        </w:tc>
        <w:tc>
          <w:tcPr>
            <w:tcW w:w="0" w:type="dxa"/>
            <w:vAlign w:val="bottom"/>
          </w:tcPr>
          <w:p>
            <w:pPr>
              <w:spacing w:after="0"/>
              <w:rPr>
                <w:sz w:val="1"/>
                <w:szCs w:val="1"/>
                <w:color w:val="auto"/>
              </w:rPr>
            </w:pPr>
          </w:p>
        </w:tc>
      </w:t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1"/>
        </w:trPr>
        <w:tc>
          <w:tcPr>
            <w:tcW w:w="81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beverage alcohol revenue</w:t>
            </w:r>
          </w:p>
        </w:tc>
        <w:tc>
          <w:tcPr>
            <w:tcW w:w="1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55,972</w:t>
            </w:r>
          </w:p>
        </w:tc>
        <w:tc>
          <w:tcPr>
            <w:tcW w:w="220" w:type="dxa"/>
            <w:vAlign w:val="bottom"/>
          </w:tcPr>
          <w:p>
            <w:pPr>
              <w:spacing w:after="0"/>
              <w:rPr>
                <w:sz w:val="21"/>
                <w:szCs w:val="21"/>
                <w:color w:val="auto"/>
              </w:rPr>
            </w:pPr>
          </w:p>
        </w:tc>
        <w:tc>
          <w:tcPr>
            <w:tcW w:w="1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24,162</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22"/>
                <w:szCs w:val="22"/>
                <w:color w:val="auto"/>
              </w:rPr>
              <w:t>Net cannabis revenue</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61,249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70,333</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revenue</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68,071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69,157</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22"/>
                <w:szCs w:val="22"/>
                <w:color w:val="auto"/>
              </w:rPr>
              <w:t>Wellness revenue</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14,752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13,297</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Times New Roman" w:cs="Times New Roman" w:eastAsia="Times New Roman" w:hAnsi="Times New Roman"/>
                <w:sz w:val="22"/>
                <w:szCs w:val="22"/>
                <w:color w:val="auto"/>
              </w:rPr>
              <w:t>Beverage alcohol costs</w:t>
            </w: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33,050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11,266</w:t>
            </w:r>
          </w:p>
        </w:tc>
        <w:tc>
          <w:tcPr>
            <w:tcW w:w="0" w:type="dxa"/>
            <w:vAlign w:val="bottom"/>
          </w:tcPr>
          <w:p>
            <w:pPr>
              <w:spacing w:after="0"/>
              <w:rPr>
                <w:sz w:val="1"/>
                <w:szCs w:val="1"/>
                <w:color w:val="auto"/>
              </w:rPr>
            </w:pPr>
          </w:p>
        </w:tc>
      </w:tr>
      <w:tr>
        <w:trPr>
          <w:trHeight w:val="282"/>
        </w:trPr>
        <w:tc>
          <w:tcPr>
            <w:tcW w:w="8120" w:type="dxa"/>
            <w:vAlign w:val="bottom"/>
          </w:tcPr>
          <w:p>
            <w:pPr>
              <w:spacing w:after="0"/>
              <w:rPr>
                <w:sz w:val="20"/>
                <w:szCs w:val="20"/>
                <w:color w:val="auto"/>
              </w:rPr>
            </w:pPr>
            <w:r>
              <w:rPr>
                <w:rFonts w:ascii="Times New Roman" w:cs="Times New Roman" w:eastAsia="Times New Roman" w:hAnsi="Times New Roman"/>
                <w:sz w:val="22"/>
                <w:szCs w:val="22"/>
                <w:color w:val="auto"/>
              </w:rPr>
              <w:t>Cannabis costs</w:t>
            </w:r>
          </w:p>
        </w:tc>
        <w:tc>
          <w:tcPr>
            <w:tcW w:w="180" w:type="dxa"/>
            <w:vAlign w:val="bottom"/>
          </w:tcPr>
          <w:p>
            <w:pPr>
              <w:spacing w:after="0"/>
              <w:rPr>
                <w:sz w:val="24"/>
                <w:szCs w:val="24"/>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37,054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50,517</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costs</w:t>
            </w:r>
          </w:p>
        </w:tc>
        <w:tc>
          <w:tcPr>
            <w:tcW w:w="156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60,138</w:t>
            </w:r>
          </w:p>
        </w:tc>
        <w:tc>
          <w:tcPr>
            <w:tcW w:w="4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61,468</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Wellness costs</w:t>
            </w:r>
          </w:p>
        </w:tc>
        <w:tc>
          <w:tcPr>
            <w:tcW w:w="156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10,096</w:t>
            </w:r>
          </w:p>
        </w:tc>
        <w:tc>
          <w:tcPr>
            <w:tcW w:w="4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9,502</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profit (excluding PPA step-up)</w:t>
            </w:r>
          </w:p>
        </w:tc>
        <w:tc>
          <w:tcPr>
            <w:tcW w:w="156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59,881</w:t>
            </w:r>
          </w:p>
        </w:tc>
        <w:tc>
          <w:tcPr>
            <w:tcW w:w="4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49,302</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Beverage alcohol adjusted gross margin (excluding PPA step-up)</w:t>
            </w:r>
          </w:p>
        </w:tc>
        <w:tc>
          <w:tcPr>
            <w:tcW w:w="15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41%</w:t>
            </w: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Cannabis adjusted gross margin (excluding PPA step-up)</w:t>
            </w:r>
          </w:p>
        </w:tc>
        <w:tc>
          <w:tcPr>
            <w:tcW w:w="15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w:t>
            </w: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gross margin</w:t>
            </w:r>
          </w:p>
        </w:tc>
        <w:tc>
          <w:tcPr>
            <w:tcW w:w="15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w:t>
            </w: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Wellness gross margin</w:t>
            </w:r>
          </w:p>
        </w:tc>
        <w:tc>
          <w:tcPr>
            <w:tcW w:w="15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32%</w:t>
            </w: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9,334</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10,734</w:t>
            </w: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Cash and marketable securities as at the period ended:</w:t>
            </w:r>
          </w:p>
        </w:tc>
        <w:tc>
          <w:tcPr>
            <w:tcW w:w="1560" w:type="dxa"/>
            <w:vAlign w:val="bottom"/>
          </w:tcPr>
          <w:p>
            <w:pPr>
              <w:spacing w:after="0"/>
              <w:rPr>
                <w:sz w:val="23"/>
                <w:szCs w:val="2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280,055</w:t>
            </w:r>
          </w:p>
        </w:tc>
        <w:tc>
          <w:tcPr>
            <w:tcW w:w="4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466,465</w:t>
            </w:r>
          </w:p>
        </w:tc>
      </w:tr>
      <w:tr>
        <w:trPr>
          <w:trHeight w:val="282"/>
        </w:trPr>
        <w:tc>
          <w:tcPr>
            <w:tcW w:w="6880" w:type="dxa"/>
            <w:vAlign w:val="bottom"/>
          </w:tcPr>
          <w:p>
            <w:pPr>
              <w:spacing w:after="0"/>
              <w:rPr>
                <w:sz w:val="20"/>
                <w:szCs w:val="20"/>
                <w:color w:val="auto"/>
              </w:rPr>
            </w:pPr>
            <w:r>
              <w:rPr>
                <w:rFonts w:ascii="Times New Roman" w:cs="Times New Roman" w:eastAsia="Times New Roman" w:hAnsi="Times New Roman"/>
                <w:sz w:val="22"/>
                <w:szCs w:val="22"/>
                <w:color w:val="auto"/>
              </w:rPr>
              <w:t>Working capital as at the period ended:</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432,334</w:t>
            </w:r>
          </w:p>
        </w:tc>
        <w:tc>
          <w:tcPr>
            <w:tcW w:w="4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291,981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260"/>
        <w:spacing w:after="0" w:line="251" w:lineRule="auto"/>
        <w:rPr>
          <w:sz w:val="20"/>
          <w:szCs w:val="20"/>
          <w:color w:val="auto"/>
        </w:rPr>
      </w:pPr>
      <w:r>
        <w:rPr>
          <w:rFonts w:ascii="Times New Roman" w:cs="Times New Roman" w:eastAsia="Times New Roman" w:hAnsi="Times New Roman"/>
          <w:sz w:val="22"/>
          <w:szCs w:val="22"/>
          <w:b w:val="1"/>
          <w:bCs w:val="1"/>
          <w:color w:val="auto"/>
        </w:rPr>
        <w:t>Other Financial Information: Gross Margin and Adjusted Gross Margin</w:t>
      </w:r>
    </w:p>
    <w:tbl>
      <w:tblPr>
        <w:tblLayout w:type="fixed"/>
        <w:tblInd w:w="0" w:type="dxa"/>
        <w:tblCellMar>
          <w:top w:w="0" w:type="dxa"/>
          <w:left w:w="0" w:type="dxa"/>
          <w:bottom w:w="0" w:type="dxa"/>
          <w:right w:w="0" w:type="dxa"/>
        </w:tblCellMar>
      </w:tblPr>
      <w:tr>
        <w:trPr>
          <w:trHeight w:val="254"/>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700" w:type="dxa"/>
            <w:vAlign w:val="bottom"/>
            <w:gridSpan w:val="8"/>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For the three months ended August 31, 2024</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6"/>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Distribution</w:t>
            </w:r>
          </w:p>
        </w:tc>
        <w:tc>
          <w:tcPr>
            <w:tcW w:w="2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30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51"/>
        </w:trPr>
        <w:tc>
          <w:tcPr>
            <w:tcW w:w="33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revenue</w:t>
            </w:r>
          </w:p>
        </w:tc>
        <w:tc>
          <w:tcPr>
            <w:tcW w:w="2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55,972</w:t>
            </w:r>
          </w:p>
        </w:tc>
        <w:tc>
          <w:tcPr>
            <w:tcW w:w="200" w:type="dxa"/>
            <w:vAlign w:val="bottom"/>
          </w:tcPr>
          <w:p>
            <w:pPr>
              <w:spacing w:after="0"/>
              <w:rPr>
                <w:sz w:val="21"/>
                <w:szCs w:val="21"/>
                <w:color w:val="auto"/>
              </w:rPr>
            </w:pPr>
          </w:p>
        </w:tc>
        <w:tc>
          <w:tcPr>
            <w:tcW w:w="1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61,249</w:t>
            </w:r>
          </w:p>
        </w:tc>
        <w:tc>
          <w:tcPr>
            <w:tcW w:w="220" w:type="dxa"/>
            <w:vAlign w:val="bottom"/>
          </w:tcPr>
          <w:p>
            <w:pPr>
              <w:spacing w:after="0"/>
              <w:rPr>
                <w:sz w:val="21"/>
                <w:szCs w:val="21"/>
                <w:color w:val="auto"/>
              </w:rPr>
            </w:pPr>
          </w:p>
        </w:tc>
        <w:tc>
          <w:tcPr>
            <w:tcW w:w="1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68,071</w:t>
            </w:r>
          </w:p>
        </w:tc>
        <w:tc>
          <w:tcPr>
            <w:tcW w:w="220" w:type="dxa"/>
            <w:vAlign w:val="bottom"/>
          </w:tcPr>
          <w:p>
            <w:pPr>
              <w:spacing w:after="0"/>
              <w:rPr>
                <w:sz w:val="21"/>
                <w:szCs w:val="21"/>
                <w:color w:val="auto"/>
              </w:rPr>
            </w:pPr>
          </w:p>
        </w:tc>
        <w:tc>
          <w:tcPr>
            <w:tcW w:w="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14,752</w:t>
            </w:r>
          </w:p>
        </w:tc>
        <w:tc>
          <w:tcPr>
            <w:tcW w:w="220" w:type="dxa"/>
            <w:vAlign w:val="bottom"/>
          </w:tcPr>
          <w:p>
            <w:pPr>
              <w:spacing w:after="0"/>
              <w:rPr>
                <w:sz w:val="21"/>
                <w:szCs w:val="21"/>
                <w:color w:val="auto"/>
              </w:rPr>
            </w:pPr>
          </w:p>
        </w:tc>
        <w:tc>
          <w:tcPr>
            <w:tcW w:w="300" w:type="dxa"/>
            <w:vAlign w:val="bottom"/>
            <w:tcBorders>
              <w:top w:val="single" w:sz="8" w:color="auto"/>
            </w:tcBorders>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200,044</w:t>
            </w:r>
          </w:p>
        </w:tc>
      </w:t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33,050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37,054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60,138</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10,096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140,338</w:t>
            </w:r>
          </w:p>
        </w:tc>
      </w:tr>
      <w:tr>
        <w:trPr>
          <w:trHeight w:val="265"/>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22,922</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24,195</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7,933</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4,656</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59,706</w:t>
            </w:r>
          </w:p>
        </w:tc>
      </w:tr>
      <w:tr>
        <w:trPr>
          <w:trHeight w:val="263"/>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50"/>
        </w:trPr>
        <w:tc>
          <w:tcPr>
            <w:tcW w:w="3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200" w:type="dxa"/>
            <w:vAlign w:val="bottom"/>
          </w:tcPr>
          <w:p>
            <w:pPr>
              <w:spacing w:after="0"/>
              <w:rPr>
                <w:sz w:val="24"/>
                <w:szCs w:val="24"/>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w:t>
            </w:r>
          </w:p>
        </w:tc>
      </w:tr>
      <w:tr>
        <w:trPr>
          <w:trHeight w:val="251"/>
        </w:trPr>
        <w:tc>
          <w:tcPr>
            <w:tcW w:w="33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23,097</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24,195</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7,933</w:t>
            </w: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4,656</w:t>
            </w:r>
          </w:p>
        </w:tc>
        <w:tc>
          <w:tcPr>
            <w:tcW w:w="2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59,881</w:t>
            </w:r>
          </w:p>
        </w:tc>
      </w:tr>
      <w:tr>
        <w:trPr>
          <w:trHeight w:val="284"/>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700" w:type="dxa"/>
            <w:vAlign w:val="bottom"/>
            <w:gridSpan w:val="8"/>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For the three months ended August 31, 2023</w:t>
            </w: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86"/>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Beverage</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Cannabis</w:t>
            </w:r>
          </w:p>
        </w:tc>
        <w:tc>
          <w:tcPr>
            <w:tcW w:w="14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9"/>
              </w:rPr>
              <w:t>Distribution</w:t>
            </w:r>
          </w:p>
        </w:tc>
        <w:tc>
          <w:tcPr>
            <w:tcW w:w="2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Wellness</w:t>
            </w:r>
          </w:p>
        </w:tc>
        <w:tc>
          <w:tcPr>
            <w:tcW w:w="30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Total</w:t>
            </w:r>
          </w:p>
        </w:tc>
      </w:tr>
      <w:tr>
        <w:trPr>
          <w:trHeight w:val="251"/>
        </w:trPr>
        <w:tc>
          <w:tcPr>
            <w:tcW w:w="33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revenue</w:t>
            </w:r>
          </w:p>
        </w:tc>
        <w:tc>
          <w:tcPr>
            <w:tcW w:w="20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24,162</w:t>
            </w:r>
          </w:p>
        </w:tc>
        <w:tc>
          <w:tcPr>
            <w:tcW w:w="200" w:type="dxa"/>
            <w:vAlign w:val="bottom"/>
          </w:tcPr>
          <w:p>
            <w:pPr>
              <w:spacing w:after="0"/>
              <w:rPr>
                <w:sz w:val="21"/>
                <w:szCs w:val="21"/>
                <w:color w:val="auto"/>
              </w:rPr>
            </w:pPr>
          </w:p>
        </w:tc>
        <w:tc>
          <w:tcPr>
            <w:tcW w:w="1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70,333</w:t>
            </w:r>
          </w:p>
        </w:tc>
        <w:tc>
          <w:tcPr>
            <w:tcW w:w="220" w:type="dxa"/>
            <w:vAlign w:val="bottom"/>
          </w:tcPr>
          <w:p>
            <w:pPr>
              <w:spacing w:after="0"/>
              <w:rPr>
                <w:sz w:val="21"/>
                <w:szCs w:val="21"/>
                <w:color w:val="auto"/>
              </w:rPr>
            </w:pPr>
          </w:p>
        </w:tc>
        <w:tc>
          <w:tcPr>
            <w:tcW w:w="14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69,157</w:t>
            </w:r>
          </w:p>
        </w:tc>
        <w:tc>
          <w:tcPr>
            <w:tcW w:w="220" w:type="dxa"/>
            <w:vAlign w:val="bottom"/>
          </w:tcPr>
          <w:p>
            <w:pPr>
              <w:spacing w:after="0"/>
              <w:rPr>
                <w:sz w:val="21"/>
                <w:szCs w:val="21"/>
                <w:color w:val="auto"/>
              </w:rPr>
            </w:pPr>
          </w:p>
        </w:tc>
        <w:tc>
          <w:tcPr>
            <w:tcW w:w="22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13,297</w:t>
            </w:r>
          </w:p>
        </w:tc>
        <w:tc>
          <w:tcPr>
            <w:tcW w:w="220" w:type="dxa"/>
            <w:vAlign w:val="bottom"/>
          </w:tcPr>
          <w:p>
            <w:pPr>
              <w:spacing w:after="0"/>
              <w:rPr>
                <w:sz w:val="21"/>
                <w:szCs w:val="21"/>
                <w:color w:val="auto"/>
              </w:rPr>
            </w:pPr>
          </w:p>
        </w:tc>
        <w:tc>
          <w:tcPr>
            <w:tcW w:w="300" w:type="dxa"/>
            <w:vAlign w:val="bottom"/>
            <w:tcBorders>
              <w:top w:val="single" w:sz="8" w:color="auto"/>
            </w:tcBorders>
          </w:tcPr>
          <w:p>
            <w:pPr>
              <w:jc w:val="right"/>
              <w:ind w:right="72"/>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176,949</w:t>
            </w:r>
          </w:p>
        </w:tc>
      </w:t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Cost of goods sold</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11,266</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50,517</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61,468</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9,502</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132,753</w:t>
            </w:r>
          </w:p>
        </w:tc>
      </w:tr>
      <w:tr>
        <w:trPr>
          <w:trHeight w:val="265"/>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Gross profit</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12,896</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19,816</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7,689</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3,795</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44,196</w:t>
            </w:r>
          </w:p>
        </w:tc>
      </w:tr>
      <w:tr>
        <w:trPr>
          <w:trHeight w:val="263"/>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Gross margin</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50"/>
        </w:trPr>
        <w:tc>
          <w:tcPr>
            <w:tcW w:w="332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Adjustments: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200" w:type="dxa"/>
            <w:vAlign w:val="bottom"/>
          </w:tcPr>
          <w:p>
            <w:pPr>
              <w:spacing w:after="0"/>
              <w:rPr>
                <w:sz w:val="24"/>
                <w:szCs w:val="24"/>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590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4,516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5,106</w:t>
            </w:r>
          </w:p>
        </w:tc>
      </w:tr>
      <w:tr>
        <w:trPr>
          <w:trHeight w:val="251"/>
        </w:trPr>
        <w:tc>
          <w:tcPr>
            <w:tcW w:w="332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Adjusted gross profit</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13,486</w:t>
            </w: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24,332</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7,689</w:t>
            </w: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3,795</w:t>
            </w:r>
          </w:p>
        </w:tc>
        <w:tc>
          <w:tcPr>
            <w:tcW w:w="2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92"/>
              <w:spacing w:after="0" w:line="251" w:lineRule="exact"/>
              <w:rPr>
                <w:sz w:val="20"/>
                <w:szCs w:val="20"/>
                <w:color w:val="auto"/>
              </w:rPr>
            </w:pPr>
            <w:r>
              <w:rPr>
                <w:rFonts w:ascii="Times New Roman" w:cs="Times New Roman" w:eastAsia="Times New Roman" w:hAnsi="Times New Roman"/>
                <w:sz w:val="22"/>
                <w:szCs w:val="22"/>
                <w:color w:val="auto"/>
              </w:rPr>
              <w:t>49,302</w:t>
            </w:r>
          </w:p>
        </w:tc>
      </w:tr>
      <w:tr>
        <w:trPr>
          <w:trHeight w:val="284"/>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Adjusted gross margin</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240"/>
        <w:spacing w:after="0" w:line="251" w:lineRule="auto"/>
        <w:rPr>
          <w:sz w:val="20"/>
          <w:szCs w:val="20"/>
          <w:color w:val="auto"/>
        </w:rPr>
      </w:pPr>
      <w:r>
        <w:rPr>
          <w:rFonts w:ascii="Times New Roman" w:cs="Times New Roman" w:eastAsia="Times New Roman" w:hAnsi="Times New Roman"/>
          <w:sz w:val="22"/>
          <w:szCs w:val="22"/>
          <w:b w:val="1"/>
          <w:bCs w:val="1"/>
          <w:color w:val="auto"/>
        </w:rPr>
        <w:t>Other Financial Information: Adjusted Earnings Before Interest, Taxes and Amortization</w:t>
      </w:r>
    </w:p>
    <w:tbl>
      <w:tblPr>
        <w:tblLayout w:type="fixed"/>
        <w:tblInd w:w="0" w:type="dxa"/>
        <w:tblCellMar>
          <w:top w:w="0" w:type="dxa"/>
          <w:left w:w="0" w:type="dxa"/>
          <w:bottom w:w="0" w:type="dxa"/>
          <w:right w:w="0" w:type="dxa"/>
        </w:tblCellMar>
      </w:tblPr>
      <w:tr>
        <w:trPr>
          <w:trHeight w:val="25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14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22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 Change</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2024 vs. 2023</w:t>
            </w:r>
          </w:p>
        </w:tc>
      </w:tr>
      <w:tr>
        <w:trPr>
          <w:trHeight w:val="251"/>
        </w:trPr>
        <w:tc>
          <w:tcPr>
            <w:tcW w:w="51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loss</w:t>
            </w: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(34,652)</w:t>
            </w:r>
          </w:p>
        </w:tc>
        <w:tc>
          <w:tcPr>
            <w:tcW w:w="220" w:type="dxa"/>
            <w:vAlign w:val="bottom"/>
          </w:tcPr>
          <w:p>
            <w:pPr>
              <w:spacing w:after="0"/>
              <w:rPr>
                <w:sz w:val="21"/>
                <w:szCs w:val="21"/>
                <w:color w:val="auto"/>
              </w:rPr>
            </w:pP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(55,863)</w:t>
            </w:r>
          </w:p>
        </w:tc>
        <w:tc>
          <w:tcPr>
            <w:tcW w:w="220" w:type="dxa"/>
            <w:vAlign w:val="bottom"/>
          </w:tcPr>
          <w:p>
            <w:pPr>
              <w:spacing w:after="0"/>
              <w:rPr>
                <w:sz w:val="21"/>
                <w:szCs w:val="21"/>
                <w:color w:val="auto"/>
              </w:rPr>
            </w:pPr>
          </w:p>
        </w:tc>
        <w:tc>
          <w:tcPr>
            <w:tcW w:w="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21,211</w:t>
            </w:r>
          </w:p>
        </w:tc>
        <w:tc>
          <w:tcPr>
            <w:tcW w:w="200" w:type="dxa"/>
            <w:vAlign w:val="bottom"/>
          </w:tcPr>
          <w:p>
            <w:pPr>
              <w:spacing w:after="0"/>
              <w:rPr>
                <w:sz w:val="21"/>
                <w:szCs w:val="21"/>
                <w:color w:val="auto"/>
              </w:rPr>
            </w:pPr>
          </w:p>
        </w:tc>
        <w:tc>
          <w:tcPr>
            <w:tcW w:w="14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(38)%</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 net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7,264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(6,378)</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 net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9,842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9,835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Non-operating income (expense), net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(12,646)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(17,048)</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(387)%</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Amortization</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31,814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30,789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1,025</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11,107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 accounting step-up</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5,106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(4,931)</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Facility start-up and closure costs</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Litigation costs, net of recoveries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Restructuring costs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3,332</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w:t>
            </w: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Transaction costs (income)</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8,502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(7,346)</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9,334</w:t>
            </w:r>
          </w:p>
        </w:tc>
        <w:tc>
          <w:tcPr>
            <w:tcW w:w="2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10,734</w:t>
            </w:r>
          </w:p>
        </w:tc>
        <w:tc>
          <w:tcPr>
            <w:tcW w:w="2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(1,400)</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11" w:right="339" w:bottom="217"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Adjusted Net Loss and</w:t>
            </w:r>
          </w:p>
        </w:tc>
        <w:tc>
          <w:tcPr>
            <w:tcW w:w="140" w:type="dxa"/>
            <w:vAlign w:val="bottom"/>
          </w:tcPr>
          <w:p>
            <w:pPr>
              <w:spacing w:after="0"/>
              <w:rPr>
                <w:sz w:val="22"/>
                <w:szCs w:val="22"/>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Adjusted Net Loss Per Share</w:t>
            </w:r>
          </w:p>
        </w:tc>
        <w:tc>
          <w:tcPr>
            <w:tcW w:w="14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140" w:type="dxa"/>
            <w:vAlign w:val="bottom"/>
          </w:tcPr>
          <w:p>
            <w:pPr>
              <w:spacing w:after="0"/>
              <w:rPr>
                <w:sz w:val="24"/>
                <w:szCs w:val="24"/>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August 31,</w:t>
            </w:r>
          </w:p>
        </w:tc>
        <w:tc>
          <w:tcPr>
            <w:tcW w:w="220" w:type="dxa"/>
            <w:vAlign w:val="bottom"/>
          </w:tcPr>
          <w:p>
            <w:pPr>
              <w:spacing w:after="0"/>
              <w:rPr>
                <w:sz w:val="24"/>
                <w:szCs w:val="2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Net loss attributable to stockholders of Tilray Brands, Inc.</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012"/>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0" w:type="dxa"/>
            <w:vAlign w:val="bottom"/>
          </w:tcPr>
          <w:p>
            <w:pPr>
              <w:spacing w:after="0"/>
              <w:rPr>
                <w:sz w:val="1"/>
                <w:szCs w:val="1"/>
                <w:color w:val="auto"/>
              </w:rPr>
            </w:pPr>
          </w:p>
        </w:tc>
      </w:tr>
      <w:tr>
        <w:trPr>
          <w:trHeight w:val="250"/>
        </w:trPr>
        <w:tc>
          <w:tcPr>
            <w:tcW w:w="5140" w:type="dxa"/>
            <w:vAlign w:val="bottom"/>
            <w:vMerge w:val="continue"/>
          </w:tcPr>
          <w:p>
            <w:pPr>
              <w:spacing w:after="0"/>
              <w:rPr>
                <w:sz w:val="21"/>
                <w:szCs w:val="21"/>
                <w:color w:val="auto"/>
              </w:rPr>
            </w:pPr>
          </w:p>
        </w:tc>
        <w:tc>
          <w:tcPr>
            <w:tcW w:w="14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(39,165)</w:t>
            </w:r>
          </w:p>
        </w:tc>
        <w:tc>
          <w:tcPr>
            <w:tcW w:w="220" w:type="dxa"/>
            <w:vAlign w:val="bottom"/>
          </w:tcPr>
          <w:p>
            <w:pPr>
              <w:spacing w:after="0"/>
              <w:rPr>
                <w:sz w:val="21"/>
                <w:szCs w:val="21"/>
                <w:color w:val="auto"/>
              </w:rPr>
            </w:pPr>
          </w:p>
        </w:tc>
        <w:tc>
          <w:tcPr>
            <w:tcW w:w="14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(71,525)</w:t>
            </w:r>
          </w:p>
        </w:tc>
        <w:tc>
          <w:tcPr>
            <w:tcW w:w="220" w:type="dxa"/>
            <w:vAlign w:val="bottom"/>
          </w:tcPr>
          <w:p>
            <w:pPr>
              <w:spacing w:after="0"/>
              <w:rPr>
                <w:sz w:val="21"/>
                <w:szCs w:val="21"/>
                <w:color w:val="auto"/>
              </w:rPr>
            </w:pP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rPr>
              <w:t>32,360</w:t>
            </w:r>
          </w:p>
        </w:tc>
        <w:tc>
          <w:tcPr>
            <w:tcW w:w="200" w:type="dxa"/>
            <w:vAlign w:val="bottom"/>
          </w:tcPr>
          <w:p>
            <w:pPr>
              <w:spacing w:after="0"/>
              <w:rPr>
                <w:sz w:val="21"/>
                <w:szCs w:val="21"/>
                <w:color w:val="auto"/>
              </w:rPr>
            </w:pPr>
          </w:p>
        </w:tc>
        <w:tc>
          <w:tcPr>
            <w:tcW w:w="14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Non-operating income (expense), net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(12,646)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4,402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(17,048)</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(387)%</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Amortization</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31,814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30,789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1,025</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Stock-based compensation</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8,257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Change in fair value of contingent consideration</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(11,107)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11,107</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Facility start-up and closure costs</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(600)</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Litigation costs, net of recoveries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Restructuring costs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3,332</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w:t>
            </w:r>
          </w:p>
        </w:tc>
        <w:tc>
          <w:tcPr>
            <w:tcW w:w="0" w:type="dxa"/>
            <w:vAlign w:val="bottom"/>
          </w:tcPr>
          <w:p>
            <w:pPr>
              <w:spacing w:after="0"/>
              <w:rPr>
                <w:sz w:val="1"/>
                <w:szCs w:val="1"/>
                <w:color w:val="auto"/>
              </w:rPr>
            </w:pP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Transaction costs (income)</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1,156</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8,502</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(7,346)</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Adjusted 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(6,082)</w:t>
            </w:r>
          </w:p>
        </w:tc>
        <w:tc>
          <w:tcPr>
            <w:tcW w:w="2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(27,133)</w:t>
            </w:r>
          </w:p>
        </w:tc>
        <w:tc>
          <w:tcPr>
            <w:tcW w:w="2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21,051</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Adjusted net loss per share - basic and diluted</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40" w:type="dxa"/>
            <w:vAlign w:val="bottom"/>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0.03</w:t>
            </w:r>
          </w:p>
        </w:tc>
        <w:tc>
          <w:tcPr>
            <w:tcW w:w="2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Other Financial Information: Free Cash Flow</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5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5"/>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5"/>
            <w:vMerge w:val="continue"/>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140" w:type="dxa"/>
            <w:vAlign w:val="bottom"/>
          </w:tcPr>
          <w:p>
            <w:pPr>
              <w:spacing w:after="0"/>
              <w:rPr>
                <w:sz w:val="23"/>
                <w:szCs w:val="2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7"/>
              </w:rPr>
              <w:t>August 31,</w:t>
            </w:r>
          </w:p>
        </w:tc>
        <w:tc>
          <w:tcPr>
            <w:tcW w:w="22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Change</w:t>
            </w:r>
          </w:p>
        </w:tc>
        <w:tc>
          <w:tcPr>
            <w:tcW w:w="140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22"/>
                <w:szCs w:val="22"/>
                <w:b w:val="1"/>
                <w:bCs w:val="1"/>
                <w:color w:val="auto"/>
              </w:rPr>
              <w:t>2024 vs. 2023</w:t>
            </w:r>
          </w:p>
        </w:tc>
        <w:tc>
          <w:tcPr>
            <w:tcW w:w="0" w:type="dxa"/>
            <w:vAlign w:val="bottom"/>
          </w:tcPr>
          <w:p>
            <w:pPr>
              <w:spacing w:after="0"/>
              <w:rPr>
                <w:sz w:val="1"/>
                <w:szCs w:val="1"/>
                <w:color w:val="auto"/>
              </w:rPr>
            </w:pPr>
          </w:p>
        </w:tc>
      </w:tr>
      <w:tr>
        <w:trPr>
          <w:trHeight w:val="251"/>
        </w:trPr>
        <w:tc>
          <w:tcPr>
            <w:tcW w:w="51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Net cash used in operating activities</w:t>
            </w: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(35,307)</w:t>
            </w:r>
          </w:p>
        </w:tc>
        <w:tc>
          <w:tcPr>
            <w:tcW w:w="220" w:type="dxa"/>
            <w:vAlign w:val="bottom"/>
          </w:tcPr>
          <w:p>
            <w:pPr>
              <w:spacing w:after="0"/>
              <w:rPr>
                <w:sz w:val="21"/>
                <w:szCs w:val="21"/>
                <w:color w:val="auto"/>
              </w:rPr>
            </w:pPr>
          </w:p>
        </w:tc>
        <w:tc>
          <w:tcPr>
            <w:tcW w:w="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(15,842)</w:t>
            </w:r>
          </w:p>
        </w:tc>
        <w:tc>
          <w:tcPr>
            <w:tcW w:w="220" w:type="dxa"/>
            <w:vAlign w:val="bottom"/>
          </w:tcPr>
          <w:p>
            <w:pPr>
              <w:spacing w:after="0"/>
              <w:rPr>
                <w:sz w:val="21"/>
                <w:szCs w:val="21"/>
                <w:color w:val="auto"/>
              </w:rPr>
            </w:pPr>
          </w:p>
        </w:tc>
        <w:tc>
          <w:tcPr>
            <w:tcW w:w="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(19,465)</w:t>
            </w:r>
          </w:p>
        </w:tc>
        <w:tc>
          <w:tcPr>
            <w:tcW w:w="200" w:type="dxa"/>
            <w:vAlign w:val="bottom"/>
          </w:tcPr>
          <w:p>
            <w:pPr>
              <w:spacing w:after="0"/>
              <w:rPr>
                <w:sz w:val="21"/>
                <w:szCs w:val="21"/>
                <w:color w:val="auto"/>
              </w:rPr>
            </w:pPr>
          </w:p>
        </w:tc>
        <w:tc>
          <w:tcPr>
            <w:tcW w:w="140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123%</w:t>
            </w:r>
          </w:p>
        </w:tc>
        <w:tc>
          <w:tcPr>
            <w:tcW w:w="0" w:type="dxa"/>
            <w:vAlign w:val="bottom"/>
          </w:tcPr>
          <w:p>
            <w:pPr>
              <w:spacing w:after="0"/>
              <w:rPr>
                <w:sz w:val="1"/>
                <w:szCs w:val="1"/>
                <w:color w:val="auto"/>
              </w:rPr>
            </w:pP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Less: investments in capital and intangible assets, net</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(6,708)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(3,810)</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(2,898)</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(42,015)</w:t>
            </w:r>
          </w:p>
        </w:tc>
        <w:tc>
          <w:tcPr>
            <w:tcW w:w="2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(19,652)</w:t>
            </w:r>
          </w:p>
        </w:tc>
        <w:tc>
          <w:tcPr>
            <w:tcW w:w="22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(22,363)</w:t>
            </w:r>
          </w:p>
        </w:tc>
        <w:tc>
          <w:tcPr>
            <w:tcW w:w="20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114%</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Add: growth CAPEX</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2,540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1,687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line="249" w:lineRule="exact"/>
              <w:rPr>
                <w:sz w:val="20"/>
                <w:szCs w:val="20"/>
                <w:color w:val="auto"/>
              </w:rPr>
            </w:pPr>
            <w:r>
              <w:rPr>
                <w:rFonts w:ascii="Times New Roman" w:cs="Times New Roman" w:eastAsia="Times New Roman" w:hAnsi="Times New Roman"/>
                <w:sz w:val="22"/>
                <w:szCs w:val="22"/>
                <w:color w:val="auto"/>
              </w:rPr>
              <w:t>853</w:t>
            </w:r>
          </w:p>
        </w:tc>
        <w:tc>
          <w:tcPr>
            <w:tcW w:w="200" w:type="dxa"/>
            <w:vAlign w:val="bottom"/>
          </w:tcPr>
          <w:p>
            <w:pPr>
              <w:spacing w:after="0"/>
              <w:rPr>
                <w:sz w:val="21"/>
                <w:szCs w:val="21"/>
                <w:color w:val="auto"/>
              </w:rPr>
            </w:pPr>
          </w:p>
        </w:tc>
        <w:tc>
          <w:tcPr>
            <w:tcW w:w="14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Add: cash income taxes related to Aphria Diamond</w:t>
            </w:r>
          </w:p>
        </w:tc>
        <w:tc>
          <w:tcPr>
            <w:tcW w:w="14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(5,714)</w:t>
            </w: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Add: integration costs related to HEXO</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(5,915)</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5"/>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Adjusted free cash flow</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(39,475)</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(6,336)</w:t>
            </w:r>
          </w:p>
        </w:tc>
        <w:tc>
          <w:tcPr>
            <w:tcW w:w="2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(33,139)</w:t>
            </w:r>
          </w:p>
        </w:tc>
        <w:tc>
          <w:tcPr>
            <w:tcW w:w="200" w:type="dxa"/>
            <w:vAlign w:val="bottom"/>
          </w:tcPr>
          <w:p>
            <w:pPr>
              <w:spacing w:after="0"/>
              <w:rPr>
                <w:sz w:val="23"/>
                <w:szCs w:val="2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2024-10-10T06:03:48Z</dcterms:created>
  <dcterms:modified xsi:type="dcterms:W3CDTF">2024-10-10T06:03:48Z</dcterms:modified>
</cp:coreProperties>
</file>