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300355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110490</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24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113665</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258"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109"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14"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August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120650</wp:posOffset>
            </wp:positionV>
            <wp:extent cx="1440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259"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Tilray, Inc.</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9"/>
          <w:szCs w:val="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105410</wp:posOffset>
            </wp:positionV>
            <wp:extent cx="14401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277" w:lineRule="exact"/>
        <w:rPr>
          <w:sz w:val="24"/>
          <w:szCs w:val="24"/>
          <w:color w:val="auto"/>
        </w:rPr>
      </w:pPr>
    </w:p>
    <w:tbl>
      <w:tblPr>
        <w:tblLayout w:type="fixed"/>
        <w:tblInd w:w="1108" w:type="dxa"/>
        <w:tblCellMar>
          <w:top w:w="0" w:type="dxa"/>
          <w:left w:w="0" w:type="dxa"/>
          <w:bottom w:w="0" w:type="dxa"/>
          <w:right w:w="0" w:type="dxa"/>
        </w:tblCellMar>
      </w:tblPr>
      <w:tr>
        <w:trPr>
          <w:trHeight w:val="148"/>
        </w:trPr>
        <w:tc>
          <w:tcPr>
            <w:tcW w:w="2160" w:type="dxa"/>
            <w:vAlign w:val="bottom"/>
          </w:tcPr>
          <w:p>
            <w:pPr>
              <w:jc w:val="center"/>
              <w:ind w:right="548"/>
              <w:spacing w:after="0"/>
              <w:rPr>
                <w:sz w:val="20"/>
                <w:szCs w:val="20"/>
                <w:color w:val="auto"/>
              </w:rPr>
            </w:pPr>
            <w:r>
              <w:rPr>
                <w:rFonts w:ascii="Arial" w:cs="Arial" w:eastAsia="Arial" w:hAnsi="Arial"/>
                <w:sz w:val="12"/>
                <w:szCs w:val="12"/>
                <w:b w:val="1"/>
                <w:bCs w:val="1"/>
                <w:color w:val="auto"/>
                <w:w w:val="91"/>
              </w:rPr>
              <w:t>Delaware</w:t>
            </w:r>
          </w:p>
        </w:tc>
        <w:tc>
          <w:tcPr>
            <w:tcW w:w="4980" w:type="dxa"/>
            <w:vAlign w:val="bottom"/>
          </w:tcPr>
          <w:p>
            <w:pPr>
              <w:jc w:val="center"/>
              <w:ind w:right="166"/>
              <w:spacing w:after="0"/>
              <w:rPr>
                <w:sz w:val="20"/>
                <w:szCs w:val="20"/>
                <w:color w:val="auto"/>
              </w:rPr>
            </w:pPr>
            <w:r>
              <w:rPr>
                <w:rFonts w:ascii="Arial" w:cs="Arial" w:eastAsia="Arial" w:hAnsi="Arial"/>
                <w:sz w:val="12"/>
                <w:szCs w:val="12"/>
                <w:b w:val="1"/>
                <w:bCs w:val="1"/>
                <w:color w:val="auto"/>
                <w:w w:val="90"/>
              </w:rPr>
              <w:t>001-38594</w:t>
            </w:r>
          </w:p>
        </w:tc>
        <w:tc>
          <w:tcPr>
            <w:tcW w:w="1520" w:type="dxa"/>
            <w:vAlign w:val="bottom"/>
          </w:tcPr>
          <w:p>
            <w:pPr>
              <w:jc w:val="right"/>
              <w:ind w:right="9"/>
              <w:spacing w:after="0"/>
              <w:rPr>
                <w:sz w:val="20"/>
                <w:szCs w:val="20"/>
                <w:color w:val="auto"/>
              </w:rPr>
            </w:pPr>
            <w:r>
              <w:rPr>
                <w:rFonts w:ascii="Arial" w:cs="Arial" w:eastAsia="Arial" w:hAnsi="Arial"/>
                <w:sz w:val="12"/>
                <w:szCs w:val="12"/>
                <w:b w:val="1"/>
                <w:bCs w:val="1"/>
                <w:color w:val="auto"/>
              </w:rPr>
              <w:t>82-4310622</w:t>
            </w:r>
          </w:p>
        </w:tc>
      </w:tr>
      <w:tr>
        <w:trPr>
          <w:trHeight w:val="99"/>
        </w:trPr>
        <w:tc>
          <w:tcPr>
            <w:tcW w:w="2160" w:type="dxa"/>
            <w:vAlign w:val="bottom"/>
          </w:tcPr>
          <w:p>
            <w:pPr>
              <w:jc w:val="center"/>
              <w:ind w:right="568"/>
              <w:spacing w:after="0" w:line="99" w:lineRule="exact"/>
              <w:rPr>
                <w:sz w:val="20"/>
                <w:szCs w:val="20"/>
                <w:color w:val="auto"/>
              </w:rPr>
            </w:pPr>
            <w:r>
              <w:rPr>
                <w:rFonts w:ascii="Arial" w:cs="Arial" w:eastAsia="Arial" w:hAnsi="Arial"/>
                <w:sz w:val="9"/>
                <w:szCs w:val="9"/>
                <w:b w:val="1"/>
                <w:bCs w:val="1"/>
                <w:color w:val="auto"/>
                <w:w w:val="90"/>
              </w:rPr>
              <w:t>(State or Other Jurisdiction</w:t>
            </w:r>
          </w:p>
        </w:tc>
        <w:tc>
          <w:tcPr>
            <w:tcW w:w="4980" w:type="dxa"/>
            <w:vAlign w:val="bottom"/>
          </w:tcPr>
          <w:p>
            <w:pPr>
              <w:spacing w:after="0"/>
              <w:rPr>
                <w:sz w:val="8"/>
                <w:szCs w:val="8"/>
                <w:color w:val="auto"/>
              </w:rPr>
            </w:pPr>
          </w:p>
        </w:tc>
        <w:tc>
          <w:tcPr>
            <w:tcW w:w="1520" w:type="dxa"/>
            <w:vAlign w:val="bottom"/>
          </w:tcPr>
          <w:p>
            <w:pPr>
              <w:jc w:val="center"/>
              <w:ind w:left="769"/>
              <w:spacing w:after="0" w:line="99" w:lineRule="exact"/>
              <w:rPr>
                <w:sz w:val="20"/>
                <w:szCs w:val="20"/>
                <w:color w:val="auto"/>
              </w:rPr>
            </w:pPr>
            <w:r>
              <w:rPr>
                <w:rFonts w:ascii="Arial" w:cs="Arial" w:eastAsia="Arial" w:hAnsi="Arial"/>
                <w:sz w:val="9"/>
                <w:szCs w:val="9"/>
                <w:b w:val="1"/>
                <w:bCs w:val="1"/>
                <w:color w:val="auto"/>
                <w:w w:val="94"/>
              </w:rPr>
              <w:t>(IRS Employer</w:t>
            </w:r>
          </w:p>
        </w:tc>
      </w:tr>
      <w:tr>
        <w:trPr>
          <w:trHeight w:val="116"/>
        </w:trPr>
        <w:tc>
          <w:tcPr>
            <w:tcW w:w="2160" w:type="dxa"/>
            <w:vAlign w:val="bottom"/>
          </w:tcPr>
          <w:p>
            <w:pPr>
              <w:jc w:val="center"/>
              <w:ind w:right="568"/>
              <w:spacing w:after="0"/>
              <w:rPr>
                <w:sz w:val="20"/>
                <w:szCs w:val="20"/>
                <w:color w:val="auto"/>
              </w:rPr>
            </w:pPr>
            <w:r>
              <w:rPr>
                <w:rFonts w:ascii="Arial" w:cs="Arial" w:eastAsia="Arial" w:hAnsi="Arial"/>
                <w:sz w:val="9"/>
                <w:szCs w:val="9"/>
                <w:b w:val="1"/>
                <w:bCs w:val="1"/>
                <w:color w:val="auto"/>
                <w:w w:val="91"/>
              </w:rPr>
              <w:t>of Incorporation)</w:t>
            </w:r>
          </w:p>
        </w:tc>
        <w:tc>
          <w:tcPr>
            <w:tcW w:w="4980" w:type="dxa"/>
            <w:vAlign w:val="bottom"/>
          </w:tcPr>
          <w:p>
            <w:pPr>
              <w:jc w:val="center"/>
              <w:ind w:right="166"/>
              <w:spacing w:after="0"/>
              <w:rPr>
                <w:sz w:val="20"/>
                <w:szCs w:val="20"/>
                <w:color w:val="auto"/>
              </w:rPr>
            </w:pPr>
            <w:r>
              <w:rPr>
                <w:rFonts w:ascii="Arial" w:cs="Arial" w:eastAsia="Arial" w:hAnsi="Arial"/>
                <w:sz w:val="9"/>
                <w:szCs w:val="9"/>
                <w:b w:val="1"/>
                <w:bCs w:val="1"/>
                <w:color w:val="auto"/>
                <w:w w:val="90"/>
              </w:rPr>
              <w:t>(Commission File Number)</w:t>
            </w:r>
          </w:p>
        </w:tc>
        <w:tc>
          <w:tcPr>
            <w:tcW w:w="1520" w:type="dxa"/>
            <w:vAlign w:val="bottom"/>
          </w:tcPr>
          <w:p>
            <w:pPr>
              <w:jc w:val="center"/>
              <w:ind w:left="769"/>
              <w:spacing w:after="0"/>
              <w:rPr>
                <w:sz w:val="20"/>
                <w:szCs w:val="20"/>
                <w:color w:val="auto"/>
              </w:rPr>
            </w:pPr>
            <w:r>
              <w:rPr>
                <w:rFonts w:ascii="Arial" w:cs="Arial" w:eastAsia="Arial" w:hAnsi="Arial"/>
                <w:sz w:val="9"/>
                <w:szCs w:val="9"/>
                <w:b w:val="1"/>
                <w:bCs w:val="1"/>
                <w:color w:val="auto"/>
                <w:w w:val="92"/>
              </w:rPr>
              <w:t>Identification No.)</w:t>
            </w:r>
          </w:p>
        </w:tc>
      </w:tr>
      <w:tr>
        <w:trPr>
          <w:trHeight w:val="267"/>
        </w:trPr>
        <w:tc>
          <w:tcPr>
            <w:tcW w:w="2160" w:type="dxa"/>
            <w:vAlign w:val="bottom"/>
          </w:tcPr>
          <w:p>
            <w:pPr>
              <w:jc w:val="center"/>
              <w:ind w:right="568"/>
              <w:spacing w:after="0"/>
              <w:rPr>
                <w:sz w:val="20"/>
                <w:szCs w:val="20"/>
                <w:color w:val="auto"/>
              </w:rPr>
            </w:pPr>
            <w:r>
              <w:rPr>
                <w:rFonts w:ascii="Arial" w:cs="Arial" w:eastAsia="Arial" w:hAnsi="Arial"/>
                <w:sz w:val="12"/>
                <w:szCs w:val="12"/>
                <w:b w:val="1"/>
                <w:bCs w:val="1"/>
                <w:color w:val="auto"/>
                <w:w w:val="92"/>
              </w:rPr>
              <w:t>1100 Maughan Rd.</w:t>
            </w:r>
          </w:p>
        </w:tc>
        <w:tc>
          <w:tcPr>
            <w:tcW w:w="49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148"/>
        </w:trPr>
        <w:tc>
          <w:tcPr>
            <w:tcW w:w="2160" w:type="dxa"/>
            <w:vAlign w:val="bottom"/>
          </w:tcPr>
          <w:p>
            <w:pPr>
              <w:jc w:val="center"/>
              <w:ind w:right="568"/>
              <w:spacing w:after="0"/>
              <w:rPr>
                <w:sz w:val="20"/>
                <w:szCs w:val="20"/>
                <w:color w:val="auto"/>
              </w:rPr>
            </w:pPr>
            <w:r>
              <w:rPr>
                <w:rFonts w:ascii="Arial" w:cs="Arial" w:eastAsia="Arial" w:hAnsi="Arial"/>
                <w:sz w:val="12"/>
                <w:szCs w:val="12"/>
                <w:b w:val="1"/>
                <w:bCs w:val="1"/>
                <w:color w:val="auto"/>
                <w:w w:val="91"/>
              </w:rPr>
              <w:t>Nanaimo, BC, Canada</w:t>
            </w:r>
          </w:p>
        </w:tc>
        <w:tc>
          <w:tcPr>
            <w:tcW w:w="4980" w:type="dxa"/>
            <w:vAlign w:val="bottom"/>
          </w:tcPr>
          <w:p>
            <w:pPr>
              <w:spacing w:after="0"/>
              <w:rPr>
                <w:sz w:val="12"/>
                <w:szCs w:val="12"/>
                <w:color w:val="auto"/>
              </w:rPr>
            </w:pPr>
          </w:p>
        </w:tc>
        <w:tc>
          <w:tcPr>
            <w:tcW w:w="1520" w:type="dxa"/>
            <w:vAlign w:val="bottom"/>
          </w:tcPr>
          <w:p>
            <w:pPr>
              <w:jc w:val="center"/>
              <w:ind w:left="769"/>
              <w:spacing w:after="0"/>
              <w:rPr>
                <w:sz w:val="20"/>
                <w:szCs w:val="20"/>
                <w:color w:val="auto"/>
              </w:rPr>
            </w:pPr>
            <w:r>
              <w:rPr>
                <w:rFonts w:ascii="Arial" w:cs="Arial" w:eastAsia="Arial" w:hAnsi="Arial"/>
                <w:sz w:val="12"/>
                <w:szCs w:val="12"/>
                <w:b w:val="1"/>
                <w:bCs w:val="1"/>
                <w:color w:val="auto"/>
                <w:w w:val="99"/>
              </w:rPr>
              <w:t>V9X 1J2</w:t>
            </w:r>
          </w:p>
        </w:tc>
      </w:tr>
      <w:tr>
        <w:trPr>
          <w:trHeight w:val="116"/>
        </w:trPr>
        <w:tc>
          <w:tcPr>
            <w:tcW w:w="2160" w:type="dxa"/>
            <w:vAlign w:val="bottom"/>
          </w:tcPr>
          <w:p>
            <w:pPr>
              <w:jc w:val="center"/>
              <w:ind w:right="568"/>
              <w:spacing w:after="0"/>
              <w:rPr>
                <w:sz w:val="20"/>
                <w:szCs w:val="20"/>
                <w:color w:val="auto"/>
              </w:rPr>
            </w:pPr>
            <w:r>
              <w:rPr>
                <w:rFonts w:ascii="Arial" w:cs="Arial" w:eastAsia="Arial" w:hAnsi="Arial"/>
                <w:sz w:val="9"/>
                <w:szCs w:val="9"/>
                <w:b w:val="1"/>
                <w:bCs w:val="1"/>
                <w:color w:val="auto"/>
                <w:w w:val="90"/>
              </w:rPr>
              <w:t>(Address of Principal Executive Offices)</w:t>
            </w:r>
          </w:p>
        </w:tc>
        <w:tc>
          <w:tcPr>
            <w:tcW w:w="4980" w:type="dxa"/>
            <w:vAlign w:val="bottom"/>
          </w:tcPr>
          <w:p>
            <w:pPr>
              <w:spacing w:after="0"/>
              <w:rPr>
                <w:sz w:val="10"/>
                <w:szCs w:val="10"/>
                <w:color w:val="auto"/>
              </w:rPr>
            </w:pPr>
          </w:p>
        </w:tc>
        <w:tc>
          <w:tcPr>
            <w:tcW w:w="1520" w:type="dxa"/>
            <w:vAlign w:val="bottom"/>
          </w:tcPr>
          <w:p>
            <w:pPr>
              <w:jc w:val="center"/>
              <w:ind w:left="769"/>
              <w:spacing w:after="0"/>
              <w:rPr>
                <w:sz w:val="20"/>
                <w:szCs w:val="20"/>
                <w:color w:val="auto"/>
              </w:rPr>
            </w:pPr>
            <w:r>
              <w:rPr>
                <w:rFonts w:ascii="Arial" w:cs="Arial" w:eastAsia="Arial" w:hAnsi="Arial"/>
                <w:sz w:val="9"/>
                <w:szCs w:val="9"/>
                <w:b w:val="1"/>
                <w:bCs w:val="1"/>
                <w:color w:val="auto"/>
                <w:w w:val="94"/>
              </w:rPr>
              <w:t>(Zip Code)</w:t>
            </w:r>
          </w:p>
        </w:tc>
      </w:tr>
      <w:tr>
        <w:trPr>
          <w:trHeight w:val="244"/>
        </w:trPr>
        <w:tc>
          <w:tcPr>
            <w:tcW w:w="2160" w:type="dxa"/>
            <w:vAlign w:val="bottom"/>
          </w:tcPr>
          <w:p>
            <w:pPr>
              <w:spacing w:after="0"/>
              <w:rPr>
                <w:sz w:val="21"/>
                <w:szCs w:val="21"/>
                <w:color w:val="auto"/>
              </w:rPr>
            </w:pPr>
          </w:p>
        </w:tc>
        <w:tc>
          <w:tcPr>
            <w:tcW w:w="4980" w:type="dxa"/>
            <w:vAlign w:val="bottom"/>
          </w:tcPr>
          <w:p>
            <w:pPr>
              <w:jc w:val="center"/>
              <w:ind w:right="166"/>
              <w:spacing w:after="0"/>
              <w:rPr>
                <w:sz w:val="20"/>
                <w:szCs w:val="20"/>
                <w:color w:val="auto"/>
              </w:rPr>
            </w:pPr>
            <w:r>
              <w:rPr>
                <w:rFonts w:ascii="Arial" w:cs="Arial" w:eastAsia="Arial" w:hAnsi="Arial"/>
                <w:sz w:val="12"/>
                <w:szCs w:val="12"/>
                <w:b w:val="1"/>
                <w:bCs w:val="1"/>
                <w:color w:val="auto"/>
                <w:w w:val="90"/>
              </w:rPr>
              <w:t>Registrant’s Telephone Number, Including Area Code: (844) 845-7291</w:t>
            </w:r>
          </w:p>
        </w:tc>
        <w:tc>
          <w:tcPr>
            <w:tcW w:w="1520" w:type="dxa"/>
            <w:vAlign w:val="bottom"/>
          </w:tcPr>
          <w:p>
            <w:pPr>
              <w:spacing w:after="0"/>
              <w:rPr>
                <w:sz w:val="21"/>
                <w:szCs w:val="21"/>
                <w:color w:val="auto"/>
              </w:rPr>
            </w:pPr>
          </w:p>
        </w:tc>
      </w:tr>
      <w:tr>
        <w:trPr>
          <w:trHeight w:val="243"/>
        </w:trPr>
        <w:tc>
          <w:tcPr>
            <w:tcW w:w="2160" w:type="dxa"/>
            <w:vAlign w:val="bottom"/>
          </w:tcPr>
          <w:p>
            <w:pPr>
              <w:spacing w:after="0"/>
              <w:rPr>
                <w:sz w:val="21"/>
                <w:szCs w:val="21"/>
                <w:color w:val="auto"/>
              </w:rPr>
            </w:pPr>
          </w:p>
        </w:tc>
        <w:tc>
          <w:tcPr>
            <w:tcW w:w="4980" w:type="dxa"/>
            <w:vAlign w:val="bottom"/>
          </w:tcPr>
          <w:p>
            <w:pPr>
              <w:jc w:val="center"/>
              <w:ind w:right="166"/>
              <w:spacing w:after="0"/>
              <w:rPr>
                <w:sz w:val="20"/>
                <w:szCs w:val="20"/>
                <w:color w:val="auto"/>
              </w:rPr>
            </w:pPr>
            <w:r>
              <w:rPr>
                <w:rFonts w:ascii="Arial" w:cs="Arial" w:eastAsia="Arial" w:hAnsi="Arial"/>
                <w:sz w:val="12"/>
                <w:szCs w:val="12"/>
                <w:b w:val="1"/>
                <w:bCs w:val="1"/>
                <w:color w:val="auto"/>
                <w:w w:val="90"/>
              </w:rPr>
              <w:t>Not Applicable</w:t>
            </w:r>
          </w:p>
        </w:tc>
        <w:tc>
          <w:tcPr>
            <w:tcW w:w="1520" w:type="dxa"/>
            <w:vAlign w:val="bottom"/>
          </w:tcPr>
          <w:p>
            <w:pPr>
              <w:spacing w:after="0"/>
              <w:rPr>
                <w:sz w:val="21"/>
                <w:szCs w:val="21"/>
                <w:color w:val="auto"/>
              </w:rPr>
            </w:pPr>
          </w:p>
        </w:tc>
      </w:tr>
      <w:tr>
        <w:trPr>
          <w:trHeight w:val="116"/>
        </w:trPr>
        <w:tc>
          <w:tcPr>
            <w:tcW w:w="2160" w:type="dxa"/>
            <w:vAlign w:val="bottom"/>
          </w:tcPr>
          <w:p>
            <w:pPr>
              <w:spacing w:after="0"/>
              <w:rPr>
                <w:sz w:val="10"/>
                <w:szCs w:val="10"/>
                <w:color w:val="auto"/>
              </w:rPr>
            </w:pPr>
          </w:p>
        </w:tc>
        <w:tc>
          <w:tcPr>
            <w:tcW w:w="4980" w:type="dxa"/>
            <w:vAlign w:val="bottom"/>
          </w:tcPr>
          <w:p>
            <w:pPr>
              <w:jc w:val="center"/>
              <w:ind w:right="146"/>
              <w:spacing w:after="0"/>
              <w:rPr>
                <w:sz w:val="20"/>
                <w:szCs w:val="20"/>
                <w:color w:val="auto"/>
              </w:rPr>
            </w:pPr>
            <w:r>
              <w:rPr>
                <w:rFonts w:ascii="Arial" w:cs="Arial" w:eastAsia="Arial" w:hAnsi="Arial"/>
                <w:sz w:val="9"/>
                <w:szCs w:val="9"/>
                <w:b w:val="1"/>
                <w:bCs w:val="1"/>
                <w:color w:val="auto"/>
                <w:w w:val="91"/>
              </w:rPr>
              <w:t>(Former Name or Former Address, if Changed Since Last Report)</w:t>
            </w:r>
          </w:p>
        </w:tc>
        <w:tc>
          <w:tcPr>
            <w:tcW w:w="15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97790</wp:posOffset>
            </wp:positionV>
            <wp:extent cx="14401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242"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114" w:lineRule="exact"/>
        <w:rPr>
          <w:sz w:val="24"/>
          <w:szCs w:val="24"/>
          <w:color w:val="auto"/>
        </w:rPr>
      </w:pPr>
    </w:p>
    <w:p>
      <w:pPr>
        <w:ind w:left="828" w:hanging="828"/>
        <w:spacing w:after="0"/>
        <w:tabs>
          <w:tab w:leader="none" w:pos="8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828" w:hanging="828"/>
        <w:spacing w:after="0"/>
        <w:tabs>
          <w:tab w:leader="none" w:pos="8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828" w:hanging="828"/>
        <w:spacing w:after="0"/>
        <w:tabs>
          <w:tab w:leader="none" w:pos="8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8" w:right="5120" w:hanging="8"/>
        <w:spacing w:after="0" w:line="401" w:lineRule="auto"/>
        <w:tabs>
          <w:tab w:leader="none" w:pos="836"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00"/>
        </w:trPr>
        <w:tc>
          <w:tcPr>
            <w:tcW w:w="4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gridSpan w:val="2"/>
          </w:tcPr>
          <w:p>
            <w:pPr>
              <w:jc w:val="center"/>
              <w:ind w:right="120"/>
              <w:spacing w:after="0" w:line="101" w:lineRule="exact"/>
              <w:rPr>
                <w:sz w:val="20"/>
                <w:szCs w:val="20"/>
                <w:color w:val="auto"/>
              </w:rPr>
            </w:pPr>
            <w:r>
              <w:rPr>
                <w:rFonts w:ascii="Arial" w:cs="Arial" w:eastAsia="Arial" w:hAnsi="Arial"/>
                <w:sz w:val="10"/>
                <w:szCs w:val="10"/>
                <w:b w:val="1"/>
                <w:bCs w:val="1"/>
                <w:color w:val="auto"/>
                <w:w w:val="87"/>
              </w:rPr>
              <w:t>Trading</w:t>
            </w:r>
          </w:p>
        </w:tc>
        <w:tc>
          <w:tcPr>
            <w:tcW w:w="4940" w:type="dxa"/>
            <w:vAlign w:val="bottom"/>
          </w:tcPr>
          <w:p>
            <w:pPr>
              <w:spacing w:after="0"/>
              <w:rPr>
                <w:sz w:val="8"/>
                <w:szCs w:val="8"/>
                <w:color w:val="auto"/>
              </w:rPr>
            </w:pPr>
          </w:p>
        </w:tc>
      </w:tr>
      <w:tr>
        <w:trPr>
          <w:trHeight w:val="113"/>
        </w:trPr>
        <w:tc>
          <w:tcPr>
            <w:tcW w:w="4600" w:type="dxa"/>
            <w:vAlign w:val="bottom"/>
            <w:gridSpan w:val="2"/>
          </w:tcPr>
          <w:p>
            <w:pPr>
              <w:ind w:left="1880"/>
              <w:spacing w:after="0" w:line="114" w:lineRule="exact"/>
              <w:rPr>
                <w:sz w:val="20"/>
                <w:szCs w:val="20"/>
                <w:color w:val="auto"/>
              </w:rPr>
            </w:pPr>
            <w:r>
              <w:rPr>
                <w:rFonts w:ascii="Arial" w:cs="Arial" w:eastAsia="Arial" w:hAnsi="Arial"/>
                <w:sz w:val="10"/>
                <w:szCs w:val="10"/>
                <w:b w:val="1"/>
                <w:bCs w:val="1"/>
                <w:color w:val="auto"/>
              </w:rPr>
              <w:t>Title of each class</w:t>
            </w:r>
          </w:p>
        </w:tc>
        <w:tc>
          <w:tcPr>
            <w:tcW w:w="176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Symbol(s)</w:t>
            </w:r>
          </w:p>
        </w:tc>
        <w:tc>
          <w:tcPr>
            <w:tcW w:w="49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42"/>
        </w:trPr>
        <w:tc>
          <w:tcPr>
            <w:tcW w:w="44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Class 2 Common Stock, $0.0001 par value per share</w:t>
            </w:r>
          </w:p>
        </w:tc>
        <w:tc>
          <w:tcPr>
            <w:tcW w:w="120" w:type="dxa"/>
            <w:vAlign w:val="bottom"/>
          </w:tcPr>
          <w:p>
            <w:pPr>
              <w:spacing w:after="0"/>
              <w:rPr>
                <w:sz w:val="12"/>
                <w:szCs w:val="12"/>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7"/>
              </w:rPr>
              <w:t>TLRY</w:t>
            </w:r>
          </w:p>
        </w:tc>
        <w:tc>
          <w:tcPr>
            <w:tcW w:w="120" w:type="dxa"/>
            <w:vAlign w:val="bottom"/>
          </w:tcPr>
          <w:p>
            <w:pPr>
              <w:spacing w:after="0"/>
              <w:rPr>
                <w:sz w:val="12"/>
                <w:szCs w:val="12"/>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The Nasdaq Global Select Market</w:t>
            </w:r>
          </w:p>
        </w:tc>
      </w:tr>
    </w:tbl>
    <w:p>
      <w:pPr>
        <w:spacing w:after="0" w:line="54" w:lineRule="exact"/>
        <w:rPr>
          <w:sz w:val="24"/>
          <w:szCs w:val="24"/>
          <w:color w:val="auto"/>
        </w:rPr>
      </w:pPr>
    </w:p>
    <w:p>
      <w:pPr>
        <w:ind w:left="8" w:right="120"/>
        <w:spacing w:after="0" w:line="255"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 w:lineRule="exact"/>
        <w:rPr>
          <w:sz w:val="24"/>
          <w:szCs w:val="24"/>
          <w:color w:val="auto"/>
        </w:rPr>
      </w:pPr>
    </w:p>
    <w:p>
      <w:pPr>
        <w:ind w:left="8" w:right="100"/>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398780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80" w:right="29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82" w:lineRule="exact"/>
        <w:rPr>
          <w:sz w:val="20"/>
          <w:szCs w:val="20"/>
          <w:color w:val="auto"/>
        </w:rPr>
      </w:pPr>
    </w:p>
    <w:p>
      <w:pPr>
        <w:ind w:left="748"/>
        <w:spacing w:after="0"/>
        <w:rPr>
          <w:sz w:val="20"/>
          <w:szCs w:val="20"/>
          <w:color w:val="auto"/>
        </w:rPr>
      </w:pPr>
      <w:r>
        <w:rPr>
          <w:rFonts w:ascii="Arial" w:cs="Arial" w:eastAsia="Arial" w:hAnsi="Arial"/>
          <w:sz w:val="11"/>
          <w:szCs w:val="11"/>
          <w:color w:val="auto"/>
        </w:rPr>
        <w:t>On August 10, 2020, Tilray, Inc. (“Tilray”) issued a press release announcing financial results for its second quarter ended June 30, 2020. A copy of the press release is furnished herewith as Exhibit 99.1.</w:t>
      </w:r>
    </w:p>
    <w:p>
      <w:pPr>
        <w:spacing w:after="0" w:line="162" w:lineRule="exact"/>
        <w:rPr>
          <w:sz w:val="20"/>
          <w:szCs w:val="20"/>
          <w:color w:val="auto"/>
        </w:rPr>
      </w:pPr>
    </w:p>
    <w:p>
      <w:pPr>
        <w:ind w:left="8" w:right="180" w:firstLine="754"/>
        <w:spacing w:after="0" w:line="259" w:lineRule="auto"/>
        <w:rPr>
          <w:sz w:val="20"/>
          <w:szCs w:val="20"/>
          <w:color w:val="auto"/>
        </w:rPr>
      </w:pPr>
      <w:r>
        <w:rPr>
          <w:rFonts w:ascii="Arial" w:cs="Arial" w:eastAsia="Arial" w:hAnsi="Arial"/>
          <w:sz w:val="12"/>
          <w:szCs w:val="12"/>
          <w:color w:val="auto"/>
        </w:rPr>
        <w:t>The information in Item 2.02 of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99.1 shall not be incorporated by reference into any filing with the U.S. Securities and Exchange Commission made by Tilray, whether made before or after the date hereof, regardless of any general incorporation language in such filing.</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221E1F"/>
        </w:rPr>
        <w:t>Item 5.02 Departure of Directors or Certain Officers; Election of Directors; Appointment of Certain Officers;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221E1F"/>
        </w:rPr>
        <w:t>Compensatory Arrangements of Certain Officers.</w:t>
      </w:r>
    </w:p>
    <w:p>
      <w:pPr>
        <w:spacing w:after="0" w:line="159" w:lineRule="exact"/>
        <w:rPr>
          <w:sz w:val="20"/>
          <w:szCs w:val="20"/>
          <w:color w:val="auto"/>
        </w:rPr>
      </w:pPr>
    </w:p>
    <w:p>
      <w:pPr>
        <w:ind w:left="608" w:hanging="608"/>
        <w:spacing w:after="0"/>
        <w:tabs>
          <w:tab w:leader="none" w:pos="608"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Resignation of Director</w:t>
      </w:r>
    </w:p>
    <w:p>
      <w:pPr>
        <w:spacing w:after="0" w:line="168" w:lineRule="exact"/>
        <w:rPr>
          <w:sz w:val="20"/>
          <w:szCs w:val="20"/>
          <w:color w:val="auto"/>
        </w:rPr>
      </w:pPr>
    </w:p>
    <w:p>
      <w:pPr>
        <w:ind w:left="8" w:right="300" w:firstLine="754"/>
        <w:spacing w:after="0" w:line="276" w:lineRule="auto"/>
        <w:rPr>
          <w:sz w:val="20"/>
          <w:szCs w:val="20"/>
          <w:color w:val="auto"/>
        </w:rPr>
      </w:pPr>
      <w:r>
        <w:rPr>
          <w:rFonts w:ascii="Arial" w:cs="Arial" w:eastAsia="Arial" w:hAnsi="Arial"/>
          <w:sz w:val="12"/>
          <w:szCs w:val="12"/>
          <w:color w:val="auto"/>
        </w:rPr>
        <w:t>On August 5, 2020, Maryscott Greenwood announced her intention to resign as a member of our board of directors and all committees thereof, effective as of September 30, 2020. Ms. Greenwood indicated that her decision to resign was not a result of any disagreement with us on any matter relating to our operations, policies or practices.</w:t>
      </w:r>
    </w:p>
    <w:p>
      <w:pPr>
        <w:spacing w:after="0" w:line="133" w:lineRule="exact"/>
        <w:rPr>
          <w:sz w:val="20"/>
          <w:szCs w:val="20"/>
          <w:color w:val="auto"/>
        </w:rPr>
      </w:pPr>
    </w:p>
    <w:p>
      <w:pPr>
        <w:ind w:left="568" w:hanging="568"/>
        <w:spacing w:after="0"/>
        <w:tabs>
          <w:tab w:leader="none" w:pos="568"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Appointment of Director</w:t>
      </w:r>
    </w:p>
    <w:p>
      <w:pPr>
        <w:spacing w:after="0" w:line="168" w:lineRule="exact"/>
        <w:rPr>
          <w:sz w:val="20"/>
          <w:szCs w:val="20"/>
          <w:color w:val="auto"/>
        </w:rPr>
      </w:pPr>
    </w:p>
    <w:p>
      <w:pPr>
        <w:jc w:val="both"/>
        <w:ind w:left="8" w:right="240" w:firstLine="754"/>
        <w:spacing w:after="0" w:line="340" w:lineRule="auto"/>
        <w:rPr>
          <w:sz w:val="20"/>
          <w:szCs w:val="20"/>
          <w:color w:val="auto"/>
        </w:rPr>
      </w:pPr>
      <w:r>
        <w:rPr>
          <w:rFonts w:ascii="Arial" w:cs="Arial" w:eastAsia="Arial" w:hAnsi="Arial"/>
          <w:sz w:val="10"/>
          <w:szCs w:val="10"/>
          <w:color w:val="auto"/>
        </w:rPr>
        <w:t>On August 6, 2020, Tilray’s board of directors appointed, effective as of August 6, 2020, Soren Schroder to serve on the board of directors as a Class III Board member for the balance of the term expiring at Tilray’s 2021 Annual Meeting of Stockholders (which is the Class III term) and until his successor has been duly elected and qualified, or until his earlier death, resignation or removal. The board of directors has determined that Mr. Soren meets the requirements for independence under the applicable listing standards of The Nasdaq Stock Market LLC and the Securities Exchange Act of 1934, as amended, for his role on the Board and each committee, as applicable.</w:t>
      </w:r>
    </w:p>
    <w:p>
      <w:pPr>
        <w:spacing w:after="0" w:line="105" w:lineRule="exact"/>
        <w:rPr>
          <w:sz w:val="20"/>
          <w:szCs w:val="20"/>
          <w:color w:val="auto"/>
        </w:rPr>
      </w:pPr>
    </w:p>
    <w:p>
      <w:pPr>
        <w:ind w:left="8" w:right="20" w:firstLine="754"/>
        <w:spacing w:after="0" w:line="263" w:lineRule="auto"/>
        <w:rPr>
          <w:sz w:val="20"/>
          <w:szCs w:val="20"/>
          <w:color w:val="auto"/>
        </w:rPr>
      </w:pPr>
      <w:r>
        <w:rPr>
          <w:rFonts w:ascii="Arial" w:cs="Arial" w:eastAsia="Arial" w:hAnsi="Arial"/>
          <w:sz w:val="12"/>
          <w:szCs w:val="12"/>
          <w:color w:val="auto"/>
        </w:rPr>
        <w:t>Mr. Schroder was the CEO and a member of the Board of Directors of Bunge Limited from 2013 to 2018. He was employed in a variety of leadership roles at Bunge from 2000 to 2013. Prior to joining Bunge in 2000, he worked for over 15 years at Continental Grain and Cargill. He received a B.A. in Economics from Connecticut College. Mr. Schroder brings to the Board significant experience in agribusiness industries, as well as operational, risk management, and general management experience.</w:t>
      </w:r>
    </w:p>
    <w:p>
      <w:pPr>
        <w:spacing w:after="0" w:line="140" w:lineRule="exact"/>
        <w:rPr>
          <w:sz w:val="20"/>
          <w:szCs w:val="20"/>
          <w:color w:val="auto"/>
        </w:rPr>
      </w:pPr>
    </w:p>
    <w:p>
      <w:pPr>
        <w:ind w:left="748"/>
        <w:spacing w:after="0"/>
        <w:rPr>
          <w:sz w:val="20"/>
          <w:szCs w:val="20"/>
          <w:color w:val="auto"/>
        </w:rPr>
      </w:pPr>
      <w:r>
        <w:rPr>
          <w:rFonts w:ascii="Arial" w:cs="Arial" w:eastAsia="Arial" w:hAnsi="Arial"/>
          <w:sz w:val="12"/>
          <w:szCs w:val="12"/>
          <w:color w:val="auto"/>
        </w:rPr>
        <w:t>Mr. Schroder will be entitled to receive cash and equity compensation in accordance with our non-employee director</w:t>
      </w:r>
    </w:p>
    <w:p>
      <w:pPr>
        <w:spacing w:after="0" w:line="15" w:lineRule="exact"/>
        <w:rPr>
          <w:sz w:val="20"/>
          <w:szCs w:val="20"/>
          <w:color w:val="auto"/>
        </w:rPr>
      </w:pPr>
    </w:p>
    <w:p>
      <w:pPr>
        <w:ind w:left="8" w:right="40"/>
        <w:spacing w:after="0" w:line="306" w:lineRule="auto"/>
        <w:rPr>
          <w:sz w:val="20"/>
          <w:szCs w:val="20"/>
          <w:color w:val="auto"/>
        </w:rPr>
      </w:pPr>
      <w:r>
        <w:rPr>
          <w:rFonts w:ascii="Arial" w:cs="Arial" w:eastAsia="Arial" w:hAnsi="Arial"/>
          <w:sz w:val="11"/>
          <w:szCs w:val="11"/>
          <w:color w:val="auto"/>
        </w:rPr>
        <w:t>compensation policy. For the remainder of the current director term, Mr. Schroder will receive a pro rata portion of the annual cash retainer of $40,000 for serving on the board of directors, in addition to restricted stock unit grants equal to $250,000. Mr. Schroder’s restricted stock units will vest as of the earlier of the one-year anniversary of the vesting commencement date and the date of the next annual meeting of stockholders.</w:t>
      </w:r>
    </w:p>
    <w:p>
      <w:pPr>
        <w:spacing w:after="0" w:line="119" w:lineRule="exact"/>
        <w:rPr>
          <w:sz w:val="20"/>
          <w:szCs w:val="20"/>
          <w:color w:val="auto"/>
        </w:rPr>
      </w:pPr>
    </w:p>
    <w:p>
      <w:pPr>
        <w:ind w:left="748"/>
        <w:spacing w:after="0"/>
        <w:rPr>
          <w:sz w:val="20"/>
          <w:szCs w:val="20"/>
          <w:color w:val="auto"/>
        </w:rPr>
      </w:pPr>
      <w:r>
        <w:rPr>
          <w:rFonts w:ascii="Arial" w:cs="Arial" w:eastAsia="Arial" w:hAnsi="Arial"/>
          <w:sz w:val="12"/>
          <w:szCs w:val="12"/>
          <w:color w:val="auto"/>
        </w:rPr>
        <w:t>Mr. Schroder will enter into Tilray’s form of indemnification agreement, which is filed as Exhibit 10.1 to this current report on Form 8-K.</w:t>
      </w: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(d) Exhibits</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0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Exhibit</w:t>
            </w:r>
          </w:p>
        </w:tc>
        <w:tc>
          <w:tcPr>
            <w:tcW w:w="10280" w:type="dxa"/>
            <w:vAlign w:val="bottom"/>
          </w:tcPr>
          <w:p>
            <w:pPr>
              <w:spacing w:after="0"/>
              <w:rPr>
                <w:sz w:val="10"/>
                <w:szCs w:val="10"/>
                <w:color w:val="auto"/>
              </w:rPr>
            </w:pPr>
          </w:p>
        </w:tc>
      </w:tr>
      <w:tr>
        <w:trPr>
          <w:trHeight w:val="113"/>
        </w:trPr>
        <w:tc>
          <w:tcPr>
            <w:tcW w:w="102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9"/>
              </w:rPr>
              <w:t>Number</w:t>
            </w:r>
          </w:p>
        </w:tc>
        <w:tc>
          <w:tcPr>
            <w:tcW w:w="10280" w:type="dxa"/>
            <w:vAlign w:val="bottom"/>
          </w:tcPr>
          <w:p>
            <w:pPr>
              <w:spacing w:after="0" w:line="114" w:lineRule="exact"/>
              <w:rPr>
                <w:sz w:val="20"/>
                <w:szCs w:val="20"/>
                <w:color w:val="auto"/>
              </w:rPr>
            </w:pPr>
            <w:r>
              <w:rPr>
                <w:rFonts w:ascii="Arial" w:cs="Arial" w:eastAsia="Arial" w:hAnsi="Arial"/>
                <w:sz w:val="10"/>
                <w:szCs w:val="10"/>
                <w:b w:val="1"/>
                <w:bCs w:val="1"/>
                <w:color w:val="auto"/>
              </w:rPr>
              <w:t>Description</w:t>
            </w:r>
          </w:p>
        </w:tc>
      </w:tr>
      <w:tr>
        <w:trPr>
          <w:trHeight w:val="133"/>
        </w:trPr>
        <w:tc>
          <w:tcPr>
            <w:tcW w:w="800" w:type="dxa"/>
            <w:vAlign w:val="bottom"/>
            <w:tcBorders>
              <w:top w:val="single" w:sz="8" w:color="auto"/>
            </w:tcBorders>
          </w:tcPr>
          <w:p>
            <w:pPr>
              <w:jc w:val="right"/>
              <w:ind w:right="465"/>
              <w:spacing w:after="0" w:line="133" w:lineRule="exact"/>
              <w:rPr>
                <w:sz w:val="20"/>
                <w:szCs w:val="20"/>
                <w:color w:val="auto"/>
              </w:rPr>
            </w:pPr>
            <w:r>
              <w:rPr>
                <w:rFonts w:ascii="Arial" w:cs="Arial" w:eastAsia="Arial" w:hAnsi="Arial"/>
                <w:sz w:val="12"/>
                <w:szCs w:val="12"/>
                <w:color w:val="auto"/>
              </w:rPr>
              <w:t>10.1</w:t>
            </w:r>
          </w:p>
        </w:tc>
        <w:tc>
          <w:tcPr>
            <w:tcW w:w="220" w:type="dxa"/>
            <w:vAlign w:val="bottom"/>
          </w:tcPr>
          <w:p>
            <w:pPr>
              <w:spacing w:after="0"/>
              <w:rPr>
                <w:sz w:val="11"/>
                <w:szCs w:val="11"/>
                <w:color w:val="auto"/>
              </w:rPr>
            </w:pPr>
          </w:p>
        </w:tc>
        <w:tc>
          <w:tcPr>
            <w:tcW w:w="10280" w:type="dxa"/>
            <w:vAlign w:val="bottom"/>
            <w:tcBorders>
              <w:top w:val="single" w:sz="8" w:color="auto"/>
            </w:tcBorders>
          </w:tcPr>
          <w:p>
            <w:pPr>
              <w:spacing w:after="0" w:line="133" w:lineRule="exact"/>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Form of Tilray Director and Officer Indemnification Agreement</w:t>
              </w:r>
            </w:hyperlink>
          </w:p>
        </w:tc>
      </w:tr>
      <w:tr>
        <w:trPr>
          <w:trHeight w:val="153"/>
        </w:trPr>
        <w:tc>
          <w:tcPr>
            <w:tcW w:w="800" w:type="dxa"/>
            <w:vAlign w:val="bottom"/>
          </w:tcPr>
          <w:p>
            <w:pPr>
              <w:jc w:val="right"/>
              <w:ind w:right="245"/>
              <w:spacing w:after="0"/>
              <w:rPr>
                <w:sz w:val="20"/>
                <w:szCs w:val="20"/>
                <w:color w:val="auto"/>
              </w:rPr>
            </w:pPr>
            <w:r>
              <w:rPr>
                <w:rFonts w:ascii="Arial" w:cs="Arial" w:eastAsia="Arial" w:hAnsi="Arial"/>
                <w:sz w:val="12"/>
                <w:szCs w:val="12"/>
                <w:color w:val="auto"/>
              </w:rPr>
              <w:t>99.1</w:t>
            </w:r>
          </w:p>
        </w:tc>
        <w:tc>
          <w:tcPr>
            <w:tcW w:w="220" w:type="dxa"/>
            <w:vAlign w:val="bottom"/>
          </w:tcPr>
          <w:p>
            <w:pPr>
              <w:spacing w:after="0"/>
              <w:rPr>
                <w:sz w:val="13"/>
                <w:szCs w:val="13"/>
                <w:color w:val="auto"/>
              </w:rPr>
            </w:pPr>
          </w:p>
        </w:tc>
        <w:tc>
          <w:tcPr>
            <w:tcW w:w="10280" w:type="dxa"/>
            <w:vAlign w:val="bottom"/>
          </w:tcPr>
          <w:p>
            <w:pPr>
              <w:spacing w:after="0"/>
              <w:rPr>
                <w:rFonts w:ascii="Arial" w:cs="Arial" w:eastAsia="Arial" w:hAnsi="Arial"/>
                <w:sz w:val="12"/>
                <w:szCs w:val="12"/>
                <w:u w:val="single" w:color="auto"/>
                <w:color w:val="0000EE"/>
              </w:rPr>
            </w:pPr>
            <w:hyperlink w:anchor="page16">
              <w:r>
                <w:rPr>
                  <w:rFonts w:ascii="Arial" w:cs="Arial" w:eastAsia="Arial" w:hAnsi="Arial"/>
                  <w:sz w:val="12"/>
                  <w:szCs w:val="12"/>
                  <w:u w:val="single" w:color="auto"/>
                  <w:color w:val="0000EE"/>
                </w:rPr>
                <w:t>Press Release of Tilray, Inc., dated August 10, 2020</w:t>
              </w:r>
            </w:hyperlink>
          </w:p>
        </w:tc>
      </w:tr>
      <w:tr>
        <w:trPr>
          <w:trHeight w:val="153"/>
        </w:trPr>
        <w:tc>
          <w:tcPr>
            <w:tcW w:w="800" w:type="dxa"/>
            <w:vAlign w:val="bottom"/>
          </w:tcPr>
          <w:p>
            <w:pPr>
              <w:jc w:val="right"/>
              <w:ind w:right="265"/>
              <w:spacing w:after="0"/>
              <w:rPr>
                <w:sz w:val="20"/>
                <w:szCs w:val="20"/>
                <w:color w:val="auto"/>
              </w:rPr>
            </w:pPr>
            <w:r>
              <w:rPr>
                <w:rFonts w:ascii="Arial" w:cs="Arial" w:eastAsia="Arial" w:hAnsi="Arial"/>
                <w:sz w:val="12"/>
                <w:szCs w:val="12"/>
                <w:color w:val="auto"/>
              </w:rPr>
              <w:t>104</w:t>
            </w:r>
          </w:p>
        </w:tc>
        <w:tc>
          <w:tcPr>
            <w:tcW w:w="220" w:type="dxa"/>
            <w:vAlign w:val="bottom"/>
          </w:tcPr>
          <w:p>
            <w:pPr>
              <w:spacing w:after="0"/>
              <w:rPr>
                <w:sz w:val="13"/>
                <w:szCs w:val="13"/>
                <w:color w:val="auto"/>
              </w:rPr>
            </w:pPr>
          </w:p>
        </w:tc>
        <w:tc>
          <w:tcPr>
            <w:tcW w:w="10280" w:type="dxa"/>
            <w:vAlign w:val="bottom"/>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pacing w:after="0" w:line="13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8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3660" w:type="dxa"/>
            <w:vAlign w:val="bottom"/>
            <w:gridSpan w:val="2"/>
          </w:tcPr>
          <w:p>
            <w:pPr>
              <w:ind w:left="2420"/>
              <w:spacing w:after="0"/>
              <w:rPr>
                <w:sz w:val="20"/>
                <w:szCs w:val="20"/>
                <w:color w:val="auto"/>
              </w:rPr>
            </w:pPr>
            <w:r>
              <w:rPr>
                <w:rFonts w:ascii="Arial" w:cs="Arial" w:eastAsia="Arial" w:hAnsi="Arial"/>
                <w:sz w:val="12"/>
                <w:szCs w:val="12"/>
                <w:color w:val="auto"/>
              </w:rPr>
              <w:t>Tilray, Inc.</w:t>
            </w:r>
          </w:p>
        </w:tc>
        <w:tc>
          <w:tcPr>
            <w:tcW w:w="4300" w:type="dxa"/>
            <w:vAlign w:val="bottom"/>
          </w:tcPr>
          <w:p>
            <w:pPr>
              <w:spacing w:after="0"/>
              <w:rPr>
                <w:sz w:val="13"/>
                <w:szCs w:val="13"/>
                <w:color w:val="auto"/>
              </w:rPr>
            </w:pPr>
          </w:p>
        </w:tc>
      </w:tr>
      <w:tr>
        <w:trPr>
          <w:trHeight w:val="306"/>
        </w:trPr>
        <w:tc>
          <w:tcPr>
            <w:tcW w:w="3340" w:type="dxa"/>
            <w:vAlign w:val="bottom"/>
          </w:tcPr>
          <w:p>
            <w:pPr>
              <w:spacing w:after="0"/>
              <w:rPr>
                <w:sz w:val="20"/>
                <w:szCs w:val="20"/>
                <w:color w:val="auto"/>
              </w:rPr>
            </w:pPr>
            <w:r>
              <w:rPr>
                <w:rFonts w:ascii="Arial" w:cs="Arial" w:eastAsia="Arial" w:hAnsi="Arial"/>
                <w:sz w:val="12"/>
                <w:szCs w:val="12"/>
                <w:color w:val="auto"/>
              </w:rPr>
              <w:t>Date: August 10, 2020</w:t>
            </w:r>
          </w:p>
        </w:tc>
        <w:tc>
          <w:tcPr>
            <w:tcW w:w="3660" w:type="dxa"/>
            <w:vAlign w:val="bottom"/>
            <w:gridSpan w:val="2"/>
          </w:tcPr>
          <w:p>
            <w:pPr>
              <w:ind w:left="2420"/>
              <w:spacing w:after="0"/>
              <w:rPr>
                <w:sz w:val="20"/>
                <w:szCs w:val="20"/>
                <w:color w:val="auto"/>
              </w:rPr>
            </w:pPr>
            <w:r>
              <w:rPr>
                <w:rFonts w:ascii="Arial" w:cs="Arial" w:eastAsia="Arial" w:hAnsi="Arial"/>
                <w:sz w:val="12"/>
                <w:szCs w:val="12"/>
                <w:color w:val="auto"/>
              </w:rPr>
              <w:t>By:</w:t>
            </w:r>
          </w:p>
        </w:tc>
        <w:tc>
          <w:tcPr>
            <w:tcW w:w="4300" w:type="dxa"/>
            <w:vAlign w:val="bottom"/>
          </w:tcPr>
          <w:p>
            <w:pPr>
              <w:jc w:val="center"/>
              <w:ind w:right="860"/>
              <w:spacing w:after="0"/>
              <w:rPr>
                <w:sz w:val="20"/>
                <w:szCs w:val="20"/>
                <w:color w:val="auto"/>
              </w:rPr>
            </w:pPr>
            <w:r>
              <w:rPr>
                <w:rFonts w:ascii="Arial" w:cs="Arial" w:eastAsia="Arial" w:hAnsi="Arial"/>
                <w:sz w:val="12"/>
                <w:szCs w:val="12"/>
                <w:color w:val="auto"/>
                <w:w w:val="90"/>
              </w:rPr>
              <w:t>/s/ Brendan Kennedy</w:t>
            </w:r>
          </w:p>
        </w:tc>
      </w:tr>
      <w:tr>
        <w:trPr>
          <w:trHeight w:val="138"/>
        </w:trPr>
        <w:tc>
          <w:tcPr>
            <w:tcW w:w="3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300" w:type="dxa"/>
            <w:vAlign w:val="bottom"/>
            <w:tcBorders>
              <w:top w:val="single" w:sz="8" w:color="auto"/>
            </w:tcBorders>
          </w:tcPr>
          <w:p>
            <w:pPr>
              <w:jc w:val="center"/>
              <w:ind w:right="860"/>
              <w:spacing w:after="0"/>
              <w:rPr>
                <w:sz w:val="20"/>
                <w:szCs w:val="20"/>
                <w:color w:val="auto"/>
              </w:rPr>
            </w:pPr>
            <w:r>
              <w:rPr>
                <w:rFonts w:ascii="Arial" w:cs="Arial" w:eastAsia="Arial" w:hAnsi="Arial"/>
                <w:sz w:val="12"/>
                <w:szCs w:val="12"/>
                <w:b w:val="1"/>
                <w:bCs w:val="1"/>
                <w:color w:val="auto"/>
                <w:w w:val="91"/>
              </w:rPr>
              <w:t>Brendan Kennedy</w:t>
            </w:r>
          </w:p>
        </w:tc>
      </w:tr>
      <w:tr>
        <w:trPr>
          <w:trHeight w:val="157"/>
        </w:trPr>
        <w:tc>
          <w:tcPr>
            <w:tcW w:w="3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300" w:type="dxa"/>
            <w:vAlign w:val="bottom"/>
          </w:tcPr>
          <w:p>
            <w:pPr>
              <w:jc w:val="center"/>
              <w:ind w:right="860"/>
              <w:spacing w:after="0"/>
              <w:rPr>
                <w:sz w:val="20"/>
                <w:szCs w:val="20"/>
                <w:color w:val="auto"/>
              </w:rPr>
            </w:pPr>
            <w:r>
              <w:rPr>
                <w:rFonts w:ascii="Arial" w:cs="Arial" w:eastAsia="Arial" w:hAnsi="Arial"/>
                <w:sz w:val="12"/>
                <w:szCs w:val="12"/>
                <w:b w:val="1"/>
                <w:bCs w:val="1"/>
                <w:color w:val="auto"/>
                <w:w w:val="90"/>
              </w:rPr>
              <w:t>President and Chief Executive Officer</w:t>
            </w:r>
          </w:p>
        </w:tc>
      </w:tr>
      <w:tr>
        <w:trPr>
          <w:trHeight w:val="576"/>
        </w:trPr>
        <w:tc>
          <w:tcPr>
            <w:tcW w:w="3340" w:type="dxa"/>
            <w:vAlign w:val="bottom"/>
          </w:tcPr>
          <w:p>
            <w:pPr>
              <w:spacing w:after="0"/>
              <w:rPr>
                <w:sz w:val="24"/>
                <w:szCs w:val="24"/>
                <w:color w:val="auto"/>
              </w:rPr>
            </w:pPr>
          </w:p>
        </w:tc>
        <w:tc>
          <w:tcPr>
            <w:tcW w:w="2740" w:type="dxa"/>
            <w:vAlign w:val="bottom"/>
          </w:tcPr>
          <w:p>
            <w:pPr>
              <w:jc w:val="right"/>
              <w:ind w:right="340"/>
              <w:spacing w:after="0"/>
              <w:rPr>
                <w:sz w:val="20"/>
                <w:szCs w:val="20"/>
                <w:color w:val="auto"/>
              </w:rPr>
            </w:pPr>
            <w:r>
              <w:rPr>
                <w:rFonts w:ascii="Arial" w:cs="Arial" w:eastAsia="Arial" w:hAnsi="Arial"/>
                <w:sz w:val="12"/>
                <w:szCs w:val="12"/>
                <w:color w:val="auto"/>
              </w:rPr>
              <w:t>2</w:t>
            </w:r>
          </w:p>
        </w:tc>
        <w:tc>
          <w:tcPr>
            <w:tcW w:w="920" w:type="dxa"/>
            <w:vAlign w:val="bottom"/>
          </w:tcPr>
          <w:p>
            <w:pPr>
              <w:spacing w:after="0"/>
              <w:rPr>
                <w:sz w:val="24"/>
                <w:szCs w:val="24"/>
                <w:color w:val="auto"/>
              </w:rPr>
            </w:pPr>
          </w:p>
        </w:tc>
        <w:tc>
          <w:tcPr>
            <w:tcW w:w="4300" w:type="dxa"/>
            <w:vAlign w:val="bottom"/>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3" w:name="page4"/>
    <w:bookmarkEnd w:id="3"/>
    <w:p>
      <w:pPr>
        <w:ind w:left="7580"/>
        <w:spacing w:after="0"/>
        <w:rPr>
          <w:sz w:val="20"/>
          <w:szCs w:val="20"/>
          <w:color w:val="auto"/>
        </w:rPr>
      </w:pPr>
      <w:r>
        <w:rPr>
          <w:rFonts w:ascii="Arial" w:cs="Arial" w:eastAsia="Arial" w:hAnsi="Arial"/>
          <w:sz w:val="12"/>
          <w:szCs w:val="12"/>
          <w:b w:val="1"/>
          <w:bCs w:val="1"/>
          <w:color w:val="auto"/>
        </w:rPr>
        <w:t>Exhibit 10.1</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TILRAY, INC.</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INDEMNITY AGREEMENT</w:t>
      </w:r>
    </w:p>
    <w:p>
      <w:pPr>
        <w:sectPr>
          <w:pgSz w:w="11900" w:h="16838" w:orient="portrait"/>
          <w:cols w:equalWidth="0" w:num="1">
            <w:col w:w="11300"/>
          </w:cols>
          <w:pgMar w:left="300" w:top="494" w:right="299" w:bottom="1440" w:gutter="0" w:footer="0" w:header="0"/>
        </w:sectPr>
      </w:pPr>
    </w:p>
    <w:p>
      <w:pPr>
        <w:spacing w:after="0" w:line="29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NDEMNITY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dated  as  of  _________________,  2020,  is  made  by  and  between</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ILRAY</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and</w:t>
      </w:r>
    </w:p>
    <w:p>
      <w:pPr>
        <w:spacing w:after="0" w:line="27" w:lineRule="exact"/>
        <w:rPr>
          <w:sz w:val="20"/>
          <w:szCs w:val="20"/>
          <w:color w:val="auto"/>
        </w:rPr>
      </w:pPr>
    </w:p>
    <w:p>
      <w:pPr>
        <w:sectPr>
          <w:pgSz w:w="11900" w:h="16838" w:orient="portrait"/>
          <w:cols w:equalWidth="0" w:num="3">
            <w:col w:w="7620" w:space="100"/>
            <w:col w:w="740" w:space="80"/>
            <w:col w:w="2760"/>
          </w:cols>
          <w:pgMar w:left="300" w:top="494" w:right="299" w:bottom="1440" w:gutter="0" w:footer="0" w:header="0"/>
          <w:type w:val="continuous"/>
        </w:sectPr>
      </w:pPr>
    </w:p>
    <w:p>
      <w:pPr>
        <w:spacing w:after="0"/>
        <w:rPr>
          <w:sz w:val="20"/>
          <w:szCs w:val="20"/>
          <w:color w:val="auto"/>
        </w:rPr>
      </w:pPr>
      <w:r>
        <w:rPr>
          <w:rFonts w:ascii="Arial" w:cs="Arial" w:eastAsia="Arial" w:hAnsi="Arial"/>
          <w:sz w:val="13"/>
          <w:szCs w:val="13"/>
          <w:color w:val="auto"/>
        </w:rPr>
        <w:t>______________________________________ (“</w:t>
      </w:r>
      <w:r>
        <w:rPr>
          <w:rFonts w:ascii="Arial" w:cs="Arial" w:eastAsia="Arial" w:hAnsi="Arial"/>
          <w:sz w:val="13"/>
          <w:szCs w:val="13"/>
          <w:b w:val="1"/>
          <w:bCs w:val="1"/>
          <w:i w:val="1"/>
          <w:iCs w:val="1"/>
          <w:color w:val="auto"/>
        </w:rPr>
        <w:t>Indemnitee</w:t>
      </w:r>
      <w:r>
        <w:rPr>
          <w:rFonts w:ascii="Arial" w:cs="Arial" w:eastAsia="Arial" w:hAnsi="Arial"/>
          <w:sz w:val="13"/>
          <w:szCs w:val="13"/>
          <w:color w:val="auto"/>
        </w:rPr>
        <w:t>”).</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ECITALS</w:t>
      </w:r>
    </w:p>
    <w:p>
      <w:pPr>
        <w:sectPr>
          <w:pgSz w:w="11900" w:h="16838" w:orient="portrait"/>
          <w:cols w:equalWidth="0" w:num="1">
            <w:col w:w="11300"/>
          </w:cols>
          <w:pgMar w:left="300" w:top="494" w:right="299" w:bottom="1440" w:gutter="0" w:footer="0" w:header="0"/>
          <w:type w:val="continuous"/>
        </w:sectPr>
      </w:pPr>
    </w:p>
    <w:p>
      <w:pPr>
        <w:spacing w:after="0" w:line="148"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The Company desires to attract and retain the services of highly qualified individuals as directors, officers, employees and agents.</w:t>
      </w:r>
    </w:p>
    <w:p>
      <w:pPr>
        <w:spacing w:after="0" w:line="166" w:lineRule="exact"/>
        <w:rPr>
          <w:sz w:val="20"/>
          <w:szCs w:val="20"/>
          <w:color w:val="auto"/>
        </w:rPr>
      </w:pPr>
    </w:p>
    <w:p>
      <w:pPr>
        <w:sectPr>
          <w:pgSz w:w="11900" w:h="16838" w:orient="portrait"/>
          <w:cols w:equalWidth="0" w:num="2">
            <w:col w:w="940" w:space="720"/>
            <w:col w:w="9640"/>
          </w:cols>
          <w:pgMar w:left="300" w:top="494" w:right="29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B.</w:t>
      </w:r>
    </w:p>
    <w:p>
      <w:pPr>
        <w:spacing w:after="0" w:line="20" w:lineRule="exact"/>
        <w:rPr>
          <w:sz w:val="20"/>
          <w:szCs w:val="20"/>
          <w:color w:val="auto"/>
        </w:rPr>
      </w:pPr>
      <w:r>
        <w:rPr>
          <w:sz w:val="20"/>
          <w:szCs w:val="20"/>
          <w:color w:val="auto"/>
        </w:rPr>
        <w:br w:type="column"/>
      </w:r>
    </w:p>
    <w:p>
      <w:pPr>
        <w:jc w:val="both"/>
        <w:ind w:firstLine="803"/>
        <w:spacing w:after="0" w:line="290" w:lineRule="auto"/>
        <w:rPr>
          <w:sz w:val="20"/>
          <w:szCs w:val="20"/>
          <w:color w:val="auto"/>
        </w:rPr>
      </w:pPr>
      <w:r>
        <w:rPr>
          <w:rFonts w:ascii="Arial" w:cs="Arial" w:eastAsia="Arial" w:hAnsi="Arial"/>
          <w:sz w:val="12"/>
          <w:szCs w:val="12"/>
          <w:color w:val="auto"/>
        </w:rPr>
        <w:t>The Company’s bylaws (the “</w:t>
      </w:r>
      <w:r>
        <w:rPr>
          <w:rFonts w:ascii="Arial" w:cs="Arial" w:eastAsia="Arial" w:hAnsi="Arial"/>
          <w:sz w:val="12"/>
          <w:szCs w:val="12"/>
          <w:b w:val="1"/>
          <w:bCs w:val="1"/>
          <w:i w:val="1"/>
          <w:iCs w:val="1"/>
          <w:color w:val="auto"/>
        </w:rPr>
        <w:t>Bylaws</w:t>
      </w:r>
      <w:r>
        <w:rPr>
          <w:rFonts w:ascii="Arial" w:cs="Arial" w:eastAsia="Arial" w:hAnsi="Arial"/>
          <w:sz w:val="12"/>
          <w:szCs w:val="12"/>
          <w:color w:val="auto"/>
        </w:rPr>
        <w:t>”) require that the Company indemnify its directors, and empowers the Company to indemnify its officers, employees and agents, as authorized by the Delaware General Corporation Law, as amended (the “</w:t>
      </w:r>
      <w:r>
        <w:rPr>
          <w:rFonts w:ascii="Arial" w:cs="Arial" w:eastAsia="Arial" w:hAnsi="Arial"/>
          <w:sz w:val="12"/>
          <w:szCs w:val="12"/>
          <w:b w:val="1"/>
          <w:bCs w:val="1"/>
          <w:i w:val="1"/>
          <w:iCs w:val="1"/>
          <w:color w:val="auto"/>
        </w:rPr>
        <w:t>Code</w:t>
      </w:r>
      <w:r>
        <w:rPr>
          <w:rFonts w:ascii="Arial" w:cs="Arial" w:eastAsia="Arial" w:hAnsi="Arial"/>
          <w:sz w:val="12"/>
          <w:szCs w:val="12"/>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99" w:lineRule="exact"/>
        <w:rPr>
          <w:sz w:val="20"/>
          <w:szCs w:val="20"/>
          <w:color w:val="auto"/>
        </w:rPr>
      </w:pPr>
    </w:p>
    <w:p>
      <w:pPr>
        <w:sectPr>
          <w:pgSz w:w="11900" w:h="16838" w:orient="portrait"/>
          <w:cols w:equalWidth="0" w:num="2">
            <w:col w:w="180" w:space="680"/>
            <w:col w:w="10440"/>
          </w:cols>
          <w:pgMar w:left="300" w:top="494" w:right="29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C.</w:t>
      </w:r>
    </w:p>
    <w:p>
      <w:pPr>
        <w:spacing w:after="0" w:line="20" w:lineRule="exact"/>
        <w:rPr>
          <w:sz w:val="20"/>
          <w:szCs w:val="20"/>
          <w:color w:val="auto"/>
        </w:rPr>
      </w:pPr>
      <w:r>
        <w:rPr>
          <w:sz w:val="20"/>
          <w:szCs w:val="20"/>
          <w:color w:val="auto"/>
        </w:rPr>
        <w:br w:type="column"/>
      </w:r>
    </w:p>
    <w:p>
      <w:pPr>
        <w:jc w:val="both"/>
        <w:ind w:firstLine="803"/>
        <w:spacing w:after="0" w:line="258" w:lineRule="auto"/>
        <w:rPr>
          <w:sz w:val="20"/>
          <w:szCs w:val="20"/>
          <w:color w:val="auto"/>
        </w:rPr>
      </w:pPr>
      <w:r>
        <w:rPr>
          <w:rFonts w:ascii="Arial" w:cs="Arial" w:eastAsia="Arial" w:hAnsi="Arial"/>
          <w:sz w:val="13"/>
          <w:szCs w:val="13"/>
          <w:color w:val="auto"/>
        </w:rPr>
        <w:t>Indemnitee does not regard the protection currently provided by applicable law, the Company’s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17" w:lineRule="exact"/>
        <w:rPr>
          <w:sz w:val="20"/>
          <w:szCs w:val="20"/>
          <w:color w:val="auto"/>
        </w:rPr>
      </w:pPr>
    </w:p>
    <w:p>
      <w:pPr>
        <w:sectPr>
          <w:pgSz w:w="11900" w:h="16838" w:orient="portrait"/>
          <w:cols w:equalWidth="0" w:num="2">
            <w:col w:w="180" w:space="680"/>
            <w:col w:w="10440"/>
          </w:cols>
          <w:pgMar w:left="300" w:top="494" w:right="29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D.</w:t>
      </w:r>
    </w:p>
    <w:p>
      <w:pPr>
        <w:spacing w:after="0" w:line="20" w:lineRule="exact"/>
        <w:rPr>
          <w:sz w:val="20"/>
          <w:szCs w:val="20"/>
          <w:color w:val="auto"/>
        </w:rPr>
      </w:pPr>
      <w:r>
        <w:rPr>
          <w:sz w:val="20"/>
          <w:szCs w:val="20"/>
          <w:color w:val="auto"/>
        </w:rPr>
        <w:br w:type="column"/>
      </w:r>
    </w:p>
    <w:p>
      <w:pPr>
        <w:ind w:firstLine="803"/>
        <w:spacing w:after="0" w:line="271" w:lineRule="auto"/>
        <w:rPr>
          <w:sz w:val="20"/>
          <w:szCs w:val="20"/>
          <w:color w:val="auto"/>
        </w:rPr>
      </w:pPr>
      <w:r>
        <w:rPr>
          <w:rFonts w:ascii="Arial" w:cs="Arial" w:eastAsia="Arial" w:hAnsi="Arial"/>
          <w:sz w:val="13"/>
          <w:szCs w:val="13"/>
          <w:color w:val="auto"/>
        </w:rPr>
        <w:t>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08" w:lineRule="exact"/>
        <w:rPr>
          <w:sz w:val="20"/>
          <w:szCs w:val="20"/>
          <w:color w:val="auto"/>
        </w:rPr>
      </w:pPr>
    </w:p>
    <w:p>
      <w:pPr>
        <w:sectPr>
          <w:pgSz w:w="11900" w:h="16838" w:orient="portrait"/>
          <w:cols w:equalWidth="0" w:num="2">
            <w:col w:w="180" w:space="680"/>
            <w:col w:w="10440"/>
          </w:cols>
          <w:pgMar w:left="300" w:top="494" w:right="29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Indemnitee is willing to serve, or to continue to serve, as a director, officer, employee or agent of the Company, as the case may be, if Indemnitee is furnished the indemnity provided</w:t>
      </w:r>
    </w:p>
    <w:p>
      <w:pPr>
        <w:spacing w:after="0" w:line="28" w:lineRule="exact"/>
        <w:rPr>
          <w:sz w:val="20"/>
          <w:szCs w:val="20"/>
          <w:color w:val="auto"/>
        </w:rPr>
      </w:pPr>
    </w:p>
    <w:p>
      <w:pPr>
        <w:sectPr>
          <w:pgSz w:w="11900" w:h="16838" w:orient="portrait"/>
          <w:cols w:equalWidth="0" w:num="2">
            <w:col w:w="940" w:space="720"/>
            <w:col w:w="9640"/>
          </w:cols>
          <w:pgMar w:left="300" w:top="494"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for herein by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GREEMENT</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OW</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HEREFORE</w:t>
      </w:r>
      <w:r>
        <w:rPr>
          <w:rFonts w:ascii="Arial" w:cs="Arial" w:eastAsia="Arial" w:hAnsi="Arial"/>
          <w:sz w:val="13"/>
          <w:szCs w:val="13"/>
          <w:color w:val="auto"/>
        </w:rPr>
        <w:t>, in consideration of the mutual covenants and agreements set forth herein, the parties hereto, intending to be legally bound, hereby agree as follows:</w:t>
      </w:r>
    </w:p>
    <w:p>
      <w:pPr>
        <w:spacing w:after="0" w:line="148" w:lineRule="exact"/>
        <w:rPr>
          <w:sz w:val="20"/>
          <w:szCs w:val="20"/>
          <w:color w:val="auto"/>
        </w:rPr>
      </w:pPr>
    </w:p>
    <w:p>
      <w:pPr>
        <w:ind w:left="1820" w:hanging="959"/>
        <w:spacing w:after="0"/>
        <w:tabs>
          <w:tab w:leader="none" w:pos="18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EFINITIONS</w:t>
      </w:r>
      <w:r>
        <w:rPr>
          <w:rFonts w:ascii="Arial" w:cs="Arial" w:eastAsia="Arial" w:hAnsi="Arial"/>
          <w:sz w:val="13"/>
          <w:szCs w:val="13"/>
          <w:color w:val="auto"/>
        </w:rPr>
        <w:t>.</w:t>
      </w:r>
    </w:p>
    <w:p>
      <w:pPr>
        <w:spacing w:after="0" w:line="156" w:lineRule="exact"/>
        <w:rPr>
          <w:rFonts w:ascii="Arial" w:cs="Arial" w:eastAsia="Arial" w:hAnsi="Arial"/>
          <w:sz w:val="13"/>
          <w:szCs w:val="13"/>
          <w:b w:val="1"/>
          <w:bCs w:val="1"/>
          <w:color w:val="auto"/>
        </w:rPr>
      </w:pPr>
    </w:p>
    <w:p>
      <w:pPr>
        <w:jc w:val="both"/>
        <w:ind w:firstLine="1731"/>
        <w:spacing w:after="0" w:line="252" w:lineRule="auto"/>
        <w:tabs>
          <w:tab w:leader="none" w:pos="3202" w:val="left"/>
        </w:tabs>
        <w:numPr>
          <w:ilvl w:val="1"/>
          <w:numId w:val="4"/>
        </w:numPr>
        <w:rPr>
          <w:rFonts w:ascii="Arial" w:cs="Arial" w:eastAsia="Arial" w:hAnsi="Arial"/>
          <w:sz w:val="14"/>
          <w:szCs w:val="14"/>
          <w:b w:val="1"/>
          <w:bCs w:val="1"/>
          <w:color w:val="auto"/>
        </w:rPr>
      </w:pPr>
      <w:r>
        <w:rPr>
          <w:rFonts w:ascii="Arial" w:cs="Arial" w:eastAsia="Arial" w:hAnsi="Arial"/>
          <w:sz w:val="13"/>
          <w:szCs w:val="13"/>
          <w:b w:val="1"/>
          <w:bCs w:val="1"/>
          <w:color w:val="auto"/>
        </w:rPr>
        <w:t>Agent</w:t>
      </w:r>
      <w:r>
        <w:rPr>
          <w:rFonts w:ascii="Arial" w:cs="Arial" w:eastAsia="Arial" w:hAnsi="Arial"/>
          <w:sz w:val="13"/>
          <w:szCs w:val="13"/>
          <w:color w:val="auto"/>
        </w:rPr>
        <w:t>. For purposes of this Agreement, the term “agent” of the Company means any person who: (i) is or was a director, officer, employee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fiduciary of the Company or a subsidiary of the Company; or (ii) is or was serving at the request or for the convenience of, or representing the interests of, the Company or a subsidiary of the Company, as a director, officer, employee or other fiduciary of a foreign or domestic corporation, partnership, joint venture, trust or other enterprise.</w:t>
      </w:r>
    </w:p>
    <w:p>
      <w:pPr>
        <w:spacing w:after="0" w:line="129" w:lineRule="exact"/>
        <w:rPr>
          <w:rFonts w:ascii="Arial" w:cs="Arial" w:eastAsia="Arial" w:hAnsi="Arial"/>
          <w:sz w:val="14"/>
          <w:szCs w:val="14"/>
          <w:b w:val="1"/>
          <w:bCs w:val="1"/>
          <w:color w:val="auto"/>
        </w:rPr>
      </w:pPr>
    </w:p>
    <w:p>
      <w:pPr>
        <w:ind w:left="3200" w:hanging="1469"/>
        <w:spacing w:after="0"/>
        <w:tabs>
          <w:tab w:leader="none" w:pos="3200" w:val="left"/>
        </w:tabs>
        <w:numPr>
          <w:ilvl w:val="1"/>
          <w:numId w:val="4"/>
        </w:numPr>
        <w:rPr>
          <w:rFonts w:ascii="Arial" w:cs="Arial" w:eastAsia="Arial" w:hAnsi="Arial"/>
          <w:sz w:val="13"/>
          <w:szCs w:val="13"/>
          <w:b w:val="1"/>
          <w:bCs w:val="1"/>
          <w:color w:val="auto"/>
        </w:rPr>
      </w:pPr>
      <w:r>
        <w:rPr>
          <w:rFonts w:ascii="Arial" w:cs="Arial" w:eastAsia="Arial" w:hAnsi="Arial"/>
          <w:sz w:val="12"/>
          <w:szCs w:val="12"/>
          <w:b w:val="1"/>
          <w:bCs w:val="1"/>
          <w:color w:val="auto"/>
        </w:rPr>
        <w:t>Change in Control</w:t>
      </w:r>
      <w:r>
        <w:rPr>
          <w:rFonts w:ascii="Arial" w:cs="Arial" w:eastAsia="Arial" w:hAnsi="Arial"/>
          <w:sz w:val="12"/>
          <w:szCs w:val="12"/>
          <w:color w:val="auto"/>
        </w:rPr>
        <w:t>. For purposes of this Agreement, a “</w:t>
      </w:r>
      <w:r>
        <w:rPr>
          <w:rFonts w:ascii="Arial" w:cs="Arial" w:eastAsia="Arial" w:hAnsi="Arial"/>
          <w:sz w:val="12"/>
          <w:szCs w:val="12"/>
          <w:b w:val="1"/>
          <w:bCs w:val="1"/>
          <w:color w:val="auto"/>
        </w:rPr>
        <w:t>Change in Control</w:t>
      </w:r>
      <w:r>
        <w:rPr>
          <w:rFonts w:ascii="Arial" w:cs="Arial" w:eastAsia="Arial" w:hAnsi="Arial"/>
          <w:sz w:val="12"/>
          <w:szCs w:val="12"/>
          <w:color w:val="auto"/>
        </w:rPr>
        <w:t>” shall be deemed to have occurred if (i) any “person” (as such term is used</w:t>
      </w:r>
    </w:p>
    <w:p>
      <w:pPr>
        <w:spacing w:after="0" w:line="17"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3"/>
          <w:szCs w:val="13"/>
          <w:color w:val="auto"/>
        </w:rPr>
        <w:t>in Sections 13(d) and 14(d)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1894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94" w:right="299" w:bottom="1440" w:gutter="0" w:footer="0" w:header="0"/>
          <w:type w:val="continuous"/>
        </w:sectPr>
      </w:pPr>
    </w:p>
    <w:bookmarkStart w:id="4" w:name="page5"/>
    <w:bookmarkEnd w:id="4"/>
    <w:p>
      <w:pPr>
        <w:jc w:val="both"/>
        <w:spacing w:after="0" w:line="272" w:lineRule="auto"/>
        <w:rPr>
          <w:sz w:val="20"/>
          <w:szCs w:val="20"/>
          <w:color w:val="auto"/>
        </w:rPr>
      </w:pPr>
      <w:r>
        <w:rPr>
          <w:rFonts w:ascii="Arial" w:cs="Arial" w:eastAsia="Arial" w:hAnsi="Arial"/>
          <w:sz w:val="12"/>
          <w:szCs w:val="12"/>
          <w:color w:val="auto"/>
        </w:rPr>
        <w:t>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50% or more of the total voting power represented by the Company’s then outstanding Voting Securities, (ii) individuals who on the date of this Agreement are members of the Board (the “</w:t>
      </w:r>
      <w:r>
        <w:rPr>
          <w:rFonts w:ascii="Arial" w:cs="Arial" w:eastAsia="Arial" w:hAnsi="Arial"/>
          <w:sz w:val="12"/>
          <w:szCs w:val="12"/>
          <w:b w:val="1"/>
          <w:bCs w:val="1"/>
          <w:color w:val="auto"/>
        </w:rPr>
        <w:t>Incumbent Board</w:t>
      </w:r>
      <w:r>
        <w:rPr>
          <w:rFonts w:ascii="Arial" w:cs="Arial" w:eastAsia="Arial" w:hAnsi="Arial"/>
          <w:sz w:val="12"/>
          <w:szCs w:val="12"/>
          <w:color w:val="auto"/>
        </w:rPr>
        <w:t>”) cease for any reason to constitute at least a majority of the members of the Board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the appointment or election (or nomination for election) of any new Board member was approved or recommended by a majority vote of 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18" w:lineRule="exact"/>
        <w:rPr>
          <w:sz w:val="20"/>
          <w:szCs w:val="20"/>
          <w:color w:val="auto"/>
        </w:rPr>
      </w:pPr>
    </w:p>
    <w:p>
      <w:pPr>
        <w:jc w:val="both"/>
        <w:ind w:firstLine="1731"/>
        <w:spacing w:after="0" w:line="271" w:lineRule="auto"/>
        <w:tabs>
          <w:tab w:leader="none" w:pos="3194" w:val="left"/>
        </w:tabs>
        <w:numPr>
          <w:ilvl w:val="0"/>
          <w:numId w:val="5"/>
        </w:numPr>
        <w:rPr>
          <w:rFonts w:ascii="Arial" w:cs="Arial" w:eastAsia="Arial" w:hAnsi="Arial"/>
          <w:sz w:val="13"/>
          <w:szCs w:val="13"/>
          <w:b w:val="1"/>
          <w:bCs w:val="1"/>
          <w:color w:val="auto"/>
        </w:rPr>
      </w:pPr>
      <w:r>
        <w:rPr>
          <w:rFonts w:ascii="Arial" w:cs="Arial" w:eastAsia="Arial" w:hAnsi="Arial"/>
          <w:sz w:val="12"/>
          <w:szCs w:val="12"/>
          <w:b w:val="1"/>
          <w:bCs w:val="1"/>
          <w:color w:val="auto"/>
        </w:rPr>
        <w:t>Expenses</w:t>
      </w:r>
      <w:r>
        <w:rPr>
          <w:rFonts w:ascii="Arial" w:cs="Arial" w:eastAsia="Arial" w:hAnsi="Arial"/>
          <w:sz w:val="12"/>
          <w:szCs w:val="12"/>
          <w:color w:val="auto"/>
        </w:rPr>
        <w:t>. For purposes of this Agreement, the term “expenses” shall be broadly construed and shall include, without limitation, all direct and indirect</w:t>
      </w:r>
      <w:r>
        <w:rPr>
          <w:rFonts w:ascii="Arial" w:cs="Arial" w:eastAsia="Arial" w:hAnsi="Arial"/>
          <w:sz w:val="12"/>
          <w:szCs w:val="12"/>
          <w:b w:val="1"/>
          <w:bCs w:val="1"/>
          <w:color w:val="auto"/>
        </w:rPr>
        <w:t xml:space="preserve"> </w:t>
      </w:r>
      <w:r>
        <w:rPr>
          <w:rFonts w:ascii="Arial" w:cs="Arial" w:eastAsia="Arial" w:hAnsi="Arial"/>
          <w:sz w:val="12"/>
          <w:szCs w:val="12"/>
          <w:color w:val="auto"/>
        </w:rPr>
        <w:t>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 and amounts paid in settlement by or on behalf of Indemnitee, but shall not include any judgments, fines or penalties actually levied against Indemnitee for such individual’s violations of law. The term “expenses” 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120" w:lineRule="exact"/>
        <w:rPr>
          <w:rFonts w:ascii="Arial" w:cs="Arial" w:eastAsia="Arial" w:hAnsi="Arial"/>
          <w:sz w:val="13"/>
          <w:szCs w:val="13"/>
          <w:b w:val="1"/>
          <w:bCs w:val="1"/>
          <w:color w:val="auto"/>
        </w:rPr>
      </w:pPr>
    </w:p>
    <w:p>
      <w:pPr>
        <w:jc w:val="both"/>
        <w:ind w:firstLine="1731"/>
        <w:spacing w:after="0" w:line="247" w:lineRule="auto"/>
        <w:tabs>
          <w:tab w:leader="none" w:pos="3210" w:val="left"/>
        </w:tabs>
        <w:numPr>
          <w:ilvl w:val="0"/>
          <w:numId w:val="5"/>
        </w:numPr>
        <w:rPr>
          <w:rFonts w:ascii="Arial" w:cs="Arial" w:eastAsia="Arial" w:hAnsi="Arial"/>
          <w:sz w:val="14"/>
          <w:szCs w:val="14"/>
          <w:b w:val="1"/>
          <w:bCs w:val="1"/>
          <w:color w:val="auto"/>
        </w:rPr>
      </w:pPr>
      <w:r>
        <w:rPr>
          <w:rFonts w:ascii="Arial" w:cs="Arial" w:eastAsia="Arial" w:hAnsi="Arial"/>
          <w:sz w:val="13"/>
          <w:szCs w:val="13"/>
          <w:b w:val="1"/>
          <w:bCs w:val="1"/>
          <w:color w:val="auto"/>
        </w:rPr>
        <w:t>Proceedings</w:t>
      </w:r>
      <w:r>
        <w:rPr>
          <w:rFonts w:ascii="Arial" w:cs="Arial" w:eastAsia="Arial" w:hAnsi="Arial"/>
          <w:sz w:val="13"/>
          <w:szCs w:val="13"/>
          <w:color w:val="auto"/>
        </w:rPr>
        <w:t>. For purposes of this Agreement, the term “proceeding” shall be broadly construed and shall include, without limitation, any threatened,</w:t>
      </w:r>
      <w:r>
        <w:rPr>
          <w:rFonts w:ascii="Arial" w:cs="Arial" w:eastAsia="Arial" w:hAnsi="Arial"/>
          <w:sz w:val="13"/>
          <w:szCs w:val="13"/>
          <w:b w:val="1"/>
          <w:bCs w:val="1"/>
          <w:color w:val="auto"/>
        </w:rPr>
        <w:t xml:space="preserve"> </w:t>
      </w:r>
      <w:r>
        <w:rPr>
          <w:rFonts w:ascii="Arial" w:cs="Arial" w:eastAsia="Arial" w:hAnsi="Arial"/>
          <w:sz w:val="13"/>
          <w:szCs w:val="13"/>
          <w:color w:val="auto"/>
        </w:rPr>
        <w:t>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or otherwise by reason of: (i) the fact that Indemnitee is or was a director or officer of the Company; (ii) the fact that any action taken by Indemnitee or of any action on Indemnitee’s part while acting as director, officer, employee or agent of the Company;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w:t>
      </w:r>
    </w:p>
    <w:p>
      <w:pPr>
        <w:spacing w:after="0" w:line="135" w:lineRule="exact"/>
        <w:rPr>
          <w:rFonts w:ascii="Arial" w:cs="Arial" w:eastAsia="Arial" w:hAnsi="Arial"/>
          <w:sz w:val="14"/>
          <w:szCs w:val="14"/>
          <w:b w:val="1"/>
          <w:bCs w:val="1"/>
          <w:color w:val="auto"/>
        </w:rPr>
      </w:pPr>
    </w:p>
    <w:p>
      <w:pPr>
        <w:ind w:firstLine="1731"/>
        <w:spacing w:after="0" w:line="259" w:lineRule="auto"/>
        <w:tabs>
          <w:tab w:leader="none" w:pos="3194" w:val="left"/>
        </w:tabs>
        <w:numPr>
          <w:ilvl w:val="0"/>
          <w:numId w:val="5"/>
        </w:numPr>
        <w:rPr>
          <w:rFonts w:ascii="Arial" w:cs="Arial" w:eastAsia="Arial" w:hAnsi="Arial"/>
          <w:sz w:val="14"/>
          <w:szCs w:val="14"/>
          <w:b w:val="1"/>
          <w:bCs w:val="1"/>
          <w:color w:val="auto"/>
        </w:rPr>
      </w:pPr>
      <w:r>
        <w:rPr>
          <w:rFonts w:ascii="Arial" w:cs="Arial" w:eastAsia="Arial" w:hAnsi="Arial"/>
          <w:sz w:val="13"/>
          <w:szCs w:val="13"/>
          <w:b w:val="1"/>
          <w:bCs w:val="1"/>
          <w:color w:val="auto"/>
        </w:rPr>
        <w:t>Subsidiary</w:t>
      </w:r>
      <w:r>
        <w:rPr>
          <w:rFonts w:ascii="Arial" w:cs="Arial" w:eastAsia="Arial" w:hAnsi="Arial"/>
          <w:sz w:val="13"/>
          <w:szCs w:val="13"/>
          <w:color w:val="auto"/>
        </w:rPr>
        <w:t>. For purposes of this Agreement, the term “subsidiary” means any corporation or limited liability company of which more than 50% of the</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 voting securities or equity interests are owned, directly or indirectly, by the Company and one or more of its subsidiaries,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 w:name="page6"/>
    <w:bookmarkEnd w:id="5"/>
    <w:p>
      <w:pPr>
        <w:ind w:right="20"/>
        <w:spacing w:after="0" w:line="271" w:lineRule="auto"/>
        <w:rPr>
          <w:sz w:val="20"/>
          <w:szCs w:val="20"/>
          <w:color w:val="auto"/>
        </w:rPr>
      </w:pPr>
      <w:r>
        <w:rPr>
          <w:rFonts w:ascii="Arial" w:cs="Arial" w:eastAsia="Arial" w:hAnsi="Arial"/>
          <w:sz w:val="13"/>
          <w:szCs w:val="13"/>
          <w:color w:val="auto"/>
        </w:rPr>
        <w:t>any other corporation, limited liability company, partnership, joint venture, trust, employee benefit plan or other enterprise of which Indemnitee is or was serving at the request of the Company as a director, officer, employee, agent or fiduciary.</w:t>
      </w:r>
    </w:p>
    <w:p>
      <w:pPr>
        <w:spacing w:after="0" w:line="117" w:lineRule="exact"/>
        <w:rPr>
          <w:sz w:val="20"/>
          <w:szCs w:val="20"/>
          <w:color w:val="auto"/>
        </w:rPr>
      </w:pPr>
    </w:p>
    <w:p>
      <w:pPr>
        <w:jc w:val="both"/>
        <w:ind w:firstLine="1731"/>
        <w:spacing w:after="0" w:line="276" w:lineRule="auto"/>
        <w:tabs>
          <w:tab w:leader="none" w:pos="3178" w:val="left"/>
        </w:tabs>
        <w:numPr>
          <w:ilvl w:val="1"/>
          <w:numId w:val="6"/>
        </w:numPr>
        <w:rPr>
          <w:rFonts w:ascii="Arial" w:cs="Arial" w:eastAsia="Arial" w:hAnsi="Arial"/>
          <w:sz w:val="13"/>
          <w:szCs w:val="13"/>
          <w:b w:val="1"/>
          <w:bCs w:val="1"/>
          <w:color w:val="auto"/>
        </w:rPr>
      </w:pPr>
      <w:r>
        <w:rPr>
          <w:rFonts w:ascii="Arial" w:cs="Arial" w:eastAsia="Arial" w:hAnsi="Arial"/>
          <w:sz w:val="12"/>
          <w:szCs w:val="12"/>
          <w:b w:val="1"/>
          <w:bCs w:val="1"/>
          <w:color w:val="auto"/>
        </w:rPr>
        <w:t>Independent Counsel</w:t>
      </w:r>
      <w:r>
        <w:rPr>
          <w:rFonts w:ascii="Arial" w:cs="Arial" w:eastAsia="Arial" w:hAnsi="Arial"/>
          <w:sz w:val="12"/>
          <w:szCs w:val="12"/>
          <w:color w:val="auto"/>
        </w:rPr>
        <w:t>. For purposes of this Agreement, the term “Independent Counsel” means a law firm, or a partner (or, if applicable, member) of</w:t>
      </w:r>
      <w:r>
        <w:rPr>
          <w:rFonts w:ascii="Arial" w:cs="Arial" w:eastAsia="Arial" w:hAnsi="Arial"/>
          <w:sz w:val="12"/>
          <w:szCs w:val="12"/>
          <w:b w:val="1"/>
          <w:bCs w:val="1"/>
          <w:color w:val="auto"/>
        </w:rPr>
        <w:t xml:space="preserve"> </w:t>
      </w:r>
      <w:r>
        <w:rPr>
          <w:rFonts w:ascii="Arial" w:cs="Arial" w:eastAsia="Arial" w:hAnsi="Arial"/>
          <w:sz w:val="12"/>
          <w:szCs w:val="12"/>
          <w:color w:val="auto"/>
        </w:rPr>
        <w:t>such a law firm, that is experienced in matters of corporation law and neither presently is, nor in the past five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17" w:lineRule="exact"/>
        <w:rPr>
          <w:rFonts w:ascii="Arial" w:cs="Arial" w:eastAsia="Arial" w:hAnsi="Arial"/>
          <w:sz w:val="13"/>
          <w:szCs w:val="13"/>
          <w:b w:val="1"/>
          <w:bCs w:val="1"/>
          <w:color w:val="auto"/>
        </w:rPr>
      </w:pPr>
    </w:p>
    <w:p>
      <w:pPr>
        <w:ind w:left="3200" w:hanging="1469"/>
        <w:spacing w:after="0"/>
        <w:tabs>
          <w:tab w:leader="none" w:pos="3200" w:val="left"/>
        </w:tabs>
        <w:numPr>
          <w:ilvl w:val="1"/>
          <w:numId w:val="6"/>
        </w:numPr>
        <w:rPr>
          <w:rFonts w:ascii="Arial" w:cs="Arial" w:eastAsia="Arial" w:hAnsi="Arial"/>
          <w:sz w:val="13"/>
          <w:szCs w:val="13"/>
          <w:b w:val="1"/>
          <w:bCs w:val="1"/>
          <w:color w:val="auto"/>
        </w:rPr>
      </w:pPr>
      <w:r>
        <w:rPr>
          <w:rFonts w:ascii="Arial" w:cs="Arial" w:eastAsia="Arial" w:hAnsi="Arial"/>
          <w:sz w:val="12"/>
          <w:szCs w:val="12"/>
          <w:b w:val="1"/>
          <w:bCs w:val="1"/>
          <w:color w:val="auto"/>
        </w:rPr>
        <w:t>Voting Securities</w:t>
      </w:r>
      <w:r>
        <w:rPr>
          <w:rFonts w:ascii="Arial" w:cs="Arial" w:eastAsia="Arial" w:hAnsi="Arial"/>
          <w:sz w:val="12"/>
          <w:szCs w:val="12"/>
          <w:color w:val="auto"/>
        </w:rPr>
        <w:t>. For purposes of this Agreement, "</w:t>
      </w:r>
      <w:r>
        <w:rPr>
          <w:rFonts w:ascii="Arial" w:cs="Arial" w:eastAsia="Arial" w:hAnsi="Arial"/>
          <w:sz w:val="12"/>
          <w:szCs w:val="12"/>
          <w:b w:val="1"/>
          <w:bCs w:val="1"/>
          <w:i w:val="1"/>
          <w:iCs w:val="1"/>
          <w:color w:val="auto"/>
        </w:rPr>
        <w:t>Voting Securities</w:t>
      </w:r>
      <w:r>
        <w:rPr>
          <w:rFonts w:ascii="Arial" w:cs="Arial" w:eastAsia="Arial" w:hAnsi="Arial"/>
          <w:sz w:val="12"/>
          <w:szCs w:val="12"/>
          <w:color w:val="auto"/>
        </w:rPr>
        <w:t>" shall mean any securities of the Company that vote generally in the election of</w:t>
      </w:r>
    </w:p>
    <w:p>
      <w:pPr>
        <w:spacing w:after="0" w:line="17"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3"/>
          <w:szCs w:val="13"/>
          <w:color w:val="auto"/>
        </w:rPr>
        <w:t>directors.</w:t>
      </w:r>
    </w:p>
    <w:p>
      <w:pPr>
        <w:spacing w:after="0" w:line="133" w:lineRule="exact"/>
        <w:rPr>
          <w:rFonts w:ascii="Arial" w:cs="Arial" w:eastAsia="Arial" w:hAnsi="Arial"/>
          <w:sz w:val="13"/>
          <w:szCs w:val="13"/>
          <w:b w:val="1"/>
          <w:bCs w:val="1"/>
          <w:color w:val="auto"/>
        </w:rPr>
      </w:pPr>
    </w:p>
    <w:p>
      <w:pPr>
        <w:jc w:val="both"/>
        <w:ind w:firstLine="861"/>
        <w:spacing w:after="0" w:line="253" w:lineRule="auto"/>
        <w:tabs>
          <w:tab w:leader="none" w:pos="1832"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GREEMENT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ERVE</w:t>
      </w:r>
      <w:r>
        <w:rPr>
          <w:rFonts w:ascii="Arial" w:cs="Arial" w:eastAsia="Arial" w:hAnsi="Arial"/>
          <w:sz w:val="13"/>
          <w:szCs w:val="13"/>
          <w:color w:val="auto"/>
        </w:rPr>
        <w:t>. Indemnitee will serve, or continue to serve, as a director, officer, employee or agent of the Company or any subsidiary, as the case may be, faithfully and to</w:t>
      </w:r>
      <w:r>
        <w:rPr>
          <w:rFonts w:ascii="Arial" w:cs="Arial" w:eastAsia="Arial" w:hAnsi="Arial"/>
          <w:sz w:val="13"/>
          <w:szCs w:val="13"/>
          <w:b w:val="1"/>
          <w:bCs w:val="1"/>
          <w:color w:val="auto"/>
        </w:rPr>
        <w:t xml:space="preserve"> </w:t>
      </w:r>
      <w:r>
        <w:rPr>
          <w:rFonts w:ascii="Arial" w:cs="Arial" w:eastAsia="Arial" w:hAnsi="Arial"/>
          <w:sz w:val="13"/>
          <w:szCs w:val="13"/>
          <w:color w:val="auto"/>
        </w:rPr>
        <w:t>the best of his or her ability, at the will of such corporation (or under separate agreement, if such agreement exists), in the capacity Indemnitee currently serves as an agent of such corporation, so long as Indemnitee is duly appointed or elected and qualified in accordance with the applicable provisions of the bylaws or other applicable charter documents of such corporation,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125" w:lineRule="exact"/>
        <w:rPr>
          <w:sz w:val="20"/>
          <w:szCs w:val="20"/>
          <w:color w:val="auto"/>
        </w:rPr>
      </w:pPr>
    </w:p>
    <w:p>
      <w:pPr>
        <w:jc w:val="both"/>
        <w:ind w:firstLine="869"/>
        <w:spacing w:after="0" w:line="258" w:lineRule="auto"/>
        <w:rPr>
          <w:sz w:val="20"/>
          <w:szCs w:val="20"/>
          <w:color w:val="auto"/>
        </w:rPr>
      </w:pPr>
      <w:r>
        <w:rPr>
          <w:rFonts w:ascii="Arial" w:cs="Arial" w:eastAsia="Arial" w:hAnsi="Arial"/>
          <w:sz w:val="13"/>
          <w:szCs w:val="13"/>
          <w:color w:val="auto"/>
        </w:rPr>
        <w:t>The Company acknowledges that it has entered into this Agreement and assumes the obligations imposed on it hereby, in addition to and separate from its obligations to Indemnitee under the Bylaws, to induce Indemnitee to serve, or continue to serve, as a director, officer, employee or agent of the Company, and the Company acknowledges that Indemnitee is relying upon this Agreement in serving as a director, officer, employee or agent of the Company.</w:t>
      </w:r>
    </w:p>
    <w:p>
      <w:pPr>
        <w:spacing w:after="0" w:line="117" w:lineRule="exact"/>
        <w:rPr>
          <w:sz w:val="20"/>
          <w:szCs w:val="20"/>
          <w:color w:val="auto"/>
        </w:rPr>
      </w:pPr>
    </w:p>
    <w:p>
      <w:pPr>
        <w:ind w:left="1820" w:hanging="959"/>
        <w:spacing w:after="0"/>
        <w:tabs>
          <w:tab w:leader="none" w:pos="182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NDEMNIFICATION</w:t>
      </w:r>
      <w:r>
        <w:rPr>
          <w:rFonts w:ascii="Arial" w:cs="Arial" w:eastAsia="Arial" w:hAnsi="Arial"/>
          <w:sz w:val="13"/>
          <w:szCs w:val="13"/>
          <w:color w:val="auto"/>
        </w:rPr>
        <w:t>.</w:t>
      </w:r>
    </w:p>
    <w:p>
      <w:pPr>
        <w:spacing w:after="0" w:line="156" w:lineRule="exact"/>
        <w:rPr>
          <w:rFonts w:ascii="Arial" w:cs="Arial" w:eastAsia="Arial" w:hAnsi="Arial"/>
          <w:sz w:val="13"/>
          <w:szCs w:val="13"/>
          <w:b w:val="1"/>
          <w:bCs w:val="1"/>
          <w:color w:val="auto"/>
        </w:rPr>
      </w:pPr>
    </w:p>
    <w:p>
      <w:pPr>
        <w:jc w:val="both"/>
        <w:ind w:firstLine="1731"/>
        <w:spacing w:after="0" w:line="249" w:lineRule="auto"/>
        <w:tabs>
          <w:tab w:leader="none" w:pos="3202" w:val="left"/>
        </w:tabs>
        <w:numPr>
          <w:ilvl w:val="1"/>
          <w:numId w:val="8"/>
        </w:numPr>
        <w:rPr>
          <w:rFonts w:ascii="Arial" w:cs="Arial" w:eastAsia="Arial" w:hAnsi="Arial"/>
          <w:sz w:val="14"/>
          <w:szCs w:val="14"/>
          <w:b w:val="1"/>
          <w:bCs w:val="1"/>
          <w:color w:val="auto"/>
        </w:rPr>
      </w:pPr>
      <w:r>
        <w:rPr>
          <w:rFonts w:ascii="Arial" w:cs="Arial" w:eastAsia="Arial" w:hAnsi="Arial"/>
          <w:sz w:val="13"/>
          <w:szCs w:val="13"/>
          <w:b w:val="1"/>
          <w:bCs w:val="1"/>
          <w:color w:val="auto"/>
        </w:rPr>
        <w:t>Indemnification in Third Party Proceedings</w:t>
      </w:r>
      <w:r>
        <w:rPr>
          <w:rFonts w:ascii="Arial" w:cs="Arial" w:eastAsia="Arial" w:hAnsi="Arial"/>
          <w:sz w:val="13"/>
          <w:szCs w:val="13"/>
          <w:color w:val="auto"/>
        </w:rPr>
        <w:t>. Subject to Section 10 below, the Company shall indemnify Indemnitee to the fullest extent permitted by</w:t>
      </w:r>
      <w:r>
        <w:rPr>
          <w:rFonts w:ascii="Arial" w:cs="Arial" w:eastAsia="Arial" w:hAnsi="Arial"/>
          <w:sz w:val="13"/>
          <w:szCs w:val="13"/>
          <w:b w:val="1"/>
          <w:bCs w:val="1"/>
          <w:color w:val="auto"/>
        </w:rPr>
        <w:t xml:space="preserve"> </w:t>
      </w:r>
      <w:r>
        <w:rPr>
          <w:rFonts w:ascii="Arial" w:cs="Arial" w:eastAsia="Arial" w:hAnsi="Arial"/>
          <w:sz w:val="13"/>
          <w:szCs w:val="13"/>
          <w:color w:val="auto"/>
        </w:rPr>
        <w:t>the Code, as the same may be amended from time to time (but, only to the extent that such amendment permits Indemnitee to broader indemnification rights than the Code permitted prior to adoption of such amendment), if Indemnitee is a party to or threatened to be made a party to or otherwise involved in any proceeding, for any and all expenses, actually and reasonably incurred by Indemnitee in connection with the investigation, defense, settlement or appeal of such proceeding.</w:t>
      </w:r>
    </w:p>
    <w:p>
      <w:pPr>
        <w:spacing w:after="0" w:line="132" w:lineRule="exact"/>
        <w:rPr>
          <w:rFonts w:ascii="Arial" w:cs="Arial" w:eastAsia="Arial" w:hAnsi="Arial"/>
          <w:sz w:val="14"/>
          <w:szCs w:val="14"/>
          <w:b w:val="1"/>
          <w:bCs w:val="1"/>
          <w:color w:val="auto"/>
        </w:rPr>
      </w:pPr>
    </w:p>
    <w:p>
      <w:pPr>
        <w:jc w:val="both"/>
        <w:ind w:firstLine="1731"/>
        <w:spacing w:after="0" w:line="276" w:lineRule="auto"/>
        <w:tabs>
          <w:tab w:leader="none" w:pos="3210" w:val="left"/>
        </w:tabs>
        <w:numPr>
          <w:ilvl w:val="1"/>
          <w:numId w:val="8"/>
        </w:numPr>
        <w:rPr>
          <w:rFonts w:ascii="Arial" w:cs="Arial" w:eastAsia="Arial" w:hAnsi="Arial"/>
          <w:sz w:val="13"/>
          <w:szCs w:val="13"/>
          <w:b w:val="1"/>
          <w:bCs w:val="1"/>
          <w:color w:val="auto"/>
        </w:rPr>
      </w:pPr>
      <w:r>
        <w:rPr>
          <w:rFonts w:ascii="Arial" w:cs="Arial" w:eastAsia="Arial" w:hAnsi="Arial"/>
          <w:sz w:val="12"/>
          <w:szCs w:val="12"/>
          <w:b w:val="1"/>
          <w:bCs w:val="1"/>
          <w:color w:val="auto"/>
        </w:rPr>
        <w:t>Indemnification in Derivative Actions and Direct Actions by the Company</w:t>
      </w:r>
      <w:r>
        <w:rPr>
          <w:rFonts w:ascii="Arial" w:cs="Arial" w:eastAsia="Arial" w:hAnsi="Arial"/>
          <w:sz w:val="12"/>
          <w:szCs w:val="12"/>
          <w:color w:val="auto"/>
        </w:rPr>
        <w:t>. Subject to Section 10 below, the Company shall indemnify Indemnitee</w:t>
      </w:r>
      <w:r>
        <w:rPr>
          <w:rFonts w:ascii="Arial" w:cs="Arial" w:eastAsia="Arial" w:hAnsi="Arial"/>
          <w:sz w:val="12"/>
          <w:szCs w:val="12"/>
          <w:b w:val="1"/>
          <w:bCs w:val="1"/>
          <w:color w:val="auto"/>
        </w:rPr>
        <w:t xml:space="preserve"> </w:t>
      </w:r>
      <w:r>
        <w:rPr>
          <w:rFonts w:ascii="Arial" w:cs="Arial" w:eastAsia="Arial" w:hAnsi="Arial"/>
          <w:sz w:val="12"/>
          <w:szCs w:val="12"/>
          <w:color w:val="auto"/>
        </w:rPr>
        <w:t>to the fullest extent permitted by the Code, as the same may be amended from time to time (but,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6" w:name="page7"/>
    <w:bookmarkEnd w:id="6"/>
    <w:p>
      <w:pPr>
        <w:jc w:val="both"/>
        <w:ind w:firstLine="861"/>
        <w:spacing w:after="0" w:line="261" w:lineRule="auto"/>
        <w:tabs>
          <w:tab w:leader="none" w:pos="1832"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NDEMNIFICATION OF</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XPENSES OF</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UCCESSFUL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ARTY</w:t>
      </w:r>
      <w:r>
        <w:rPr>
          <w:rFonts w:ascii="Arial" w:cs="Arial" w:eastAsia="Arial" w:hAnsi="Arial"/>
          <w:sz w:val="13"/>
          <w:szCs w:val="13"/>
          <w:color w:val="auto"/>
        </w:rPr>
        <w:t>. Notwithstanding any other provision of this Agreement, to the extent that Indemnitee has been successful on the merits or</w:t>
      </w:r>
      <w:r>
        <w:rPr>
          <w:rFonts w:ascii="Arial" w:cs="Arial" w:eastAsia="Arial" w:hAnsi="Arial"/>
          <w:sz w:val="13"/>
          <w:szCs w:val="13"/>
          <w:b w:val="1"/>
          <w:bCs w:val="1"/>
          <w:color w:val="auto"/>
        </w:rPr>
        <w:t xml:space="preserve"> </w:t>
      </w:r>
      <w:r>
        <w:rPr>
          <w:rFonts w:ascii="Arial" w:cs="Arial" w:eastAsia="Arial" w:hAnsi="Arial"/>
          <w:sz w:val="13"/>
          <w:szCs w:val="13"/>
          <w:color w:val="auto"/>
        </w:rPr>
        <w:t>otherwise in defense of any proceeding or in defense of any claim, issue or matter therein, including the dismissal of any action without prejudice, the Company shall indemnify Indemnitee against all expenses actually and reasonably incurred in connection with the investigation, defense or appeal of such proceeding.</w:t>
      </w:r>
    </w:p>
    <w:p>
      <w:pPr>
        <w:spacing w:after="0" w:line="115" w:lineRule="exact"/>
        <w:rPr>
          <w:rFonts w:ascii="Arial" w:cs="Arial" w:eastAsia="Arial" w:hAnsi="Arial"/>
          <w:sz w:val="13"/>
          <w:szCs w:val="13"/>
          <w:b w:val="1"/>
          <w:bCs w:val="1"/>
          <w:color w:val="auto"/>
        </w:rPr>
      </w:pPr>
    </w:p>
    <w:p>
      <w:pPr>
        <w:jc w:val="both"/>
        <w:ind w:firstLine="861"/>
        <w:spacing w:after="0" w:line="261" w:lineRule="auto"/>
        <w:tabs>
          <w:tab w:leader="none" w:pos="1832"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ARTIAL</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NDEMNIFICATION</w:t>
      </w:r>
      <w:r>
        <w:rPr>
          <w:rFonts w:ascii="Arial" w:cs="Arial" w:eastAsia="Arial" w:hAnsi="Arial"/>
          <w:sz w:val="13"/>
          <w:szCs w:val="13"/>
          <w:color w:val="auto"/>
        </w:rPr>
        <w:t>. If Indemnitee is entitled under any provision of this Agreement to indemnification by the Company for some or a portion of any expenses actually and</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w:t>
      </w:r>
    </w:p>
    <w:p>
      <w:pPr>
        <w:spacing w:after="0" w:line="115" w:lineRule="exact"/>
        <w:rPr>
          <w:rFonts w:ascii="Arial" w:cs="Arial" w:eastAsia="Arial" w:hAnsi="Arial"/>
          <w:sz w:val="13"/>
          <w:szCs w:val="13"/>
          <w:b w:val="1"/>
          <w:bCs w:val="1"/>
          <w:color w:val="auto"/>
        </w:rPr>
      </w:pPr>
    </w:p>
    <w:p>
      <w:pPr>
        <w:jc w:val="both"/>
        <w:ind w:firstLine="861"/>
        <w:spacing w:after="0" w:line="261" w:lineRule="auto"/>
        <w:tabs>
          <w:tab w:leader="none" w:pos="1832"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XPENSES OF A WITNESS</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 other provision of this Agreement, to the extent that Indemnitee, by reason of Indemnitee’s status as an Agent, has prepared to serve</w:t>
      </w:r>
      <w:r>
        <w:rPr>
          <w:rFonts w:ascii="Arial" w:cs="Arial" w:eastAsia="Arial" w:hAnsi="Arial"/>
          <w:sz w:val="13"/>
          <w:szCs w:val="13"/>
          <w:b w:val="1"/>
          <w:bCs w:val="1"/>
          <w:color w:val="auto"/>
        </w:rPr>
        <w:t xml:space="preserve"> </w:t>
      </w:r>
      <w:r>
        <w:rPr>
          <w:rFonts w:ascii="Arial" w:cs="Arial" w:eastAsia="Arial" w:hAnsi="Arial"/>
          <w:sz w:val="13"/>
          <w:szCs w:val="13"/>
          <w:color w:val="auto"/>
        </w:rPr>
        <w:t>or has served as a witness in any Proceeding, or has participated in discovery proceedings or other trial preparation, Indemnitee shall be held harmless and indemnified against all expenses actually and reasonably incurred by or for him or her in connection therewith.</w:t>
      </w:r>
    </w:p>
    <w:p>
      <w:pPr>
        <w:spacing w:after="0" w:line="115" w:lineRule="exact"/>
        <w:rPr>
          <w:rFonts w:ascii="Arial" w:cs="Arial" w:eastAsia="Arial" w:hAnsi="Arial"/>
          <w:sz w:val="13"/>
          <w:szCs w:val="13"/>
          <w:b w:val="1"/>
          <w:bCs w:val="1"/>
          <w:color w:val="auto"/>
        </w:rPr>
      </w:pPr>
    </w:p>
    <w:p>
      <w:pPr>
        <w:jc w:val="both"/>
        <w:ind w:firstLine="861"/>
        <w:spacing w:after="0" w:line="272" w:lineRule="auto"/>
        <w:tabs>
          <w:tab w:leader="none" w:pos="1832"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A</w:t>
      </w:r>
      <w:r>
        <w:rPr>
          <w:rFonts w:ascii="Arial" w:cs="Arial" w:eastAsia="Arial" w:hAnsi="Arial"/>
          <w:sz w:val="7"/>
          <w:szCs w:val="7"/>
          <w:b w:val="1"/>
          <w:bCs w:val="1"/>
          <w:color w:val="auto"/>
        </w:rPr>
        <w:t>DVANCEMENT OF</w:t>
      </w:r>
      <w:r>
        <w:rPr>
          <w:rFonts w:ascii="Arial" w:cs="Arial" w:eastAsia="Arial" w:hAnsi="Arial"/>
          <w:sz w:val="12"/>
          <w:szCs w:val="12"/>
          <w:b w:val="1"/>
          <w:bCs w:val="1"/>
          <w:color w:val="auto"/>
        </w:rPr>
        <w:t xml:space="preserve"> E</w:t>
      </w:r>
      <w:r>
        <w:rPr>
          <w:rFonts w:ascii="Arial" w:cs="Arial" w:eastAsia="Arial" w:hAnsi="Arial"/>
          <w:sz w:val="7"/>
          <w:szCs w:val="7"/>
          <w:b w:val="1"/>
          <w:bCs w:val="1"/>
          <w:color w:val="auto"/>
        </w:rPr>
        <w:t>XPENSES</w:t>
      </w:r>
      <w:r>
        <w:rPr>
          <w:rFonts w:ascii="Arial" w:cs="Arial" w:eastAsia="Arial" w:hAnsi="Arial"/>
          <w:sz w:val="12"/>
          <w:szCs w:val="12"/>
          <w:color w:val="auto"/>
        </w:rPr>
        <w:t>. To the extent not prohibited by law, the Company shall advance the expenses incurred by Indemnitee in connection with any proceeding, and such</w:t>
      </w:r>
      <w:r>
        <w:rPr>
          <w:rFonts w:ascii="Arial" w:cs="Arial" w:eastAsia="Arial" w:hAnsi="Arial"/>
          <w:sz w:val="12"/>
          <w:szCs w:val="12"/>
          <w:b w:val="1"/>
          <w:bCs w:val="1"/>
          <w:color w:val="auto"/>
        </w:rPr>
        <w:t xml:space="preserve"> </w:t>
      </w:r>
      <w:r>
        <w:rPr>
          <w:rFonts w:ascii="Arial" w:cs="Arial" w:eastAsia="Arial" w:hAnsi="Arial"/>
          <w:sz w:val="12"/>
          <w:szCs w:val="12"/>
          <w:color w:val="auto"/>
        </w:rPr>
        <w:t>advancement shall be made within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actually and reasonably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7 shall not apply to any claim made by Indemnitee for which indemnity is excluded pursuant to Section 11(b).</w:t>
      </w:r>
    </w:p>
    <w:p>
      <w:pPr>
        <w:spacing w:after="0" w:line="110" w:lineRule="exact"/>
        <w:rPr>
          <w:rFonts w:ascii="Arial" w:cs="Arial" w:eastAsia="Arial" w:hAnsi="Arial"/>
          <w:sz w:val="12"/>
          <w:szCs w:val="12"/>
          <w:b w:val="1"/>
          <w:bCs w:val="1"/>
          <w:color w:val="auto"/>
        </w:rPr>
      </w:pPr>
    </w:p>
    <w:p>
      <w:pPr>
        <w:ind w:left="1820" w:hanging="959"/>
        <w:spacing w:after="0"/>
        <w:tabs>
          <w:tab w:leader="none" w:pos="182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OTICE AND</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THER</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NDEMNIFICATION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ROCEDURES</w:t>
      </w:r>
      <w:r>
        <w:rPr>
          <w:rFonts w:ascii="Arial" w:cs="Arial" w:eastAsia="Arial" w:hAnsi="Arial"/>
          <w:sz w:val="13"/>
          <w:szCs w:val="13"/>
          <w:color w:val="auto"/>
        </w:rPr>
        <w:t>.</w:t>
      </w:r>
    </w:p>
    <w:p>
      <w:pPr>
        <w:spacing w:after="0" w:line="156" w:lineRule="exact"/>
        <w:rPr>
          <w:rFonts w:ascii="Arial" w:cs="Arial" w:eastAsia="Arial" w:hAnsi="Arial"/>
          <w:sz w:val="13"/>
          <w:szCs w:val="13"/>
          <w:b w:val="1"/>
          <w:bCs w:val="1"/>
          <w:color w:val="auto"/>
        </w:rPr>
      </w:pPr>
    </w:p>
    <w:p>
      <w:pPr>
        <w:jc w:val="both"/>
        <w:ind w:right="20" w:firstLine="1731"/>
        <w:spacing w:after="0" w:line="252" w:lineRule="auto"/>
        <w:tabs>
          <w:tab w:leader="none" w:pos="3202" w:val="left"/>
        </w:tabs>
        <w:numPr>
          <w:ilvl w:val="1"/>
          <w:numId w:val="9"/>
        </w:numPr>
        <w:rPr>
          <w:rFonts w:ascii="Arial" w:cs="Arial" w:eastAsia="Arial" w:hAnsi="Arial"/>
          <w:sz w:val="14"/>
          <w:szCs w:val="14"/>
          <w:b w:val="1"/>
          <w:bCs w:val="1"/>
          <w:color w:val="auto"/>
        </w:rPr>
      </w:pPr>
      <w:r>
        <w:rPr>
          <w:rFonts w:ascii="Arial" w:cs="Arial" w:eastAsia="Arial" w:hAnsi="Arial"/>
          <w:sz w:val="13"/>
          <w:szCs w:val="13"/>
          <w:b w:val="1"/>
          <w:bCs w:val="1"/>
          <w:color w:val="auto"/>
        </w:rPr>
        <w:t>Notification of Proceeding</w:t>
      </w:r>
      <w:r>
        <w:rPr>
          <w:rFonts w:ascii="Arial" w:cs="Arial" w:eastAsia="Arial" w:hAnsi="Arial"/>
          <w:sz w:val="13"/>
          <w:szCs w:val="13"/>
          <w:color w:val="auto"/>
        </w:rPr>
        <w:t>. Indemnitee will notify the Company in writing promptly upon being served with any summons, citation, subpoena,</w:t>
      </w:r>
      <w:r>
        <w:rPr>
          <w:rFonts w:ascii="Arial" w:cs="Arial" w:eastAsia="Arial" w:hAnsi="Arial"/>
          <w:sz w:val="13"/>
          <w:szCs w:val="13"/>
          <w:b w:val="1"/>
          <w:bCs w:val="1"/>
          <w:color w:val="auto"/>
        </w:rPr>
        <w:t xml:space="preserve"> </w:t>
      </w:r>
      <w:r>
        <w:rPr>
          <w:rFonts w:ascii="Arial" w:cs="Arial" w:eastAsia="Arial" w:hAnsi="Arial"/>
          <w:sz w:val="13"/>
          <w:szCs w:val="13"/>
          <w:color w:val="auto"/>
        </w:rPr>
        <w:t>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Indemnitee under this Agreement or otherwise.</w:t>
      </w:r>
    </w:p>
    <w:p>
      <w:pPr>
        <w:spacing w:after="0" w:line="129" w:lineRule="exact"/>
        <w:rPr>
          <w:rFonts w:ascii="Arial" w:cs="Arial" w:eastAsia="Arial" w:hAnsi="Arial"/>
          <w:sz w:val="14"/>
          <w:szCs w:val="14"/>
          <w:b w:val="1"/>
          <w:bCs w:val="1"/>
          <w:color w:val="auto"/>
        </w:rPr>
      </w:pPr>
    </w:p>
    <w:p>
      <w:pPr>
        <w:ind w:right="20" w:firstLine="1731"/>
        <w:spacing w:after="0" w:line="259" w:lineRule="auto"/>
        <w:tabs>
          <w:tab w:leader="none" w:pos="3210" w:val="left"/>
        </w:tabs>
        <w:numPr>
          <w:ilvl w:val="1"/>
          <w:numId w:val="9"/>
        </w:numPr>
        <w:rPr>
          <w:rFonts w:ascii="Arial" w:cs="Arial" w:eastAsia="Arial" w:hAnsi="Arial"/>
          <w:sz w:val="14"/>
          <w:szCs w:val="14"/>
          <w:b w:val="1"/>
          <w:bCs w:val="1"/>
          <w:color w:val="auto"/>
        </w:rPr>
      </w:pPr>
      <w:r>
        <w:rPr>
          <w:rFonts w:ascii="Arial" w:cs="Arial" w:eastAsia="Arial" w:hAnsi="Arial"/>
          <w:sz w:val="13"/>
          <w:szCs w:val="13"/>
          <w:b w:val="1"/>
          <w:bCs w:val="1"/>
          <w:color w:val="auto"/>
        </w:rPr>
        <w:t>Request for Indemnification and Indemnification Payments</w:t>
      </w:r>
      <w:r>
        <w:rPr>
          <w:rFonts w:ascii="Arial" w:cs="Arial" w:eastAsia="Arial" w:hAnsi="Arial"/>
          <w:sz w:val="13"/>
          <w:szCs w:val="13"/>
          <w:color w:val="auto"/>
        </w:rPr>
        <w:t>. Indemnitee shall notify the Company promptly in writing upon receiving notice of any</w:t>
      </w:r>
      <w:r>
        <w:rPr>
          <w:rFonts w:ascii="Arial" w:cs="Arial" w:eastAsia="Arial" w:hAnsi="Arial"/>
          <w:sz w:val="13"/>
          <w:szCs w:val="13"/>
          <w:b w:val="1"/>
          <w:bCs w:val="1"/>
          <w:color w:val="auto"/>
        </w:rPr>
        <w:t xml:space="preserve"> </w:t>
      </w:r>
      <w:r>
        <w:rPr>
          <w:rFonts w:ascii="Arial" w:cs="Arial" w:eastAsia="Arial" w:hAnsi="Arial"/>
          <w:sz w:val="13"/>
          <w:szCs w:val="13"/>
          <w:color w:val="auto"/>
        </w:rPr>
        <w:t>demand, judgment or other requirement for payment that Indemnitee reasonably believes to be subject to indemnification under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7" w:name="page8"/>
    <w:bookmarkEnd w:id="7"/>
    <w:p>
      <w:pPr>
        <w:ind w:right="20"/>
        <w:spacing w:after="0" w:line="271" w:lineRule="auto"/>
        <w:rPr>
          <w:sz w:val="20"/>
          <w:szCs w:val="20"/>
          <w:color w:val="auto"/>
        </w:rPr>
      </w:pPr>
      <w:r>
        <w:rPr>
          <w:rFonts w:ascii="Arial" w:cs="Arial" w:eastAsia="Arial" w:hAnsi="Arial"/>
          <w:sz w:val="13"/>
          <w:szCs w:val="13"/>
          <w:color w:val="auto"/>
        </w:rPr>
        <w:t>terms of this Agreement and shall request payment thereof by the Company. Indemnification payments requested by Indemnitee under Section 3 hereof shall be made by the Company no later than 60 days after receipt of the written request of Indemnitee. Claims for advancement of expenses shall be made under the provisions of Section 7 herein.</w:t>
      </w:r>
    </w:p>
    <w:p>
      <w:pPr>
        <w:spacing w:after="0" w:line="117" w:lineRule="exact"/>
        <w:rPr>
          <w:sz w:val="20"/>
          <w:szCs w:val="20"/>
          <w:color w:val="auto"/>
        </w:rPr>
      </w:pPr>
    </w:p>
    <w:p>
      <w:pPr>
        <w:jc w:val="both"/>
        <w:ind w:firstLine="1731"/>
        <w:spacing w:after="0" w:line="271" w:lineRule="auto"/>
        <w:tabs>
          <w:tab w:leader="none" w:pos="3194" w:val="left"/>
        </w:tabs>
        <w:numPr>
          <w:ilvl w:val="0"/>
          <w:numId w:val="10"/>
        </w:numPr>
        <w:rPr>
          <w:rFonts w:ascii="Arial" w:cs="Arial" w:eastAsia="Arial" w:hAnsi="Arial"/>
          <w:sz w:val="13"/>
          <w:szCs w:val="13"/>
          <w:b w:val="1"/>
          <w:bCs w:val="1"/>
          <w:color w:val="auto"/>
        </w:rPr>
      </w:pPr>
      <w:r>
        <w:rPr>
          <w:rFonts w:ascii="Arial" w:cs="Arial" w:eastAsia="Arial" w:hAnsi="Arial"/>
          <w:sz w:val="12"/>
          <w:szCs w:val="12"/>
          <w:b w:val="1"/>
          <w:bCs w:val="1"/>
          <w:color w:val="auto"/>
        </w:rPr>
        <w:t>Determination of Right to Indemnification Payments</w:t>
      </w:r>
      <w:r>
        <w:rPr>
          <w:rFonts w:ascii="Arial" w:cs="Arial" w:eastAsia="Arial" w:hAnsi="Arial"/>
          <w:sz w:val="12"/>
          <w:szCs w:val="12"/>
          <w:color w:val="auto"/>
        </w:rPr>
        <w:t>. Upon written request by Indemnitee for indemnification pursuant to Section 8(b) hereof, 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determination with respect to Indemnitee’s entitlement thereto shall be made in the specific case by one of the following four methods, which shall be at the election of the Board of Directors: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of Directors, a copy of which shall be delivered to the Indemnitee, or (4) if so directed by the Board of Directors, by the stockholders of the Company;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there has been a Change in Control, then if Indemnitee so requests in such request for indemnification pursuant to Section 8(b) hereof, such determination shall be made by Independent Counsel selected by Indemnitee and approved by the Company (which approval shall not be unreasonably withheld). For purposes hereof, disinterested directors are those members of the board of directors of the Company who are not parties to the action, suit or proceeding in respect of which indemnification is sought by Indemnitee.</w:t>
      </w:r>
    </w:p>
    <w:p>
      <w:pPr>
        <w:spacing w:after="0" w:line="120" w:lineRule="exact"/>
        <w:rPr>
          <w:rFonts w:ascii="Arial" w:cs="Arial" w:eastAsia="Arial" w:hAnsi="Arial"/>
          <w:sz w:val="13"/>
          <w:szCs w:val="13"/>
          <w:b w:val="1"/>
          <w:bCs w:val="1"/>
          <w:color w:val="auto"/>
        </w:rPr>
      </w:pPr>
    </w:p>
    <w:p>
      <w:pPr>
        <w:jc w:val="both"/>
        <w:ind w:firstLine="1731"/>
        <w:spacing w:after="0" w:line="270" w:lineRule="auto"/>
        <w:tabs>
          <w:tab w:leader="none" w:pos="3210" w:val="left"/>
        </w:tabs>
        <w:numPr>
          <w:ilvl w:val="0"/>
          <w:numId w:val="10"/>
        </w:numPr>
        <w:rPr>
          <w:rFonts w:ascii="Arial" w:cs="Arial" w:eastAsia="Arial" w:hAnsi="Arial"/>
          <w:sz w:val="13"/>
          <w:szCs w:val="13"/>
          <w:b w:val="1"/>
          <w:bCs w:val="1"/>
          <w:color w:val="auto"/>
        </w:rPr>
      </w:pPr>
      <w:r>
        <w:rPr>
          <w:rFonts w:ascii="Arial" w:cs="Arial" w:eastAsia="Arial" w:hAnsi="Arial"/>
          <w:sz w:val="12"/>
          <w:szCs w:val="12"/>
          <w:b w:val="1"/>
          <w:bCs w:val="1"/>
          <w:color w:val="auto"/>
        </w:rPr>
        <w:t>Application for Enforcement</w:t>
      </w:r>
      <w:r>
        <w:rPr>
          <w:rFonts w:ascii="Arial" w:cs="Arial" w:eastAsia="Arial" w:hAnsi="Arial"/>
          <w:sz w:val="12"/>
          <w:szCs w:val="12"/>
          <w:color w:val="auto"/>
        </w:rPr>
        <w:t>. In the event the Company (i) fails to make timely payments as set forth in Sections 7 or 8(b) above (ii) makes no</w:t>
      </w:r>
      <w:r>
        <w:rPr>
          <w:rFonts w:ascii="Arial" w:cs="Arial" w:eastAsia="Arial" w:hAnsi="Arial"/>
          <w:sz w:val="12"/>
          <w:szCs w:val="12"/>
          <w:b w:val="1"/>
          <w:bCs w:val="1"/>
          <w:color w:val="auto"/>
        </w:rPr>
        <w:t xml:space="preserve"> </w:t>
      </w:r>
      <w:r>
        <w:rPr>
          <w:rFonts w:ascii="Arial" w:cs="Arial" w:eastAsia="Arial" w:hAnsi="Arial"/>
          <w:sz w:val="12"/>
          <w:szCs w:val="12"/>
          <w:color w:val="auto"/>
        </w:rPr>
        <w:t>determination of entitlement to indemnification pursuant to Section 8(c) within 90 days after receipt by the Company of the request, or (iii) or any other person takes or threatens to take any action to declare this Agreement void or unenforceable, or institutes any litigation or other action or Proceeding designed to deny, or recover from, Indemnitee the benefits provided or intended to be provided to Indemnitee hereunder, Indemnitee shall have the right to apply to any court of competent jurisdiction for the purpose of enforcing Indemnitee’s right to indemnification or advancement of expenses pursuant to this Agreement. In making a determination with respect to entitlement to indemnification hereunder, the persons or persons or entity making such determination, shall, to the fullest extent not prohibited by law, presume that Indemnitee is entitled to indemnification under this Agreement if Indemnitee has submitted a request for indemnification in accordance with Sections 7 or 8(b) above.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stockholders or Independent Counsel), or lack thereof, that Indemnitee is not entitled to indemnification hereunder, shall not be a defense by the Company to the action nor create any presumption that Indemnitee is not entitled to indemnification or advancement of expenses hereunder.</w:t>
      </w:r>
    </w:p>
    <w:p>
      <w:pPr>
        <w:spacing w:after="0" w:line="119" w:lineRule="exact"/>
        <w:rPr>
          <w:rFonts w:ascii="Arial" w:cs="Arial" w:eastAsia="Arial" w:hAnsi="Arial"/>
          <w:sz w:val="13"/>
          <w:szCs w:val="13"/>
          <w:b w:val="1"/>
          <w:bCs w:val="1"/>
          <w:color w:val="auto"/>
        </w:rPr>
      </w:pPr>
    </w:p>
    <w:p>
      <w:pPr>
        <w:jc w:val="both"/>
        <w:ind w:firstLine="1731"/>
        <w:spacing w:after="0" w:line="249" w:lineRule="auto"/>
        <w:tabs>
          <w:tab w:leader="none" w:pos="3194" w:val="left"/>
        </w:tabs>
        <w:numPr>
          <w:ilvl w:val="0"/>
          <w:numId w:val="10"/>
        </w:numPr>
        <w:rPr>
          <w:rFonts w:ascii="Arial" w:cs="Arial" w:eastAsia="Arial" w:hAnsi="Arial"/>
          <w:sz w:val="14"/>
          <w:szCs w:val="14"/>
          <w:b w:val="1"/>
          <w:bCs w:val="1"/>
          <w:color w:val="auto"/>
        </w:rPr>
      </w:pPr>
      <w:r>
        <w:rPr>
          <w:rFonts w:ascii="Arial" w:cs="Arial" w:eastAsia="Arial" w:hAnsi="Arial"/>
          <w:sz w:val="13"/>
          <w:szCs w:val="13"/>
          <w:b w:val="1"/>
          <w:bCs w:val="1"/>
          <w:color w:val="auto"/>
        </w:rPr>
        <w:t>Termination of Proceeding</w:t>
      </w:r>
      <w:r>
        <w:rPr>
          <w:rFonts w:ascii="Arial" w:cs="Arial" w:eastAsia="Arial" w:hAnsi="Arial"/>
          <w:sz w:val="13"/>
          <w:szCs w:val="13"/>
          <w:color w:val="auto"/>
        </w:rPr>
        <w:t>. The termination of any Proceeding or any claim, issue or matter therein, by judgment, order, settlement or conviction or</w:t>
      </w:r>
      <w:r>
        <w:rPr>
          <w:rFonts w:ascii="Arial" w:cs="Arial" w:eastAsia="Arial" w:hAnsi="Arial"/>
          <w:sz w:val="13"/>
          <w:szCs w:val="13"/>
          <w:b w:val="1"/>
          <w:bCs w:val="1"/>
          <w:color w:val="auto"/>
        </w:rPr>
        <w:t xml:space="preserve"> </w:t>
      </w:r>
      <w:r>
        <w:rPr>
          <w:rFonts w:ascii="Arial" w:cs="Arial" w:eastAsia="Arial" w:hAnsi="Arial"/>
          <w:sz w:val="13"/>
          <w:szCs w:val="13"/>
          <w:color w:val="auto"/>
        </w:rPr>
        <w:t>upon a plea of nolo contendere or its equivalent, will not (except as otherwise expressly provided in this Agreement) or itself adversely affect the right of Indemnitee to indemnification or create a presumption that Indemnitee did not act in good faith and in a manner which he reasonably believed to be in or not opposed to the bests interests of the Company, or, with respect to any criminal Proceeding, that Indemnitee had reasonable cause to believe that his conduct was unlawful.</w:t>
      </w:r>
    </w:p>
    <w:p>
      <w:pPr>
        <w:spacing w:after="0" w:line="132" w:lineRule="exact"/>
        <w:rPr>
          <w:rFonts w:ascii="Arial" w:cs="Arial" w:eastAsia="Arial" w:hAnsi="Arial"/>
          <w:sz w:val="14"/>
          <w:szCs w:val="14"/>
          <w:b w:val="1"/>
          <w:bCs w:val="1"/>
          <w:color w:val="auto"/>
        </w:rPr>
      </w:pPr>
    </w:p>
    <w:p>
      <w:pPr>
        <w:jc w:val="both"/>
        <w:ind w:firstLine="1731"/>
        <w:spacing w:after="0" w:line="252" w:lineRule="auto"/>
        <w:tabs>
          <w:tab w:leader="none" w:pos="3178" w:val="left"/>
        </w:tabs>
        <w:numPr>
          <w:ilvl w:val="0"/>
          <w:numId w:val="10"/>
        </w:numPr>
        <w:rPr>
          <w:rFonts w:ascii="Arial" w:cs="Arial" w:eastAsia="Arial" w:hAnsi="Arial"/>
          <w:sz w:val="14"/>
          <w:szCs w:val="14"/>
          <w:b w:val="1"/>
          <w:bCs w:val="1"/>
          <w:color w:val="auto"/>
        </w:rPr>
      </w:pPr>
      <w:r>
        <w:rPr>
          <w:rFonts w:ascii="Arial" w:cs="Arial" w:eastAsia="Arial" w:hAnsi="Arial"/>
          <w:sz w:val="13"/>
          <w:szCs w:val="13"/>
          <w:b w:val="1"/>
          <w:bCs w:val="1"/>
          <w:color w:val="auto"/>
        </w:rPr>
        <w:t xml:space="preserve">Reliance as Safe Harbor. </w:t>
      </w:r>
      <w:r>
        <w:rPr>
          <w:rFonts w:ascii="Arial" w:cs="Arial" w:eastAsia="Arial" w:hAnsi="Arial"/>
          <w:sz w:val="13"/>
          <w:szCs w:val="13"/>
          <w:color w:val="auto"/>
        </w:rPr>
        <w:t>For purposes of any determination of good faith, Indemnitee shall be deemed to have acted in good faith if Indemnitee's</w:t>
      </w:r>
      <w:r>
        <w:rPr>
          <w:rFonts w:ascii="Arial" w:cs="Arial" w:eastAsia="Arial" w:hAnsi="Arial"/>
          <w:sz w:val="13"/>
          <w:szCs w:val="13"/>
          <w:b w:val="1"/>
          <w:bCs w:val="1"/>
          <w:color w:val="auto"/>
        </w:rPr>
        <w:t xml:space="preserve"> </w:t>
      </w:r>
      <w:r>
        <w:rPr>
          <w:rFonts w:ascii="Arial" w:cs="Arial" w:eastAsia="Arial" w:hAnsi="Arial"/>
          <w:sz w:val="13"/>
          <w:szCs w:val="13"/>
          <w:color w:val="auto"/>
        </w:rPr>
        <w:t>action is based on the records or books of account of the Company or other corporation, limited liability company, partnership, joint venture, trust employee benefit plan or other enterprise of which Indemnitee was serving as a director, officer, employee, agent or fiduciary, including financial statements, or on information supplied to Indemnitee by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13"/>
          <w:szCs w:val="13"/>
          <w:color w:val="auto"/>
        </w:rPr>
        <w:t>the officers of the Company or other corporation, limited liability company, partnership, joint venture, trust employee benefit plan or other enterprise of which Indemnitee was serving as a director, officer, employee, agent or fiduciary in the course of their duties, or on the advice of legal counsel for the enterprise or on information or records given or reports made to the Company or other corporation, limited liability company, partnership, joint venture, trust employee benefit plan or other enterprise of which Indemnitee was serving as a director, officer, employee, agent or fiduciary by an independent certified public accountant or by an appraiser or other expert selected with the reasonable care by the Company or other corporation, limited liability company, partnership, joint venture, trust employee benefit plan or other enterprise of which Indemnitee was serving as a director, officer, employee, agent or fiduciary. The provisions of this Section 8(f) shall not be deemed to be exclusive or to limit in any way the other circumstances in which the Indemnitee may be deemed to have met the applicable standard of conduct set forth in this Agreement.</w:t>
      </w:r>
    </w:p>
    <w:p>
      <w:pPr>
        <w:spacing w:after="0" w:line="133" w:lineRule="exact"/>
        <w:rPr>
          <w:sz w:val="20"/>
          <w:szCs w:val="20"/>
          <w:color w:val="auto"/>
        </w:rPr>
      </w:pPr>
    </w:p>
    <w:p>
      <w:pPr>
        <w:jc w:val="both"/>
        <w:ind w:firstLine="1731"/>
        <w:spacing w:after="0" w:line="252" w:lineRule="auto"/>
        <w:tabs>
          <w:tab w:leader="none" w:pos="3202" w:val="left"/>
        </w:tabs>
        <w:numPr>
          <w:ilvl w:val="0"/>
          <w:numId w:val="11"/>
        </w:numPr>
        <w:rPr>
          <w:rFonts w:ascii="Arial" w:cs="Arial" w:eastAsia="Arial" w:hAnsi="Arial"/>
          <w:sz w:val="14"/>
          <w:szCs w:val="14"/>
          <w:b w:val="1"/>
          <w:bCs w:val="1"/>
          <w:color w:val="auto"/>
        </w:rPr>
      </w:pPr>
      <w:r>
        <w:rPr>
          <w:rFonts w:ascii="Arial" w:cs="Arial" w:eastAsia="Arial" w:hAnsi="Arial"/>
          <w:sz w:val="13"/>
          <w:szCs w:val="13"/>
          <w:b w:val="1"/>
          <w:bCs w:val="1"/>
          <w:color w:val="auto"/>
        </w:rPr>
        <w:t xml:space="preserve">Actions of Others. </w:t>
      </w:r>
      <w:r>
        <w:rPr>
          <w:rFonts w:ascii="Arial" w:cs="Arial" w:eastAsia="Arial" w:hAnsi="Arial"/>
          <w:sz w:val="13"/>
          <w:szCs w:val="13"/>
          <w:color w:val="auto"/>
        </w:rPr>
        <w:t>The knowledge and/or actions, or failure to act, of any other director, officer, agent or employee of the Company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 limited liability company, partnership, joint venture, trust employee benefit plan or other enterprise of which Indemnitee was serving as a director, officer, employee, agent or fiduciary shall not be imputed to Indemnitee for purposes of determining the right to indemnification under this Agreement.</w:t>
      </w:r>
    </w:p>
    <w:p>
      <w:pPr>
        <w:spacing w:after="0" w:line="120" w:lineRule="exact"/>
        <w:rPr>
          <w:sz w:val="20"/>
          <w:szCs w:val="20"/>
          <w:color w:val="auto"/>
        </w:rPr>
      </w:pPr>
    </w:p>
    <w:p>
      <w:pPr>
        <w:ind w:left="2320" w:hanging="589"/>
        <w:spacing w:after="0"/>
        <w:tabs>
          <w:tab w:leader="none" w:pos="23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Remedies:</w:t>
      </w:r>
    </w:p>
    <w:p>
      <w:pPr>
        <w:spacing w:after="0" w:line="151" w:lineRule="exact"/>
        <w:rPr>
          <w:rFonts w:ascii="Arial" w:cs="Arial" w:eastAsia="Arial" w:hAnsi="Arial"/>
          <w:sz w:val="13"/>
          <w:szCs w:val="13"/>
          <w:b w:val="1"/>
          <w:bCs w:val="1"/>
          <w:color w:val="auto"/>
        </w:rPr>
      </w:pPr>
    </w:p>
    <w:p>
      <w:pPr>
        <w:jc w:val="both"/>
        <w:ind w:left="2600" w:firstLine="1"/>
        <w:spacing w:after="0" w:line="258" w:lineRule="auto"/>
        <w:tabs>
          <w:tab w:leader="none" w:pos="2776" w:val="left"/>
        </w:tabs>
        <w:numPr>
          <w:ilvl w:val="1"/>
          <w:numId w:val="12"/>
        </w:numPr>
        <w:rPr>
          <w:rFonts w:ascii="Arial" w:cs="Arial" w:eastAsia="Arial" w:hAnsi="Arial"/>
          <w:sz w:val="13"/>
          <w:szCs w:val="13"/>
          <w:color w:val="auto"/>
        </w:rPr>
      </w:pPr>
      <w:r>
        <w:rPr>
          <w:rFonts w:ascii="Arial" w:cs="Arial" w:eastAsia="Arial" w:hAnsi="Arial"/>
          <w:sz w:val="13"/>
          <w:szCs w:val="13"/>
          <w:color w:val="auto"/>
        </w:rPr>
        <w:t>In the event that a determination has been made pursuant to Section 8(c) of this Agreement that Indemnitee is not entitled to indemnification, the judicial proceeding commenced pursuant to this Section 8 will be conducted in all respects as a de novo trial on the merits, and Indemnitee will not be prejudiced by reason of the adverse determination under Section 8(c).</w:t>
      </w:r>
    </w:p>
    <w:p>
      <w:pPr>
        <w:spacing w:after="0" w:line="120" w:lineRule="exact"/>
        <w:rPr>
          <w:rFonts w:ascii="Arial" w:cs="Arial" w:eastAsia="Arial" w:hAnsi="Arial"/>
          <w:sz w:val="13"/>
          <w:szCs w:val="13"/>
          <w:color w:val="auto"/>
        </w:rPr>
      </w:pPr>
    </w:p>
    <w:p>
      <w:pPr>
        <w:jc w:val="both"/>
        <w:ind w:left="2600" w:firstLine="1"/>
        <w:spacing w:after="0" w:line="254" w:lineRule="auto"/>
        <w:tabs>
          <w:tab w:leader="none" w:pos="2801" w:val="left"/>
        </w:tabs>
        <w:numPr>
          <w:ilvl w:val="1"/>
          <w:numId w:val="12"/>
        </w:numPr>
        <w:rPr>
          <w:rFonts w:ascii="Arial" w:cs="Arial" w:eastAsia="Arial" w:hAnsi="Arial"/>
          <w:sz w:val="13"/>
          <w:szCs w:val="13"/>
          <w:color w:val="auto"/>
        </w:rPr>
      </w:pPr>
      <w:r>
        <w:rPr>
          <w:rFonts w:ascii="Arial" w:cs="Arial" w:eastAsia="Arial" w:hAnsi="Arial"/>
          <w:sz w:val="13"/>
          <w:szCs w:val="13"/>
          <w:color w:val="auto"/>
        </w:rPr>
        <w:t>If a determination has been made pursuant to Section 8(c) that Indemnitee is entitled to indemnification, the Company will be bound by such determination in any judicial proceeding commenced pursuant to this Section 8, absent (x) a misstatement by Indemnitee of a material fact or an omission of a material fact necessary to make Indemnitee’s misstatement not materially misleading in connection with the application for indemnification, or (y) a prohibition of such indemnification under applicable law.</w:t>
      </w:r>
    </w:p>
    <w:p>
      <w:pPr>
        <w:spacing w:after="0" w:line="123" w:lineRule="exact"/>
        <w:rPr>
          <w:rFonts w:ascii="Arial" w:cs="Arial" w:eastAsia="Arial" w:hAnsi="Arial"/>
          <w:sz w:val="13"/>
          <w:szCs w:val="13"/>
          <w:color w:val="auto"/>
        </w:rPr>
      </w:pPr>
    </w:p>
    <w:p>
      <w:pPr>
        <w:jc w:val="both"/>
        <w:ind w:left="2600" w:firstLine="1"/>
        <w:spacing w:after="0" w:line="282" w:lineRule="auto"/>
        <w:tabs>
          <w:tab w:leader="none" w:pos="2848" w:val="left"/>
        </w:tabs>
        <w:numPr>
          <w:ilvl w:val="1"/>
          <w:numId w:val="12"/>
        </w:numPr>
        <w:rPr>
          <w:rFonts w:ascii="Arial" w:cs="Arial" w:eastAsia="Arial" w:hAnsi="Arial"/>
          <w:sz w:val="12"/>
          <w:szCs w:val="12"/>
          <w:color w:val="auto"/>
        </w:rPr>
      </w:pPr>
      <w:r>
        <w:rPr>
          <w:rFonts w:ascii="Arial" w:cs="Arial" w:eastAsia="Arial" w:hAnsi="Arial"/>
          <w:sz w:val="12"/>
          <w:szCs w:val="12"/>
          <w:color w:val="auto"/>
        </w:rPr>
        <w:t>In the event that Indemnitee, pursuant to this Section 8, seeks a judicial adjudication of his or her rights under, or to recover damages for breach of, this Agreement, or to recover under any directors and officers liability insurance policies maintained by the Company, the Company will pay on his or her behalf, in advance, any and all expenses (of the types described in the definition of Expenses) actually and reasonably incurred by him or her in such judicial adjudication, regardless of whether Indemnitee ultimately is determined to be entitled to such indemnification, advancement of expenses, or insurance recovery.</w:t>
      </w:r>
    </w:p>
    <w:p>
      <w:pPr>
        <w:spacing w:after="0" w:line="112" w:lineRule="exact"/>
        <w:rPr>
          <w:sz w:val="20"/>
          <w:szCs w:val="20"/>
          <w:color w:val="auto"/>
        </w:rPr>
      </w:pPr>
    </w:p>
    <w:p>
      <w:pPr>
        <w:jc w:val="both"/>
        <w:ind w:firstLine="1731"/>
        <w:spacing w:after="0" w:line="249" w:lineRule="auto"/>
        <w:tabs>
          <w:tab w:leader="none" w:pos="3210" w:val="left"/>
        </w:tabs>
        <w:numPr>
          <w:ilvl w:val="0"/>
          <w:numId w:val="13"/>
        </w:numPr>
        <w:rPr>
          <w:rFonts w:ascii="Arial" w:cs="Arial" w:eastAsia="Arial" w:hAnsi="Arial"/>
          <w:sz w:val="14"/>
          <w:szCs w:val="14"/>
          <w:b w:val="1"/>
          <w:bCs w:val="1"/>
          <w:color w:val="auto"/>
        </w:rPr>
      </w:pPr>
      <w:r>
        <w:rPr>
          <w:rFonts w:ascii="Arial" w:cs="Arial" w:eastAsia="Arial" w:hAnsi="Arial"/>
          <w:sz w:val="13"/>
          <w:szCs w:val="13"/>
          <w:b w:val="1"/>
          <w:bCs w:val="1"/>
          <w:color w:val="auto"/>
        </w:rPr>
        <w:t>Indemnification of Certain Expenses</w:t>
      </w:r>
      <w:r>
        <w:rPr>
          <w:rFonts w:ascii="Arial" w:cs="Arial" w:eastAsia="Arial" w:hAnsi="Arial"/>
          <w:sz w:val="13"/>
          <w:szCs w:val="13"/>
          <w:color w:val="auto"/>
        </w:rPr>
        <w:t>. The Company will be precluded from asserting in any judicial proceeding commenced pursuant to this Section</w:t>
      </w:r>
      <w:r>
        <w:rPr>
          <w:rFonts w:ascii="Arial" w:cs="Arial" w:eastAsia="Arial" w:hAnsi="Arial"/>
          <w:sz w:val="13"/>
          <w:szCs w:val="13"/>
          <w:b w:val="1"/>
          <w:bCs w:val="1"/>
          <w:color w:val="auto"/>
        </w:rPr>
        <w:t xml:space="preserve"> </w:t>
      </w:r>
      <w:r>
        <w:rPr>
          <w:rFonts w:ascii="Arial" w:cs="Arial" w:eastAsia="Arial" w:hAnsi="Arial"/>
          <w:sz w:val="13"/>
          <w:szCs w:val="13"/>
          <w:color w:val="auto"/>
        </w:rPr>
        <w:t>8 that the procedures and presumptions of this Agreement are not valid, binding, and enforceable, and will stipulate in any such court that the Company is bound by all the provisions of this Agreement. The Company shall indemnify Indemnitee against all expenses incurred in connection with any hearing or proceeding under this Section 8 unless the Company prevails in such hearing or proceeding on the merits in all material respects.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9" w:name="page10"/>
    <w:bookmarkEnd w:id="9"/>
    <w:p>
      <w:pPr>
        <w:jc w:val="both"/>
        <w:ind w:firstLine="861"/>
        <w:spacing w:after="0" w:line="275" w:lineRule="auto"/>
        <w:tabs>
          <w:tab w:leader="none" w:pos="1832"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A</w:t>
      </w:r>
      <w:r>
        <w:rPr>
          <w:rFonts w:ascii="Arial" w:cs="Arial" w:eastAsia="Arial" w:hAnsi="Arial"/>
          <w:sz w:val="7"/>
          <w:szCs w:val="7"/>
          <w:b w:val="1"/>
          <w:bCs w:val="1"/>
          <w:color w:val="auto"/>
        </w:rPr>
        <w:t>SSUMPTION OF</w:t>
      </w:r>
      <w:r>
        <w:rPr>
          <w:rFonts w:ascii="Arial" w:cs="Arial" w:eastAsia="Arial" w:hAnsi="Arial"/>
          <w:sz w:val="12"/>
          <w:szCs w:val="12"/>
          <w:b w:val="1"/>
          <w:bCs w:val="1"/>
          <w:color w:val="auto"/>
        </w:rPr>
        <w:t xml:space="preserve"> D</w:t>
      </w:r>
      <w:r>
        <w:rPr>
          <w:rFonts w:ascii="Arial" w:cs="Arial" w:eastAsia="Arial" w:hAnsi="Arial"/>
          <w:sz w:val="7"/>
          <w:szCs w:val="7"/>
          <w:b w:val="1"/>
          <w:bCs w:val="1"/>
          <w:color w:val="auto"/>
        </w:rPr>
        <w:t>EFENSE</w:t>
      </w:r>
      <w:r>
        <w:rPr>
          <w:rFonts w:ascii="Arial" w:cs="Arial" w:eastAsia="Arial" w:hAnsi="Arial"/>
          <w:sz w:val="12"/>
          <w:szCs w:val="12"/>
          <w:color w:val="auto"/>
        </w:rPr>
        <w:t>. In the event the Company shall be obligated to pay the expenses of Indemnitee in respect of any proceeding, the Company, if appropriate, shall be</w:t>
      </w:r>
      <w:r>
        <w:rPr>
          <w:rFonts w:ascii="Arial" w:cs="Arial" w:eastAsia="Arial" w:hAnsi="Arial"/>
          <w:sz w:val="12"/>
          <w:szCs w:val="12"/>
          <w:b w:val="1"/>
          <w:bCs w:val="1"/>
          <w:color w:val="auto"/>
        </w:rPr>
        <w:t xml:space="preserve"> </w:t>
      </w:r>
      <w:r>
        <w:rPr>
          <w:rFonts w:ascii="Arial" w:cs="Arial" w:eastAsia="Arial" w:hAnsi="Arial"/>
          <w:sz w:val="12"/>
          <w:szCs w:val="12"/>
          <w:color w:val="auto"/>
        </w:rPr>
        <w:t>entitled to assume the defense of such proceeding, or to participate to the extent permissible in such proceeding, with counsel reasonably acceptable to Indemnitee, upon delivery of written notice of its election to do so.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or Indemnitee delivers a written notice to the Company stating that such counsel or Indemnitee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104" w:lineRule="exact"/>
        <w:rPr>
          <w:rFonts w:ascii="Arial" w:cs="Arial" w:eastAsia="Arial" w:hAnsi="Arial"/>
          <w:sz w:val="12"/>
          <w:szCs w:val="12"/>
          <w:b w:val="1"/>
          <w:bCs w:val="1"/>
          <w:color w:val="auto"/>
        </w:rPr>
      </w:pPr>
    </w:p>
    <w:p>
      <w:pPr>
        <w:jc w:val="both"/>
        <w:ind w:firstLine="861"/>
        <w:spacing w:after="0" w:line="272" w:lineRule="auto"/>
        <w:tabs>
          <w:tab w:leader="none" w:pos="1898" w:val="left"/>
        </w:tabs>
        <w:numPr>
          <w:ilvl w:val="0"/>
          <w:numId w:val="14"/>
        </w:numPr>
        <w:rPr>
          <w:rFonts w:ascii="Arial" w:cs="Arial" w:eastAsia="Arial" w:hAnsi="Arial"/>
          <w:sz w:val="12"/>
          <w:szCs w:val="12"/>
          <w:b w:val="1"/>
          <w:bCs w:val="1"/>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NSURANCE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2"/>
          <w:szCs w:val="12"/>
          <w:color w:val="auto"/>
        </w:rPr>
        <w:t>The Company shall obtain and maintain a policy or policies of directors and officers liability insurance customary for similarly situated companies in a sufficient</w:t>
      </w:r>
      <w:r>
        <w:rPr>
          <w:rFonts w:ascii="Arial" w:cs="Arial" w:eastAsia="Arial" w:hAnsi="Arial"/>
          <w:sz w:val="13"/>
          <w:szCs w:val="13"/>
          <w:b w:val="1"/>
          <w:bCs w:val="1"/>
          <w:color w:val="auto"/>
        </w:rPr>
        <w:t xml:space="preserve"> </w:t>
      </w:r>
      <w:r>
        <w:rPr>
          <w:rFonts w:ascii="Arial" w:cs="Arial" w:eastAsia="Arial" w:hAnsi="Arial"/>
          <w:sz w:val="12"/>
          <w:szCs w:val="12"/>
          <w:color w:val="auto"/>
        </w:rPr>
        <w:t>amount as determined by the Board of Directors, with reputable insurance companies providing the Indemnitee, other officers of the Company and members of the Board of Directors with coverage for losses from wrongful acts, and to ensure the Company’s performance of its indemnification obligations under this Agreement. At the time of the receipt of a notice of a claim pursuant to the terms hereof,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If, for any reason, the Company ceases to maintain the insurance required by this Section 10, the Company, at its own expense, shall purchase “tail” directors and officers liability coverage for the benefit of past, present, and future directors, officers, and employees of the Company or of any other corporation, partnership, joint venture, trust, employee benefit plan or other enterprise which such person serves at the request of the Company. The tail coverage shall be in effect for a policy period of no less than six (6) years from the date that directors and officers’ coverage is no longer maintained. The “tail” policy shall provide full prior acts coverage and shall provide policy limits, terms, conditions, and scope of coverage that are at least as favorable as the Company’s directors’ and officers’ liability insurance policies in effect as of the effective date of this Agreement.</w:t>
      </w:r>
    </w:p>
    <w:p>
      <w:pPr>
        <w:spacing w:after="0" w:line="113" w:lineRule="exact"/>
        <w:rPr>
          <w:rFonts w:ascii="Arial" w:cs="Arial" w:eastAsia="Arial" w:hAnsi="Arial"/>
          <w:sz w:val="12"/>
          <w:szCs w:val="12"/>
          <w:b w:val="1"/>
          <w:bCs w:val="1"/>
          <w:color w:val="auto"/>
        </w:rPr>
      </w:pPr>
    </w:p>
    <w:p>
      <w:pPr>
        <w:ind w:left="1880" w:hanging="1019"/>
        <w:spacing w:after="0"/>
        <w:tabs>
          <w:tab w:leader="none" w:pos="18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XCEPTIONS</w:t>
      </w:r>
      <w:r>
        <w:rPr>
          <w:rFonts w:ascii="Arial" w:cs="Arial" w:eastAsia="Arial" w:hAnsi="Arial"/>
          <w:sz w:val="13"/>
          <w:szCs w:val="13"/>
          <w:color w:val="auto"/>
        </w:rPr>
        <w:t>.</w:t>
      </w:r>
    </w:p>
    <w:p>
      <w:pPr>
        <w:spacing w:after="0" w:line="156" w:lineRule="exact"/>
        <w:rPr>
          <w:rFonts w:ascii="Arial" w:cs="Arial" w:eastAsia="Arial" w:hAnsi="Arial"/>
          <w:sz w:val="13"/>
          <w:szCs w:val="13"/>
          <w:b w:val="1"/>
          <w:bCs w:val="1"/>
          <w:color w:val="auto"/>
        </w:rPr>
      </w:pPr>
    </w:p>
    <w:p>
      <w:pPr>
        <w:jc w:val="both"/>
        <w:ind w:firstLine="1731"/>
        <w:spacing w:after="0" w:line="270" w:lineRule="auto"/>
        <w:tabs>
          <w:tab w:leader="none" w:pos="3202" w:val="left"/>
        </w:tabs>
        <w:numPr>
          <w:ilvl w:val="1"/>
          <w:numId w:val="14"/>
        </w:numPr>
        <w:rPr>
          <w:rFonts w:ascii="Arial" w:cs="Arial" w:eastAsia="Arial" w:hAnsi="Arial"/>
          <w:sz w:val="13"/>
          <w:szCs w:val="13"/>
          <w:b w:val="1"/>
          <w:bCs w:val="1"/>
          <w:color w:val="auto"/>
        </w:rPr>
      </w:pPr>
      <w:r>
        <w:rPr>
          <w:rFonts w:ascii="Arial" w:cs="Arial" w:eastAsia="Arial" w:hAnsi="Arial"/>
          <w:sz w:val="12"/>
          <w:szCs w:val="12"/>
          <w:b w:val="1"/>
          <w:bCs w:val="1"/>
          <w:color w:val="auto"/>
        </w:rPr>
        <w:t>Certain Matters</w:t>
      </w:r>
      <w:r>
        <w:rPr>
          <w:rFonts w:ascii="Arial" w:cs="Arial" w:eastAsia="Arial" w:hAnsi="Arial"/>
          <w:sz w:val="12"/>
          <w:szCs w:val="12"/>
          <w:color w:val="auto"/>
        </w:rPr>
        <w:t>. Any provision herein to the contrary notwithstanding, the Company shall not be obligated pursuant to the terms of this Agreement to</w:t>
      </w:r>
      <w:r>
        <w:rPr>
          <w:rFonts w:ascii="Arial" w:cs="Arial" w:eastAsia="Arial" w:hAnsi="Arial"/>
          <w:sz w:val="12"/>
          <w:szCs w:val="12"/>
          <w:b w:val="1"/>
          <w:bCs w:val="1"/>
          <w:color w:val="auto"/>
        </w:rPr>
        <w:t xml:space="preserve"> </w:t>
      </w:r>
      <w:r>
        <w:rPr>
          <w:rFonts w:ascii="Arial" w:cs="Arial" w:eastAsia="Arial" w:hAnsi="Arial"/>
          <w:sz w:val="12"/>
          <w:szCs w:val="12"/>
          <w:color w:val="auto"/>
        </w:rPr>
        <w:t>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11(d) below); (ii) a final judgment rendered against Indemnitee for an accounting, disgorgement or repayment of profits made from the purchase or sale by Indemnitee of securities of the Company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Securities Exchange Act of 1934, as amended, or other provisions of any federal, state or local statute or rules and regulations thereunder; (iii) a final judgment or other final adjudication that Indemnitee’s conduct was in bad faith, knowingly fraudulent or deliberately dishonest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0" w:name="page11"/>
    <w:bookmarkEnd w:id="10"/>
    <w:p>
      <w:pPr>
        <w:jc w:val="both"/>
        <w:spacing w:after="0" w:line="290" w:lineRule="auto"/>
        <w:rPr>
          <w:sz w:val="20"/>
          <w:szCs w:val="20"/>
          <w:color w:val="auto"/>
        </w:rPr>
      </w:pPr>
      <w:r>
        <w:rPr>
          <w:rFonts w:ascii="Arial" w:cs="Arial" w:eastAsia="Arial" w:hAnsi="Arial"/>
          <w:sz w:val="12"/>
          <w:szCs w:val="12"/>
          <w:color w:val="auto"/>
        </w:rPr>
        <w:t>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final adjudication may be reached in either the underlying proceeding or action in connection with which indemnification is sought or a separate proceeding or action to establish rights and liabilities under this Agreement.</w:t>
      </w:r>
    </w:p>
    <w:p>
      <w:pPr>
        <w:spacing w:after="0" w:line="108" w:lineRule="exact"/>
        <w:rPr>
          <w:sz w:val="20"/>
          <w:szCs w:val="20"/>
          <w:color w:val="auto"/>
        </w:rPr>
      </w:pPr>
    </w:p>
    <w:p>
      <w:pPr>
        <w:jc w:val="both"/>
        <w:ind w:firstLine="1731"/>
        <w:spacing w:after="0" w:line="247" w:lineRule="auto"/>
        <w:tabs>
          <w:tab w:leader="none" w:pos="3210" w:val="left"/>
        </w:tabs>
        <w:numPr>
          <w:ilvl w:val="1"/>
          <w:numId w:val="15"/>
        </w:numPr>
        <w:rPr>
          <w:rFonts w:ascii="Arial" w:cs="Arial" w:eastAsia="Arial" w:hAnsi="Arial"/>
          <w:sz w:val="14"/>
          <w:szCs w:val="14"/>
          <w:b w:val="1"/>
          <w:bCs w:val="1"/>
          <w:color w:val="auto"/>
        </w:rPr>
      </w:pPr>
      <w:r>
        <w:rPr>
          <w:rFonts w:ascii="Arial" w:cs="Arial" w:eastAsia="Arial" w:hAnsi="Arial"/>
          <w:sz w:val="13"/>
          <w:szCs w:val="13"/>
          <w:b w:val="1"/>
          <w:bCs w:val="1"/>
          <w:color w:val="auto"/>
        </w:rPr>
        <w:t>Claims Initiated by Indemnitee</w:t>
      </w:r>
      <w:r>
        <w:rPr>
          <w:rFonts w:ascii="Arial" w:cs="Arial" w:eastAsia="Arial" w:hAnsi="Arial"/>
          <w:sz w:val="13"/>
          <w:szCs w:val="13"/>
          <w:color w:val="auto"/>
        </w:rPr>
        <w:t>. Any provision herein to the contrary notwithstanding, the Company shall not be obligated to indemnify or advance</w:t>
      </w:r>
      <w:r>
        <w:rPr>
          <w:rFonts w:ascii="Arial" w:cs="Arial" w:eastAsia="Arial" w:hAnsi="Arial"/>
          <w:sz w:val="13"/>
          <w:szCs w:val="13"/>
          <w:b w:val="1"/>
          <w:bCs w:val="1"/>
          <w:color w:val="auto"/>
        </w:rPr>
        <w:t xml:space="preserve"> </w:t>
      </w:r>
      <w:r>
        <w:rPr>
          <w:rFonts w:ascii="Arial" w:cs="Arial" w:eastAsia="Arial" w:hAnsi="Arial"/>
          <w:sz w:val="13"/>
          <w:szCs w:val="13"/>
          <w:color w:val="auto"/>
        </w:rPr>
        <w:t>expenses to Indemnitee with respect to proceedings or claims initiated or brought by Indemnitee against the Company or its directors, officers, employees or other agents and not by way of defense, except (i) with respect to proceedings brought to establish or enforce a right to indemnification under this Agreement or under any other agreement, provision in the Bylaws or Certificate of Incorporation or applicable law, (ii) with respect to any and all expenses actually and reasonably incurred by any directors or officer in pursing recovery under any directors and officers liability insurance policies maintained by the Company to the extent that the Company fails or refuses to acknowledge or accept the director’s or officer’s coverage rights under such policy or (iii)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35" w:lineRule="exact"/>
        <w:rPr>
          <w:rFonts w:ascii="Arial" w:cs="Arial" w:eastAsia="Arial" w:hAnsi="Arial"/>
          <w:sz w:val="14"/>
          <w:szCs w:val="14"/>
          <w:b w:val="1"/>
          <w:bCs w:val="1"/>
          <w:color w:val="auto"/>
        </w:rPr>
      </w:pPr>
    </w:p>
    <w:p>
      <w:pPr>
        <w:jc w:val="both"/>
        <w:ind w:firstLine="1731"/>
        <w:spacing w:after="0" w:line="248" w:lineRule="auto"/>
        <w:tabs>
          <w:tab w:leader="none" w:pos="3194" w:val="left"/>
        </w:tabs>
        <w:numPr>
          <w:ilvl w:val="1"/>
          <w:numId w:val="15"/>
        </w:numPr>
        <w:rPr>
          <w:rFonts w:ascii="Arial" w:cs="Arial" w:eastAsia="Arial" w:hAnsi="Arial"/>
          <w:sz w:val="14"/>
          <w:szCs w:val="14"/>
          <w:b w:val="1"/>
          <w:bCs w:val="1"/>
          <w:color w:val="auto"/>
        </w:rPr>
      </w:pPr>
      <w:r>
        <w:rPr>
          <w:rFonts w:ascii="Arial" w:cs="Arial" w:eastAsia="Arial" w:hAnsi="Arial"/>
          <w:sz w:val="13"/>
          <w:szCs w:val="13"/>
          <w:b w:val="1"/>
          <w:bCs w:val="1"/>
          <w:color w:val="auto"/>
        </w:rPr>
        <w:t>Unauthorized Settlements</w:t>
      </w:r>
      <w:r>
        <w:rPr>
          <w:rFonts w:ascii="Arial" w:cs="Arial" w:eastAsia="Arial" w:hAnsi="Arial"/>
          <w:sz w:val="13"/>
          <w:szCs w:val="13"/>
          <w:color w:val="auto"/>
        </w:rPr>
        <w:t>. Any provision herein to the contrary notwithstanding, the Company shall not be obligated pursuant to the terms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Agreement to indemnify Indemnitee under this Agreement for any amounts paid in settlement of a proceeding effected without the Company’s written consent. Neither the Company nor Indemnitee shall unreasonably withhold, condition or delay consent to any proposed settlement;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32" w:lineRule="exact"/>
        <w:rPr>
          <w:rFonts w:ascii="Arial" w:cs="Arial" w:eastAsia="Arial" w:hAnsi="Arial"/>
          <w:sz w:val="14"/>
          <w:szCs w:val="14"/>
          <w:b w:val="1"/>
          <w:bCs w:val="1"/>
          <w:color w:val="auto"/>
        </w:rPr>
      </w:pPr>
    </w:p>
    <w:p>
      <w:pPr>
        <w:jc w:val="both"/>
        <w:ind w:firstLine="1731"/>
        <w:spacing w:after="0" w:line="248" w:lineRule="auto"/>
        <w:tabs>
          <w:tab w:leader="none" w:pos="3210" w:val="left"/>
        </w:tabs>
        <w:numPr>
          <w:ilvl w:val="1"/>
          <w:numId w:val="15"/>
        </w:numPr>
        <w:rPr>
          <w:rFonts w:ascii="Arial" w:cs="Arial" w:eastAsia="Arial" w:hAnsi="Arial"/>
          <w:sz w:val="14"/>
          <w:szCs w:val="14"/>
          <w:b w:val="1"/>
          <w:bCs w:val="1"/>
          <w:color w:val="auto"/>
        </w:rPr>
      </w:pPr>
      <w:r>
        <w:rPr>
          <w:rFonts w:ascii="Arial" w:cs="Arial" w:eastAsia="Arial" w:hAnsi="Arial"/>
          <w:sz w:val="13"/>
          <w:szCs w:val="13"/>
          <w:b w:val="1"/>
          <w:bCs w:val="1"/>
          <w:color w:val="auto"/>
        </w:rPr>
        <w:t>Securities Act Liabilities</w:t>
      </w:r>
      <w:r>
        <w:rPr>
          <w:rFonts w:ascii="Arial" w:cs="Arial" w:eastAsia="Arial" w:hAnsi="Arial"/>
          <w:sz w:val="13"/>
          <w:szCs w:val="13"/>
          <w:color w:val="auto"/>
        </w:rPr>
        <w:t>. Any provision herein to the contrary notwithstanding, the Company shall not be obligated pursuant to the terms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to indemnify Indemnitee or otherwise act in violation of any undertaking appearing in and required by the rules and regulations promulgated under the Securities Act of 1933, as amended (the “</w:t>
      </w:r>
      <w:r>
        <w:rPr>
          <w:rFonts w:ascii="Arial" w:cs="Arial" w:eastAsia="Arial" w:hAnsi="Arial"/>
          <w:sz w:val="13"/>
          <w:szCs w:val="13"/>
          <w:b w:val="1"/>
          <w:bCs w:val="1"/>
          <w:i w:val="1"/>
          <w:iCs w:val="1"/>
          <w:color w:val="auto"/>
        </w:rPr>
        <w:t>Act</w:t>
      </w:r>
      <w:r>
        <w:rPr>
          <w:rFonts w:ascii="Arial" w:cs="Arial" w:eastAsia="Arial" w:hAnsi="Arial"/>
          <w:sz w:val="13"/>
          <w:szCs w:val="13"/>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23" w:lineRule="exact"/>
        <w:rPr>
          <w:rFonts w:ascii="Arial" w:cs="Arial" w:eastAsia="Arial" w:hAnsi="Arial"/>
          <w:sz w:val="14"/>
          <w:szCs w:val="14"/>
          <w:b w:val="1"/>
          <w:bCs w:val="1"/>
          <w:color w:val="auto"/>
        </w:rPr>
      </w:pPr>
    </w:p>
    <w:p>
      <w:pPr>
        <w:jc w:val="both"/>
        <w:ind w:right="20" w:firstLine="861"/>
        <w:spacing w:after="0" w:line="256" w:lineRule="auto"/>
        <w:tabs>
          <w:tab w:leader="none" w:pos="1898"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ONEXCLUSIVITY 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URVIVAL OF</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IGHTS</w:t>
      </w:r>
      <w:r>
        <w:rPr>
          <w:rFonts w:ascii="Arial" w:cs="Arial" w:eastAsia="Arial" w:hAnsi="Arial"/>
          <w:sz w:val="13"/>
          <w:szCs w:val="13"/>
          <w:color w:val="auto"/>
        </w:rPr>
        <w:t>. The provisions for indemnification and advancement of expenses set forth in this Agreement shall not be deemed exclusive of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rights which Indemnitee may at any time be entitled under any provision of applicable law, the Company’s Certificate of Incorporation, Bylaws or other agreements, both as to action in Indemnitee’s official capacity and Indemnitee’s action as an agent of the Company, in any court in which a proceeding is brought, and Indemnitee’s rights hereunder shall continue after Indemnitee has ceased acting as an agent of the Company and shall inure to the benefit of the heirs, executors, administrators and assigns of Indemnitee.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2"/>
          <w:szCs w:val="12"/>
          <w:color w:val="auto"/>
        </w:rPr>
        <w:t>obligations and duties of the Company to Indemnitee under this Agreement shall be binding on the Company and its successors and assigns until terminated in accordance with the terms of this Agreement.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03"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3"/>
          <w:szCs w:val="13"/>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24" w:lineRule="exact"/>
        <w:rPr>
          <w:sz w:val="20"/>
          <w:szCs w:val="20"/>
          <w:color w:val="auto"/>
        </w:rPr>
      </w:pPr>
    </w:p>
    <w:p>
      <w:pPr>
        <w:jc w:val="both"/>
        <w:ind w:firstLine="861"/>
        <w:spacing w:after="0" w:line="261" w:lineRule="auto"/>
        <w:tabs>
          <w:tab w:leader="none" w:pos="1898"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ERM</w:t>
      </w:r>
      <w:r>
        <w:rPr>
          <w:rFonts w:ascii="Arial" w:cs="Arial" w:eastAsia="Arial" w:hAnsi="Arial"/>
          <w:sz w:val="13"/>
          <w:szCs w:val="13"/>
          <w:color w:val="auto"/>
        </w:rPr>
        <w:t>. This Agreement shall continue until and terminate upon the later of: (a) five years after the date that Indemnitee shall have ceased to serve as a director, officer, employee</w:t>
      </w:r>
      <w:r>
        <w:rPr>
          <w:rFonts w:ascii="Arial" w:cs="Arial" w:eastAsia="Arial" w:hAnsi="Arial"/>
          <w:sz w:val="13"/>
          <w:szCs w:val="13"/>
          <w:b w:val="1"/>
          <w:bCs w:val="1"/>
          <w:color w:val="auto"/>
        </w:rPr>
        <w:t xml:space="preserve"> </w:t>
      </w:r>
      <w:r>
        <w:rPr>
          <w:rFonts w:ascii="Arial" w:cs="Arial" w:eastAsia="Arial" w:hAnsi="Arial"/>
          <w:sz w:val="13"/>
          <w:szCs w:val="13"/>
          <w:color w:val="auto"/>
        </w:rPr>
        <w:t>or agent of the Company; or (b) one year after the final termination of any proceeding, including any appeal then pending, in respect to which Indemnitee was granted rights of indemnification or advancement of expenses hereunder.</w:t>
      </w:r>
    </w:p>
    <w:p>
      <w:pPr>
        <w:spacing w:after="0" w:line="119" w:lineRule="exact"/>
        <w:rPr>
          <w:sz w:val="20"/>
          <w:szCs w:val="20"/>
          <w:color w:val="auto"/>
        </w:rPr>
      </w:pPr>
    </w:p>
    <w:p>
      <w:pPr>
        <w:jc w:val="both"/>
        <w:ind w:firstLine="869"/>
        <w:spacing w:after="0" w:line="290" w:lineRule="auto"/>
        <w:rPr>
          <w:sz w:val="20"/>
          <w:szCs w:val="20"/>
          <w:color w:val="auto"/>
        </w:rPr>
      </w:pPr>
      <w:r>
        <w:rPr>
          <w:rFonts w:ascii="Arial" w:cs="Arial" w:eastAsia="Arial" w:hAnsi="Arial"/>
          <w:sz w:val="12"/>
          <w:szCs w:val="12"/>
          <w:color w:val="auto"/>
        </w:rPr>
        <w:t xml:space="preserve">No legal action shall be brought and no cause of action shall be asserted by or in the right of the Company against an Indemnitee or an Indemnitee's estate, spouse, heirs, executors or personal or legal representatives after the expiration of five years from the date of accrual of such cause of action, and any claim or cause of action of the Company shall be extinguished and deemed released unless asserted by the timely filing of a legal action within such five-year period;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any shorter period of limitations is otherwise applicable to such cause of action, such shorter period shall govern.</w:t>
      </w:r>
    </w:p>
    <w:p>
      <w:pPr>
        <w:spacing w:after="0" w:line="99" w:lineRule="exact"/>
        <w:rPr>
          <w:sz w:val="20"/>
          <w:szCs w:val="20"/>
          <w:color w:val="auto"/>
        </w:rPr>
      </w:pPr>
    </w:p>
    <w:p>
      <w:pPr>
        <w:jc w:val="both"/>
        <w:ind w:firstLine="861"/>
        <w:spacing w:after="0" w:line="261" w:lineRule="auto"/>
        <w:tabs>
          <w:tab w:leader="none" w:pos="1898"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UBROGATION</w:t>
      </w:r>
      <w:r>
        <w:rPr>
          <w:rFonts w:ascii="Arial" w:cs="Arial" w:eastAsia="Arial" w:hAnsi="Arial"/>
          <w:sz w:val="13"/>
          <w:szCs w:val="13"/>
          <w:color w:val="auto"/>
        </w:rPr>
        <w:t>. In the event of payment under this Agreement, the Company shall be subrogated to the extent of such payment to all of the rights of recovery of Indemnitee, who,</w:t>
      </w:r>
      <w:r>
        <w:rPr>
          <w:rFonts w:ascii="Arial" w:cs="Arial" w:eastAsia="Arial" w:hAnsi="Arial"/>
          <w:sz w:val="13"/>
          <w:szCs w:val="13"/>
          <w:b w:val="1"/>
          <w:bCs w:val="1"/>
          <w:color w:val="auto"/>
        </w:rPr>
        <w:t xml:space="preserve"> </w:t>
      </w:r>
      <w:r>
        <w:rPr>
          <w:rFonts w:ascii="Arial" w:cs="Arial" w:eastAsia="Arial" w:hAnsi="Arial"/>
          <w:sz w:val="13"/>
          <w:szCs w:val="13"/>
          <w:color w:val="auto"/>
        </w:rPr>
        <w:t>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15" w:lineRule="exact"/>
        <w:rPr>
          <w:rFonts w:ascii="Arial" w:cs="Arial" w:eastAsia="Arial" w:hAnsi="Arial"/>
          <w:sz w:val="13"/>
          <w:szCs w:val="13"/>
          <w:b w:val="1"/>
          <w:bCs w:val="1"/>
          <w:color w:val="auto"/>
        </w:rPr>
      </w:pPr>
    </w:p>
    <w:p>
      <w:pPr>
        <w:ind w:right="20" w:firstLine="861"/>
        <w:spacing w:after="0" w:line="277" w:lineRule="auto"/>
        <w:tabs>
          <w:tab w:leader="none" w:pos="1898"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NTERPRETATION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color w:val="auto"/>
        </w:rPr>
        <w:t>. It is understood that the parties hereto intend this Agreement to be interpreted and enforced so as to provide indemnification to Indemnitee to the</w:t>
      </w:r>
      <w:r>
        <w:rPr>
          <w:rFonts w:ascii="Arial" w:cs="Arial" w:eastAsia="Arial" w:hAnsi="Arial"/>
          <w:sz w:val="13"/>
          <w:szCs w:val="13"/>
          <w:b w:val="1"/>
          <w:bCs w:val="1"/>
          <w:color w:val="auto"/>
        </w:rPr>
        <w:t xml:space="preserve"> </w:t>
      </w:r>
      <w:r>
        <w:rPr>
          <w:rFonts w:ascii="Arial" w:cs="Arial" w:eastAsia="Arial" w:hAnsi="Arial"/>
          <w:sz w:val="13"/>
          <w:szCs w:val="13"/>
          <w:color w:val="auto"/>
        </w:rPr>
        <w:t>fullest extent now or hereafter permitted by law.</w:t>
      </w:r>
    </w:p>
    <w:p>
      <w:pPr>
        <w:spacing w:after="0" w:line="104" w:lineRule="exact"/>
        <w:rPr>
          <w:rFonts w:ascii="Arial" w:cs="Arial" w:eastAsia="Arial" w:hAnsi="Arial"/>
          <w:sz w:val="13"/>
          <w:szCs w:val="13"/>
          <w:b w:val="1"/>
          <w:bCs w:val="1"/>
          <w:color w:val="auto"/>
        </w:rPr>
      </w:pPr>
    </w:p>
    <w:p>
      <w:pPr>
        <w:jc w:val="both"/>
        <w:ind w:firstLine="861"/>
        <w:spacing w:after="0" w:line="256" w:lineRule="auto"/>
        <w:tabs>
          <w:tab w:leader="none" w:pos="1898"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EVERABILITY</w:t>
      </w:r>
      <w:r>
        <w:rPr>
          <w:rFonts w:ascii="Arial" w:cs="Arial" w:eastAsia="Arial" w:hAnsi="Arial"/>
          <w:sz w:val="13"/>
          <w:szCs w:val="13"/>
          <w:color w:val="auto"/>
        </w:rPr>
        <w:t>. If any provision of this Agreement shall be held to be invalid, illegal or unenforceable for any reason whatsoever, (a) the validity, legality and enforceability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themselves invalid, illegal or unenforceable) shall be construed so as to give effect to the intent manifested by the provision held invalid, illegal or unenforceable and to give effect to Section 14 hereof.</w:t>
      </w:r>
    </w:p>
    <w:p>
      <w:pPr>
        <w:spacing w:after="0" w:line="155" w:lineRule="exact"/>
        <w:rPr>
          <w:sz w:val="20"/>
          <w:szCs w:val="20"/>
          <w:color w:val="auto"/>
        </w:rPr>
      </w:pPr>
    </w:p>
    <w:p>
      <w:pPr>
        <w:ind w:firstLine="861"/>
        <w:spacing w:after="0" w:line="321" w:lineRule="auto"/>
        <w:tabs>
          <w:tab w:leader="none" w:pos="1898"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A</w:t>
      </w:r>
      <w:r>
        <w:rPr>
          <w:rFonts w:ascii="Arial" w:cs="Arial" w:eastAsia="Arial" w:hAnsi="Arial"/>
          <w:sz w:val="7"/>
          <w:szCs w:val="7"/>
          <w:b w:val="1"/>
          <w:bCs w:val="1"/>
          <w:color w:val="auto"/>
        </w:rPr>
        <w:t>MENDMENT AND</w:t>
      </w:r>
      <w:r>
        <w:rPr>
          <w:rFonts w:ascii="Arial" w:cs="Arial" w:eastAsia="Arial" w:hAnsi="Arial"/>
          <w:sz w:val="12"/>
          <w:szCs w:val="12"/>
          <w:b w:val="1"/>
          <w:bCs w:val="1"/>
          <w:color w:val="auto"/>
        </w:rPr>
        <w:t xml:space="preserve"> W</w:t>
      </w:r>
      <w:r>
        <w:rPr>
          <w:rFonts w:ascii="Arial" w:cs="Arial" w:eastAsia="Arial" w:hAnsi="Arial"/>
          <w:sz w:val="7"/>
          <w:szCs w:val="7"/>
          <w:b w:val="1"/>
          <w:bCs w:val="1"/>
          <w:color w:val="auto"/>
        </w:rPr>
        <w:t>AIVER</w:t>
      </w:r>
      <w:r>
        <w:rPr>
          <w:rFonts w:ascii="Arial" w:cs="Arial" w:eastAsia="Arial" w:hAnsi="Arial"/>
          <w:sz w:val="12"/>
          <w:szCs w:val="12"/>
          <w:color w:val="auto"/>
        </w:rPr>
        <w:t>. No supplement, modification, amendment, or cancellation of this Agreement shall be binding unless executed in writing by the parties hereto. No</w:t>
      </w:r>
      <w:r>
        <w:rPr>
          <w:rFonts w:ascii="Arial" w:cs="Arial" w:eastAsia="Arial" w:hAnsi="Arial"/>
          <w:sz w:val="12"/>
          <w:szCs w:val="12"/>
          <w:b w:val="1"/>
          <w:bCs w:val="1"/>
          <w:color w:val="auto"/>
        </w:rPr>
        <w:t xml:space="preserve"> </w:t>
      </w:r>
      <w:r>
        <w:rPr>
          <w:rFonts w:ascii="Arial" w:cs="Arial" w:eastAsia="Arial" w:hAnsi="Arial"/>
          <w:sz w:val="12"/>
          <w:szCs w:val="12"/>
          <w:color w:val="auto"/>
        </w:rPr>
        <w:t>waiver of any of the provisions of this Agreement shall be deemed or shall constitute a waiver of any other provision hereof (whether or not similar) nor shall such waiver constitute a continuing waiver.</w:t>
      </w:r>
    </w:p>
    <w:p>
      <w:pPr>
        <w:spacing w:after="0" w:line="80" w:lineRule="exact"/>
        <w:rPr>
          <w:rFonts w:ascii="Arial" w:cs="Arial" w:eastAsia="Arial" w:hAnsi="Arial"/>
          <w:sz w:val="12"/>
          <w:szCs w:val="12"/>
          <w:b w:val="1"/>
          <w:bCs w:val="1"/>
          <w:color w:val="auto"/>
        </w:rPr>
      </w:pPr>
    </w:p>
    <w:p>
      <w:pPr>
        <w:jc w:val="both"/>
        <w:ind w:firstLine="861"/>
        <w:spacing w:after="0" w:line="279" w:lineRule="auto"/>
        <w:tabs>
          <w:tab w:leader="none" w:pos="1898"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N</w:t>
      </w:r>
      <w:r>
        <w:rPr>
          <w:rFonts w:ascii="Arial" w:cs="Arial" w:eastAsia="Arial" w:hAnsi="Arial"/>
          <w:sz w:val="7"/>
          <w:szCs w:val="7"/>
          <w:b w:val="1"/>
          <w:bCs w:val="1"/>
          <w:color w:val="auto"/>
        </w:rPr>
        <w:t>OTICE</w:t>
      </w:r>
      <w:r>
        <w:rPr>
          <w:rFonts w:ascii="Arial" w:cs="Arial" w:eastAsia="Arial" w:hAnsi="Arial"/>
          <w:sz w:val="12"/>
          <w:szCs w:val="12"/>
          <w:color w:val="auto"/>
        </w:rPr>
        <w:t>. Except as otherwise provided herein, any notice or demand which, by the provisions hereof, is required or which may be given to or served upon the parties hereto shall</w:t>
      </w:r>
      <w:r>
        <w:rPr>
          <w:rFonts w:ascii="Arial" w:cs="Arial" w:eastAsia="Arial" w:hAnsi="Arial"/>
          <w:sz w:val="12"/>
          <w:szCs w:val="12"/>
          <w:b w:val="1"/>
          <w:bCs w:val="1"/>
          <w:color w:val="auto"/>
        </w:rPr>
        <w:t xml:space="preserve"> </w:t>
      </w:r>
      <w:r>
        <w:rPr>
          <w:rFonts w:ascii="Arial" w:cs="Arial" w:eastAsia="Arial" w:hAnsi="Arial"/>
          <w:sz w:val="12"/>
          <w:szCs w:val="12"/>
          <w:color w:val="auto"/>
        </w:rPr>
        <w:t>be in writing and, if by telegram, telecopy or telex,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106" w:lineRule="exact"/>
        <w:rPr>
          <w:rFonts w:ascii="Arial" w:cs="Arial" w:eastAsia="Arial" w:hAnsi="Arial"/>
          <w:sz w:val="12"/>
          <w:szCs w:val="12"/>
          <w:b w:val="1"/>
          <w:bCs w:val="1"/>
          <w:color w:val="auto"/>
        </w:rPr>
      </w:pPr>
    </w:p>
    <w:p>
      <w:pPr>
        <w:ind w:left="1900" w:hanging="1039"/>
        <w:spacing w:after="0"/>
        <w:tabs>
          <w:tab w:leader="none" w:pos="19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ONTRIBUTION</w:t>
      </w:r>
      <w:r>
        <w:rPr>
          <w:rFonts w:ascii="Arial" w:cs="Arial" w:eastAsia="Arial" w:hAnsi="Arial"/>
          <w:sz w:val="13"/>
          <w:szCs w:val="13"/>
          <w:b w:val="1"/>
          <w:bCs w:val="1"/>
          <w:color w:val="auto"/>
        </w:rPr>
        <w:t>.</w:t>
      </w:r>
    </w:p>
    <w:p>
      <w:pPr>
        <w:spacing w:after="0" w:line="160" w:lineRule="exact"/>
        <w:rPr>
          <w:rFonts w:ascii="Arial" w:cs="Arial" w:eastAsia="Arial" w:hAnsi="Arial"/>
          <w:sz w:val="13"/>
          <w:szCs w:val="13"/>
          <w:b w:val="1"/>
          <w:bCs w:val="1"/>
          <w:color w:val="auto"/>
        </w:rPr>
      </w:pPr>
    </w:p>
    <w:p>
      <w:pPr>
        <w:jc w:val="both"/>
        <w:ind w:firstLine="1731"/>
        <w:spacing w:after="0" w:line="246" w:lineRule="auto"/>
        <w:tabs>
          <w:tab w:leader="none" w:pos="3202" w:val="left"/>
        </w:tabs>
        <w:numPr>
          <w:ilvl w:val="1"/>
          <w:numId w:val="19"/>
        </w:numPr>
        <w:rPr>
          <w:rFonts w:ascii="Arial" w:cs="Arial" w:eastAsia="Arial" w:hAnsi="Arial"/>
          <w:sz w:val="14"/>
          <w:szCs w:val="14"/>
          <w:b w:val="1"/>
          <w:bCs w:val="1"/>
          <w:color w:val="auto"/>
        </w:rPr>
      </w:pPr>
      <w:r>
        <w:rPr>
          <w:rFonts w:ascii="Arial" w:cs="Arial" w:eastAsia="Arial" w:hAnsi="Arial"/>
          <w:sz w:val="13"/>
          <w:szCs w:val="13"/>
          <w:color w:val="auto"/>
        </w:rPr>
        <w:t>Whether or not the indemnification provided for in this Agreement is available, in respect of any threatened, pending, or completed action, suit, or proceeding in which the Company is jointly liable with Indemnitee (or would be if joined in such action, suit, or proceeding), the Company will pay, in the first instance, the entire amount of any judgment or settlement of such action, suit, or proceeding without requiring Indemnitee to contribute to such payment, and the Company waives and relinquishes any right of contribution it may have against Indemnitee. The Company will not enter into any settlement of any action, suit, or proceeding in which the Company is jointly liable with Indemnitee (or would be if joined in such action, suit, or proceeding) unless such settlement provides for a full and final release of all claims asserted against Indemnitee. The Company will not settle any action or claim in a manner that would impose any penalty or admission of guilt or liability on Indemnitee without Indemnitee’s written consent.</w:t>
      </w:r>
    </w:p>
    <w:p>
      <w:pPr>
        <w:spacing w:after="0" w:line="123" w:lineRule="exact"/>
        <w:rPr>
          <w:sz w:val="20"/>
          <w:szCs w:val="20"/>
          <w:color w:val="auto"/>
        </w:rPr>
      </w:pPr>
    </w:p>
    <w:p>
      <w:pPr>
        <w:jc w:val="both"/>
        <w:ind w:right="20" w:firstLine="1739"/>
        <w:spacing w:after="0" w:line="279" w:lineRule="auto"/>
        <w:rPr>
          <w:sz w:val="20"/>
          <w:szCs w:val="20"/>
          <w:color w:val="auto"/>
        </w:rPr>
      </w:pPr>
      <w:r>
        <w:rPr>
          <w:rFonts w:ascii="Arial" w:cs="Arial" w:eastAsia="Arial" w:hAnsi="Arial"/>
          <w:sz w:val="14"/>
          <w:szCs w:val="14"/>
          <w:b w:val="1"/>
          <w:bCs w:val="1"/>
          <w:color w:val="auto"/>
        </w:rPr>
        <w:t xml:space="preserve">(b) </w:t>
      </w:r>
      <w:r>
        <w:rPr>
          <w:rFonts w:ascii="Arial" w:cs="Arial" w:eastAsia="Arial" w:hAnsi="Arial"/>
          <w:sz w:val="13"/>
          <w:szCs w:val="13"/>
          <w:color w:val="auto"/>
        </w:rPr>
        <w:t>The Company agrees to fully indemnify and hold Indemnitee harmless from any claims of contribution which may be brought by the Company’s</w:t>
      </w:r>
      <w:r>
        <w:rPr>
          <w:rFonts w:ascii="Arial" w:cs="Arial" w:eastAsia="Arial" w:hAnsi="Arial"/>
          <w:sz w:val="14"/>
          <w:szCs w:val="14"/>
          <w:b w:val="1"/>
          <w:bCs w:val="1"/>
          <w:color w:val="auto"/>
        </w:rPr>
        <w:t xml:space="preserve"> </w:t>
      </w:r>
      <w:r>
        <w:rPr>
          <w:rFonts w:ascii="Arial" w:cs="Arial" w:eastAsia="Arial" w:hAnsi="Arial"/>
          <w:sz w:val="13"/>
          <w:szCs w:val="13"/>
          <w:color w:val="auto"/>
        </w:rPr>
        <w:t>officers, directors, or employees, other than Indemnitee, who may be jointly liable with Indemnitee.</w:t>
      </w:r>
    </w:p>
    <w:p>
      <w:pPr>
        <w:spacing w:after="0" w:line="98" w:lineRule="exact"/>
        <w:rPr>
          <w:sz w:val="20"/>
          <w:szCs w:val="20"/>
          <w:color w:val="auto"/>
        </w:rPr>
      </w:pPr>
    </w:p>
    <w:p>
      <w:pPr>
        <w:ind w:left="1740"/>
        <w:spacing w:after="0"/>
        <w:tabs>
          <w:tab w:leader="none" w:pos="3160" w:val="left"/>
        </w:tabs>
        <w:rPr>
          <w:sz w:val="20"/>
          <w:szCs w:val="20"/>
          <w:color w:val="auto"/>
        </w:rPr>
      </w:pPr>
      <w:r>
        <w:rPr>
          <w:rFonts w:ascii="Arial" w:cs="Arial" w:eastAsia="Arial" w:hAnsi="Arial"/>
          <w:sz w:val="13"/>
          <w:szCs w:val="13"/>
          <w:b w:val="1"/>
          <w:bCs w:val="1"/>
          <w:color w:val="auto"/>
        </w:rPr>
        <w:t>(c)</w:t>
      </w:r>
      <w:r>
        <w:rPr>
          <w:sz w:val="20"/>
          <w:szCs w:val="20"/>
          <w:color w:val="auto"/>
        </w:rPr>
        <w:tab/>
      </w:r>
      <w:r>
        <w:rPr>
          <w:rFonts w:ascii="Arial" w:cs="Arial" w:eastAsia="Arial" w:hAnsi="Arial"/>
          <w:sz w:val="12"/>
          <w:szCs w:val="12"/>
          <w:color w:val="auto"/>
        </w:rPr>
        <w:t>To the fullest extent permissible under applicable law, if the indemnification provided for in this Agreement is unavailable to Indemnitee for any reason</w:t>
      </w:r>
    </w:p>
    <w:p>
      <w:pPr>
        <w:spacing w:after="0" w:line="3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24" w:lineRule="exact"/>
        <w:rPr>
          <w:sz w:val="20"/>
          <w:szCs w:val="20"/>
          <w:color w:val="auto"/>
        </w:rPr>
      </w:pPr>
    </w:p>
    <w:p>
      <w:pPr>
        <w:ind w:firstLine="861"/>
        <w:spacing w:after="0" w:line="277" w:lineRule="auto"/>
        <w:tabs>
          <w:tab w:leader="none" w:pos="1898"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G</w:t>
      </w:r>
      <w:r>
        <w:rPr>
          <w:rFonts w:ascii="Arial" w:cs="Arial" w:eastAsia="Arial" w:hAnsi="Arial"/>
          <w:sz w:val="8"/>
          <w:szCs w:val="8"/>
          <w:b w:val="1"/>
          <w:bCs w:val="1"/>
          <w:color w:val="auto"/>
        </w:rPr>
        <w:t>OVERNING</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AW</w:t>
      </w:r>
      <w:r>
        <w:rPr>
          <w:rFonts w:ascii="Arial" w:cs="Arial" w:eastAsia="Arial" w:hAnsi="Arial"/>
          <w:sz w:val="13"/>
          <w:szCs w:val="13"/>
          <w:color w:val="auto"/>
        </w:rPr>
        <w:t>. This Agreement shall be governed exclusively by and construed according to the laws of the State of Delaware, as such laws are applied by Delaware courts to</w:t>
      </w:r>
      <w:r>
        <w:rPr>
          <w:rFonts w:ascii="Arial" w:cs="Arial" w:eastAsia="Arial" w:hAnsi="Arial"/>
          <w:sz w:val="13"/>
          <w:szCs w:val="13"/>
          <w:b w:val="1"/>
          <w:bCs w:val="1"/>
          <w:color w:val="auto"/>
        </w:rPr>
        <w:t xml:space="preserve"> </w:t>
      </w:r>
      <w:r>
        <w:rPr>
          <w:rFonts w:ascii="Arial" w:cs="Arial" w:eastAsia="Arial" w:hAnsi="Arial"/>
          <w:sz w:val="13"/>
          <w:szCs w:val="13"/>
          <w:color w:val="auto"/>
        </w:rPr>
        <w:t>contracts made and to be performed entirely in Delaware by residents of that state.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3" w:name="page14"/>
    <w:bookmarkEnd w:id="13"/>
    <w:p>
      <w:pPr>
        <w:jc w:val="both"/>
        <w:ind w:right="20" w:firstLine="861"/>
        <w:spacing w:after="0" w:line="293" w:lineRule="auto"/>
        <w:tabs>
          <w:tab w:leader="none" w:pos="189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C</w:t>
      </w:r>
      <w:r>
        <w:rPr>
          <w:rFonts w:ascii="Arial" w:cs="Arial" w:eastAsia="Arial" w:hAnsi="Arial"/>
          <w:sz w:val="7"/>
          <w:szCs w:val="7"/>
          <w:b w:val="1"/>
          <w:bCs w:val="1"/>
          <w:color w:val="auto"/>
        </w:rPr>
        <w:t>OUNTERPARTS</w:t>
      </w:r>
      <w:r>
        <w:rPr>
          <w:rFonts w:ascii="Arial" w:cs="Arial" w:eastAsia="Arial" w:hAnsi="Arial"/>
          <w:sz w:val="12"/>
          <w:szCs w:val="12"/>
          <w:color w:val="auto"/>
        </w:rPr>
        <w:t>. This Agreement may be executed in two or more counterparts, each of which shall be deemed an original, but all of which together shall constitute one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97" w:lineRule="exact"/>
        <w:rPr>
          <w:rFonts w:ascii="Arial" w:cs="Arial" w:eastAsia="Arial" w:hAnsi="Arial"/>
          <w:sz w:val="12"/>
          <w:szCs w:val="12"/>
          <w:b w:val="1"/>
          <w:bCs w:val="1"/>
          <w:color w:val="auto"/>
        </w:rPr>
      </w:pPr>
    </w:p>
    <w:p>
      <w:pPr>
        <w:ind w:left="1900" w:hanging="1039"/>
        <w:spacing w:after="0"/>
        <w:tabs>
          <w:tab w:leader="none" w:pos="1900"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H</w:t>
      </w:r>
      <w:r>
        <w:rPr>
          <w:rFonts w:ascii="Arial" w:cs="Arial" w:eastAsia="Arial" w:hAnsi="Arial"/>
          <w:sz w:val="7"/>
          <w:szCs w:val="7"/>
          <w:b w:val="1"/>
          <w:bCs w:val="1"/>
          <w:color w:val="auto"/>
        </w:rPr>
        <w:t>EADINGS</w:t>
      </w:r>
      <w:r>
        <w:rPr>
          <w:rFonts w:ascii="Arial" w:cs="Arial" w:eastAsia="Arial" w:hAnsi="Arial"/>
          <w:sz w:val="12"/>
          <w:szCs w:val="12"/>
          <w:color w:val="auto"/>
        </w:rPr>
        <w:t>. The headings of the sections of this Agreement are inserted for convenience only and shall not be deemed to constitute part of this Agreement or to affect the</w:t>
      </w:r>
    </w:p>
    <w:p>
      <w:pPr>
        <w:spacing w:after="0" w:line="29"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construction hereof.</w:t>
      </w:r>
    </w:p>
    <w:p>
      <w:pPr>
        <w:spacing w:after="0" w:line="133" w:lineRule="exact"/>
        <w:rPr>
          <w:rFonts w:ascii="Arial" w:cs="Arial" w:eastAsia="Arial" w:hAnsi="Arial"/>
          <w:sz w:val="12"/>
          <w:szCs w:val="12"/>
          <w:b w:val="1"/>
          <w:bCs w:val="1"/>
          <w:color w:val="auto"/>
        </w:rPr>
      </w:pPr>
    </w:p>
    <w:p>
      <w:pPr>
        <w:ind w:right="380" w:firstLine="861"/>
        <w:spacing w:after="0" w:line="331" w:lineRule="auto"/>
        <w:tabs>
          <w:tab w:leader="none" w:pos="1898" w:val="left"/>
        </w:tabs>
        <w:numPr>
          <w:ilvl w:val="0"/>
          <w:numId w:val="21"/>
        </w:numPr>
        <w:rPr>
          <w:rFonts w:ascii="Arial" w:cs="Arial" w:eastAsia="Arial" w:hAnsi="Arial"/>
          <w:sz w:val="11"/>
          <w:szCs w:val="11"/>
          <w:b w:val="1"/>
          <w:bCs w:val="1"/>
          <w:color w:val="auto"/>
        </w:rPr>
      </w:pPr>
      <w:r>
        <w:rPr>
          <w:rFonts w:ascii="Arial" w:cs="Arial" w:eastAsia="Arial" w:hAnsi="Arial"/>
          <w:sz w:val="11"/>
          <w:szCs w:val="11"/>
          <w:b w:val="1"/>
          <w:bCs w:val="1"/>
          <w:color w:val="auto"/>
        </w:rPr>
        <w:t>E</w:t>
      </w:r>
      <w:r>
        <w:rPr>
          <w:rFonts w:ascii="Arial" w:cs="Arial" w:eastAsia="Arial" w:hAnsi="Arial"/>
          <w:sz w:val="7"/>
          <w:szCs w:val="7"/>
          <w:b w:val="1"/>
          <w:bCs w:val="1"/>
          <w:color w:val="auto"/>
        </w:rPr>
        <w:t>NTIRE</w:t>
      </w:r>
      <w:r>
        <w:rPr>
          <w:rFonts w:ascii="Arial" w:cs="Arial" w:eastAsia="Arial" w:hAnsi="Arial"/>
          <w:sz w:val="11"/>
          <w:szCs w:val="11"/>
          <w:b w:val="1"/>
          <w:bCs w:val="1"/>
          <w:color w:val="auto"/>
        </w:rPr>
        <w:t xml:space="preserve"> A</w:t>
      </w:r>
      <w:r>
        <w:rPr>
          <w:rFonts w:ascii="Arial" w:cs="Arial" w:eastAsia="Arial" w:hAnsi="Arial"/>
          <w:sz w:val="7"/>
          <w:szCs w:val="7"/>
          <w:b w:val="1"/>
          <w:bCs w:val="1"/>
          <w:color w:val="auto"/>
        </w:rPr>
        <w:t>GREEMENT</w:t>
      </w:r>
      <w:r>
        <w:rPr>
          <w:rFonts w:ascii="Arial" w:cs="Arial" w:eastAsia="Arial" w:hAnsi="Arial"/>
          <w:sz w:val="11"/>
          <w:szCs w:val="11"/>
          <w:color w:val="auto"/>
        </w:rPr>
        <w:t>. This Agreement constitutes the entire agreement between the parties with respect to the subject matter hereof and supersedes all prior agreements,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understandings and negotiations, written and oral, between the parties with respect to the subject matter of this Agreement; </w:t>
      </w:r>
      <w:r>
        <w:rPr>
          <w:rFonts w:ascii="Arial" w:cs="Arial" w:eastAsia="Arial" w:hAnsi="Arial"/>
          <w:sz w:val="11"/>
          <w:szCs w:val="11"/>
          <w:i w:val="1"/>
          <w:iCs w:val="1"/>
          <w:color w:val="auto"/>
        </w:rPr>
        <w:t>provided, however</w:t>
      </w:r>
      <w:r>
        <w:rPr>
          <w:rFonts w:ascii="Arial" w:cs="Arial" w:eastAsia="Arial" w:hAnsi="Arial"/>
          <w:sz w:val="11"/>
          <w:szCs w:val="11"/>
          <w:color w:val="auto"/>
        </w:rPr>
        <w:t>, that this Agreement is a supplement to and in furtherance of the Company’s Certificate of Incorporation, Bylaws, the Code and any other applicable law, and shall not be deemed a substitute therefor, and does not diminish or abrogate any rights of Indemnitee thereunder.</w:t>
      </w:r>
    </w:p>
    <w:p>
      <w:pPr>
        <w:spacing w:after="0" w:line="84" w:lineRule="exact"/>
        <w:rPr>
          <w:sz w:val="20"/>
          <w:szCs w:val="20"/>
          <w:color w:val="auto"/>
        </w:rPr>
      </w:pPr>
    </w:p>
    <w:p>
      <w:pPr>
        <w:ind w:left="4880"/>
        <w:spacing w:after="0"/>
        <w:rPr>
          <w:sz w:val="20"/>
          <w:szCs w:val="20"/>
          <w:color w:val="auto"/>
        </w:rPr>
      </w:pPr>
      <w:r>
        <w:rPr>
          <w:rFonts w:ascii="Arial" w:cs="Arial" w:eastAsia="Arial" w:hAnsi="Arial"/>
          <w:sz w:val="13"/>
          <w:szCs w:val="13"/>
          <w:b w:val="1"/>
          <w:bCs w:val="1"/>
          <w:i w:val="1"/>
          <w:iCs w:val="1"/>
          <w:color w:val="auto"/>
        </w:rPr>
        <w:t>[Remainder of page intentionally left blank]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The parties hereto have entered into this Agreement effective as of the date first above written.</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2"/>
          <w:szCs w:val="12"/>
          <w:b w:val="1"/>
          <w:bCs w:val="1"/>
          <w:color w:val="auto"/>
        </w:rPr>
        <w:t>COMPANY:</w:t>
      </w:r>
    </w:p>
    <w:p>
      <w:pPr>
        <w:spacing w:after="0" w:line="168"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ILRAY</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8890</wp:posOffset>
            </wp:positionV>
            <wp:extent cx="23495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9500" cy="5715"/>
                    </a:xfrm>
                    <a:prstGeom prst="rect">
                      <a:avLst/>
                    </a:prstGeom>
                    <a:noFill/>
                  </pic:spPr>
                </pic:pic>
              </a:graphicData>
            </a:graphic>
          </wp:anchor>
        </w:drawing>
      </w:r>
    </w:p>
    <w:p>
      <w:pPr>
        <w:sectPr>
          <w:pgSz w:w="11900" w:h="16838" w:orient="portrait"/>
          <w:cols w:equalWidth="0" w:num="1">
            <w:col w:w="9860"/>
          </w:cols>
          <w:pgMar w:left="1160" w:top="273" w:right="879" w:bottom="1440" w:gutter="0" w:footer="0" w:header="0"/>
        </w:sectPr>
      </w:pPr>
    </w:p>
    <w:p>
      <w:pPr>
        <w:spacing w:after="0" w:line="166"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Name:</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color w:val="auto"/>
        </w:rPr>
        <w:t>Brendan Kennedy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President &amp; CEO</w:t>
      </w:r>
    </w:p>
    <w:p>
      <w:pPr>
        <w:spacing w:after="0" w:line="211" w:lineRule="exact"/>
        <w:rPr>
          <w:sz w:val="20"/>
          <w:szCs w:val="20"/>
          <w:color w:val="auto"/>
        </w:rPr>
      </w:pPr>
    </w:p>
    <w:p>
      <w:pPr>
        <w:sectPr>
          <w:pgSz w:w="11900" w:h="16838" w:orient="portrait"/>
          <w:cols w:equalWidth="0" w:num="2">
            <w:col w:w="7160" w:space="720"/>
            <w:col w:w="1980"/>
          </w:cols>
          <w:pgMar w:left="1160" w:top="273" w:right="879" w:bottom="1440" w:gutter="0" w:footer="0" w:header="0"/>
          <w:type w:val="continuous"/>
        </w:sectPr>
      </w:pPr>
    </w:p>
    <w:p>
      <w:pPr>
        <w:spacing w:after="0" w:line="96"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INDEMNITEE:</w:t>
      </w:r>
    </w:p>
    <w:p>
      <w:pPr>
        <w:spacing w:after="0" w:line="200" w:lineRule="exact"/>
        <w:rPr>
          <w:sz w:val="20"/>
          <w:szCs w:val="20"/>
          <w:color w:val="auto"/>
        </w:rPr>
      </w:pP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Name:</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8890</wp:posOffset>
            </wp:positionV>
            <wp:extent cx="21951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95195" cy="57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w:t>
      </w:r>
      <w:r>
        <w:rPr>
          <w:rFonts w:ascii="Arial" w:cs="Arial" w:eastAsia="Arial" w:hAnsi="Arial"/>
          <w:sz w:val="13"/>
          <w:szCs w:val="13"/>
          <w:color w:val="auto"/>
        </w:rPr>
        <w:t>)</w:t>
      </w:r>
    </w:p>
    <w:p>
      <w:pPr>
        <w:sectPr>
          <w:pgSz w:w="11900" w:h="16838" w:orient="portrait"/>
          <w:cols w:equalWidth="0" w:num="1">
            <w:col w:w="9860"/>
          </w:cols>
          <w:pgMar w:left="1160" w:top="273" w:right="879" w:bottom="1440" w:gutter="0" w:footer="0" w:header="0"/>
          <w:type w:val="continuous"/>
        </w:sectPr>
      </w:pPr>
    </w:p>
    <w:bookmarkStart w:id="15" w:name="page16"/>
    <w:bookmarkEnd w:id="15"/>
    <w:p>
      <w:pPr>
        <w:ind w:left="10400"/>
        <w:spacing w:after="0"/>
        <w:rPr>
          <w:sz w:val="20"/>
          <w:szCs w:val="20"/>
          <w:color w:val="auto"/>
        </w:rPr>
      </w:pPr>
      <w:r>
        <w:rPr>
          <w:rFonts w:ascii="Arial" w:cs="Arial" w:eastAsia="Arial" w:hAnsi="Arial"/>
          <w:sz w:val="16"/>
          <w:szCs w:val="16"/>
          <w:b w:val="1"/>
          <w:bCs w:val="1"/>
          <w:color w:val="76717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1605915"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tabs>
          <w:tab w:leader="none" w:pos="10040" w:val="left"/>
        </w:tabs>
        <w:rPr>
          <w:sz w:val="20"/>
          <w:szCs w:val="20"/>
          <w:color w:val="auto"/>
        </w:rPr>
      </w:pPr>
      <w:r>
        <w:rPr>
          <w:rFonts w:ascii="Arial" w:cs="Arial" w:eastAsia="Arial" w:hAnsi="Arial"/>
          <w:sz w:val="19"/>
          <w:szCs w:val="19"/>
          <w:b w:val="1"/>
          <w:bCs w:val="1"/>
          <w:color w:val="767171"/>
        </w:rPr>
        <w:t>PRESS RELEASE</w:t>
      </w:r>
      <w:r>
        <w:rPr>
          <w:sz w:val="20"/>
          <w:szCs w:val="20"/>
          <w:color w:val="auto"/>
        </w:rPr>
        <w:tab/>
      </w:r>
      <w:r>
        <w:rPr>
          <w:rFonts w:ascii="Arial" w:cs="Arial" w:eastAsia="Arial" w:hAnsi="Arial"/>
          <w:sz w:val="16"/>
          <w:szCs w:val="16"/>
          <w:b w:val="1"/>
          <w:bCs w:val="1"/>
          <w:color w:val="767171"/>
        </w:rPr>
        <w:t>August 10, 2020</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034676"/>
        </w:rPr>
        <w:t>Tilray, Inc. Reports 2020 Second Quarter Results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034676"/>
        </w:rPr>
        <w:t>Revenue Increased 10% to $50.4 Million (C$69.4 Million) versus Q2 2019</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034676"/>
        </w:rPr>
        <w:t>Cost Savings of $13.0 Million Realized in Q2 2020 – on Pace for Total Annualized Savings of Approximately $55 Million</w:t>
      </w:r>
    </w:p>
    <w:p>
      <w:pPr>
        <w:spacing w:after="0" w:line="201" w:lineRule="exact"/>
        <w:rPr>
          <w:sz w:val="20"/>
          <w:szCs w:val="20"/>
          <w:color w:val="auto"/>
        </w:rPr>
      </w:pPr>
    </w:p>
    <w:p>
      <w:pPr>
        <w:ind w:right="1860"/>
        <w:spacing w:after="0" w:line="501" w:lineRule="auto"/>
        <w:rPr>
          <w:sz w:val="20"/>
          <w:szCs w:val="20"/>
          <w:color w:val="auto"/>
        </w:rPr>
      </w:pPr>
      <w:r>
        <w:rPr>
          <w:rFonts w:ascii="Arial" w:cs="Arial" w:eastAsia="Arial" w:hAnsi="Arial"/>
          <w:sz w:val="17"/>
          <w:szCs w:val="17"/>
          <w:i w:val="1"/>
          <w:iCs w:val="1"/>
          <w:color w:val="034676"/>
        </w:rPr>
        <w:t>Net Loss of ($81.7) Million increased $45.4 Million versus Q2 2019 Partially Due to Facilities Closure and Inventory Adjustments Adjusted EBITDA Loss of ($12.3) Million Represents 32% Improvement compared to both Q2 2019 and Q1 2020 $137 Million Q2 2020 Ending Cash Balance and $250 Million Remaining on ATM</w:t>
      </w:r>
    </w:p>
    <w:p>
      <w:pPr>
        <w:spacing w:after="0" w:line="128" w:lineRule="exact"/>
        <w:rPr>
          <w:sz w:val="20"/>
          <w:szCs w:val="20"/>
          <w:color w:val="auto"/>
        </w:rPr>
      </w:pPr>
    </w:p>
    <w:p>
      <w:pPr>
        <w:ind w:right="540"/>
        <w:spacing w:after="0" w:line="271" w:lineRule="auto"/>
        <w:rPr>
          <w:sz w:val="20"/>
          <w:szCs w:val="20"/>
          <w:color w:val="auto"/>
        </w:rPr>
      </w:pPr>
      <w:r>
        <w:rPr>
          <w:rFonts w:ascii="Arial" w:cs="Arial" w:eastAsia="Arial" w:hAnsi="Arial"/>
          <w:sz w:val="14"/>
          <w:szCs w:val="14"/>
          <w:b w:val="1"/>
          <w:bCs w:val="1"/>
          <w:color w:val="034676"/>
        </w:rPr>
        <w:t xml:space="preserve">NANAIMO, BRITISH COLUMBIA </w:t>
      </w:r>
      <w:r>
        <w:rPr>
          <w:rFonts w:ascii="Arial" w:cs="Arial" w:eastAsia="Arial" w:hAnsi="Arial"/>
          <w:sz w:val="14"/>
          <w:szCs w:val="14"/>
          <w:color w:val="767171"/>
        </w:rPr>
        <w:t>– Tilray, Inc. (“Tilray” or the “Company”) (Nasdaq: TLRY), a global pioneer in cannabis research, cultivation, production and distribution, reports</w:t>
      </w:r>
      <w:r>
        <w:rPr>
          <w:rFonts w:ascii="Arial" w:cs="Arial" w:eastAsia="Arial" w:hAnsi="Arial"/>
          <w:sz w:val="14"/>
          <w:szCs w:val="14"/>
          <w:b w:val="1"/>
          <w:bCs w:val="1"/>
          <w:color w:val="034676"/>
        </w:rPr>
        <w:t xml:space="preserve"> </w:t>
      </w:r>
      <w:r>
        <w:rPr>
          <w:rFonts w:ascii="Arial" w:cs="Arial" w:eastAsia="Arial" w:hAnsi="Arial"/>
          <w:sz w:val="14"/>
          <w:szCs w:val="14"/>
          <w:color w:val="767171"/>
        </w:rPr>
        <w:t>financial results for the second quarter ended June 30, 2020. All financial information in this press release is reported in U.S. dollars, unless otherwise indicated.</w:t>
      </w:r>
    </w:p>
    <w:p>
      <w:pPr>
        <w:spacing w:after="0" w:line="138"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color w:val="767171"/>
        </w:rPr>
        <w:t>“Since the beginning of 2020 we have taken bold and significant actions to position Tilray for future growth and success. We have focused on reducing costs, driving international revenue growth, mitigating COVID-19 related challenges, and improving our net loss and reported Adjusted EBITDA. Today’s results demonstrate significant progress in all these areas.</w:t>
      </w:r>
    </w:p>
    <w:p>
      <w:pPr>
        <w:spacing w:after="0" w:line="132"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767171"/>
        </w:rPr>
        <w:t>Despite a challenging business environment, we generated healthy year-over-year revenue growth, we significantly reduced our cost structure and cash burn, and we improved our Adjusted EBITDA and net loss compared to both the prior quarter of 2019 and the first quarter of 2020. We are particularly encouraged by the revenue growth of our International Medical business during the second quarter. International Medical revenues now exceed those of our Canadian Medical business and we anticipate growth in this segment to outpace our other segments in the coming quarters.</w:t>
      </w: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7"/>
          <w:szCs w:val="17"/>
          <w:b w:val="1"/>
          <w:bCs w:val="1"/>
          <w:color w:val="76717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60591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tabs>
          <w:tab w:leader="none" w:pos="10040" w:val="left"/>
        </w:tabs>
        <w:rPr>
          <w:sz w:val="20"/>
          <w:szCs w:val="20"/>
          <w:color w:val="auto"/>
        </w:rPr>
      </w:pPr>
      <w:r>
        <w:rPr>
          <w:rFonts w:ascii="Arial" w:cs="Arial" w:eastAsia="Arial" w:hAnsi="Arial"/>
          <w:sz w:val="19"/>
          <w:szCs w:val="19"/>
          <w:b w:val="1"/>
          <w:bCs w:val="1"/>
          <w:color w:val="767171"/>
        </w:rPr>
        <w:t>PRESS RELEASE</w:t>
      </w:r>
      <w:r>
        <w:rPr>
          <w:sz w:val="20"/>
          <w:szCs w:val="20"/>
          <w:color w:val="auto"/>
        </w:rPr>
        <w:tab/>
      </w:r>
      <w:r>
        <w:rPr>
          <w:rFonts w:ascii="Arial" w:cs="Arial" w:eastAsia="Arial" w:hAnsi="Arial"/>
          <w:sz w:val="16"/>
          <w:szCs w:val="16"/>
          <w:b w:val="1"/>
          <w:bCs w:val="1"/>
          <w:color w:val="767171"/>
        </w:rPr>
        <w:t>August 10, 2020</w:t>
      </w:r>
    </w:p>
    <w:p>
      <w:pPr>
        <w:spacing w:after="0" w:line="196" w:lineRule="exact"/>
        <w:rPr>
          <w:sz w:val="20"/>
          <w:szCs w:val="20"/>
          <w:color w:val="auto"/>
        </w:rPr>
      </w:pPr>
    </w:p>
    <w:p>
      <w:pPr>
        <w:ind w:right="180"/>
        <w:spacing w:after="0" w:line="284" w:lineRule="auto"/>
        <w:rPr>
          <w:sz w:val="20"/>
          <w:szCs w:val="20"/>
          <w:color w:val="auto"/>
        </w:rPr>
      </w:pPr>
      <w:r>
        <w:rPr>
          <w:rFonts w:ascii="Arial" w:cs="Arial" w:eastAsia="Arial" w:hAnsi="Arial"/>
          <w:sz w:val="13"/>
          <w:szCs w:val="13"/>
          <w:color w:val="767171"/>
        </w:rPr>
        <w:t>With our significant cost cutting and balance sheet actions behind us, we have positioned Tilray to enter the second half of 2020 in a stronger position so we can remain focused on achieving profitable growth in all our markets and deliver break-even or positive Adjusted EBITDA in the fourth quarter of 2020.” said Brendan Kennedy, Tilray’s 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034676"/>
          <w:highlight w:val="white"/>
        </w:rPr>
        <w:t>Second Quarter 2020 Financial Highlights</w:t>
      </w:r>
    </w:p>
    <w:p>
      <w:pPr>
        <w:spacing w:after="0" w:line="17" w:lineRule="exact"/>
        <w:rPr>
          <w:sz w:val="20"/>
          <w:szCs w:val="20"/>
          <w:color w:val="auto"/>
        </w:rPr>
      </w:pPr>
    </w:p>
    <w:p>
      <w:pPr>
        <w:ind w:left="780" w:right="80" w:hanging="392"/>
        <w:spacing w:after="0" w:line="241" w:lineRule="auto"/>
        <w:tabs>
          <w:tab w:leader="none" w:pos="780" w:val="left"/>
        </w:tabs>
        <w:numPr>
          <w:ilvl w:val="0"/>
          <w:numId w:val="22"/>
        </w:numPr>
        <w:rPr>
          <w:rFonts w:ascii="Arial" w:cs="Arial" w:eastAsia="Arial" w:hAnsi="Arial"/>
          <w:sz w:val="14"/>
          <w:szCs w:val="14"/>
          <w:color w:val="767171"/>
        </w:rPr>
      </w:pPr>
      <w:r>
        <w:rPr>
          <w:rFonts w:ascii="Arial" w:cs="Arial" w:eastAsia="Arial" w:hAnsi="Arial"/>
          <w:sz w:val="14"/>
          <w:szCs w:val="14"/>
          <w:color w:val="767171"/>
        </w:rPr>
        <w:t>Revenue increased 10.0% to $50.4 million (C$69.4 million), compared to the second quarter of 2019. Growth was driven by a 16.2% increase in cannabis sales, particularly from ongoing improvement in International Medical, while Manitoba Harvest hemp products sales increased 1.6%.</w:t>
      </w:r>
    </w:p>
    <w:p>
      <w:pPr>
        <w:ind w:left="780" w:right="140" w:hanging="392"/>
        <w:spacing w:after="0" w:line="243" w:lineRule="auto"/>
        <w:tabs>
          <w:tab w:leader="none" w:pos="780" w:val="left"/>
        </w:tabs>
        <w:numPr>
          <w:ilvl w:val="0"/>
          <w:numId w:val="22"/>
        </w:numPr>
        <w:rPr>
          <w:rFonts w:ascii="Arial" w:cs="Arial" w:eastAsia="Arial" w:hAnsi="Arial"/>
          <w:sz w:val="14"/>
          <w:szCs w:val="14"/>
          <w:color w:val="767171"/>
        </w:rPr>
      </w:pPr>
      <w:r>
        <w:rPr>
          <w:rFonts w:ascii="Arial" w:cs="Arial" w:eastAsia="Arial" w:hAnsi="Arial"/>
          <w:sz w:val="14"/>
          <w:szCs w:val="14"/>
          <w:color w:val="767171"/>
        </w:rPr>
        <w:t>Revenue decreased 3.2% compared to the first quarter of 2020 generally driven by a 15.8% decrease in Adult Use sales, a 5.3% decrease in Canada Medical sales, and a 5.1% decrease in Hemp sales, partially offset by a 43.2% increase in International Medical sales. Sequential sales declines in Adult Use and Canada Medical were largely attributable to the impact of COVID-19, specifically; pantry-loading in March, the temporary closure of stores in Ontario, changes in purchasing behavior by the provinces, the shift to curbside pickup or delivery, and the limited number of retail locations added during the second quarter of 2020.</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of United States dollars)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0"/>
                <w:szCs w:val="10"/>
                <w:b w:val="1"/>
                <w:bCs w:val="1"/>
                <w:color w:val="auto"/>
                <w:w w:val="92"/>
              </w:rPr>
              <w:t>Three months ended June 30,</w:t>
            </w:r>
          </w:p>
        </w:tc>
        <w:tc>
          <w:tcPr>
            <w:tcW w:w="8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0"/>
                <w:szCs w:val="10"/>
                <w:b w:val="1"/>
                <w:bCs w:val="1"/>
                <w:color w:val="auto"/>
                <w:w w:val="97"/>
              </w:rPr>
              <w:t>Six months ended June 30,</w:t>
            </w:r>
          </w:p>
        </w:tc>
        <w:tc>
          <w:tcPr>
            <w:tcW w:w="8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261"/>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62"/>
              <w:spacing w:after="0" w:line="97" w:lineRule="exact"/>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right"/>
              <w:ind w:right="420"/>
              <w:spacing w:after="0" w:line="97" w:lineRule="exact"/>
              <w:rPr>
                <w:sz w:val="20"/>
                <w:szCs w:val="20"/>
                <w:color w:val="auto"/>
              </w:rPr>
            </w:pPr>
            <w:r>
              <w:rPr>
                <w:rFonts w:ascii="Arial" w:cs="Arial" w:eastAsia="Arial" w:hAnsi="Arial"/>
                <w:sz w:val="10"/>
                <w:szCs w:val="10"/>
                <w:b w:val="1"/>
                <w:bCs w:val="1"/>
                <w:color w:val="auto"/>
                <w:w w:val="97"/>
              </w:rPr>
              <w:t>$ Change</w:t>
            </w:r>
          </w:p>
        </w:tc>
        <w:tc>
          <w:tcPr>
            <w:tcW w:w="820" w:type="dxa"/>
            <w:vAlign w:val="bottom"/>
          </w:tcPr>
          <w:p>
            <w:pPr>
              <w:ind w:left="180"/>
              <w:spacing w:after="0" w:line="97" w:lineRule="exact"/>
              <w:rPr>
                <w:sz w:val="20"/>
                <w:szCs w:val="20"/>
                <w:color w:val="auto"/>
              </w:rPr>
            </w:pPr>
            <w:r>
              <w:rPr>
                <w:rFonts w:ascii="Arial" w:cs="Arial" w:eastAsia="Arial" w:hAnsi="Arial"/>
                <w:sz w:val="10"/>
                <w:szCs w:val="10"/>
                <w:b w:val="1"/>
                <w:bCs w:val="1"/>
                <w:color w:val="auto"/>
              </w:rPr>
              <w:t>% Change</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41"/>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262"/>
              <w:spacing w:after="0" w:line="97" w:lineRule="exact"/>
              <w:rPr>
                <w:sz w:val="20"/>
                <w:szCs w:val="20"/>
                <w:color w:val="auto"/>
              </w:rPr>
            </w:pPr>
            <w:r>
              <w:rPr>
                <w:rFonts w:ascii="Arial" w:cs="Arial" w:eastAsia="Arial" w:hAnsi="Arial"/>
                <w:sz w:val="10"/>
                <w:szCs w:val="10"/>
                <w:b w:val="1"/>
                <w:bCs w:val="1"/>
                <w:color w:val="auto"/>
              </w:rPr>
              <w:t>2019</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right"/>
              <w:ind w:right="440"/>
              <w:spacing w:after="0" w:line="97" w:lineRule="exact"/>
              <w:rPr>
                <w:sz w:val="20"/>
                <w:szCs w:val="20"/>
                <w:color w:val="auto"/>
              </w:rPr>
            </w:pPr>
            <w:r>
              <w:rPr>
                <w:rFonts w:ascii="Arial" w:cs="Arial" w:eastAsia="Arial" w:hAnsi="Arial"/>
                <w:sz w:val="10"/>
                <w:szCs w:val="10"/>
                <w:b w:val="1"/>
                <w:bCs w:val="1"/>
                <w:color w:val="auto"/>
                <w:w w:val="97"/>
              </w:rPr>
              <w:t>$ Change</w:t>
            </w:r>
          </w:p>
        </w:tc>
        <w:tc>
          <w:tcPr>
            <w:tcW w:w="800" w:type="dxa"/>
            <w:vAlign w:val="bottom"/>
          </w:tcPr>
          <w:p>
            <w:pPr>
              <w:ind w:left="180"/>
              <w:spacing w:after="0" w:line="97" w:lineRule="exact"/>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Cannabis</w:t>
            </w:r>
          </w:p>
        </w:tc>
        <w:tc>
          <w:tcPr>
            <w:tcW w:w="1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240"/>
              <w:spacing w:after="0"/>
              <w:rPr>
                <w:sz w:val="20"/>
                <w:szCs w:val="20"/>
                <w:color w:val="auto"/>
              </w:rPr>
            </w:pPr>
            <w:r>
              <w:rPr>
                <w:rFonts w:ascii="Arial" w:cs="Arial" w:eastAsia="Arial" w:hAnsi="Arial"/>
                <w:sz w:val="12"/>
                <w:szCs w:val="12"/>
                <w:color w:val="auto"/>
              </w:rPr>
              <w:t>Adult Use</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17,621</w:t>
            </w:r>
          </w:p>
        </w:tc>
        <w:tc>
          <w:tcPr>
            <w:tcW w:w="22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15,043</w:t>
            </w:r>
          </w:p>
        </w:tc>
        <w:tc>
          <w:tcPr>
            <w:tcW w:w="22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2,578</w:t>
            </w:r>
          </w:p>
        </w:tc>
        <w:tc>
          <w:tcPr>
            <w:tcW w:w="2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38,540</w:t>
            </w:r>
          </w:p>
        </w:tc>
        <w:tc>
          <w:tcPr>
            <w:tcW w:w="22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22,923</w:t>
            </w:r>
          </w:p>
        </w:tc>
        <w:tc>
          <w:tcPr>
            <w:tcW w:w="2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15,617</w:t>
            </w:r>
          </w:p>
        </w:tc>
        <w:tc>
          <w:tcPr>
            <w:tcW w:w="22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Canada - medical</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1,509</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7,886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5,324</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2,562</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53"/>
        </w:trPr>
        <w:tc>
          <w:tcPr>
            <w:tcW w:w="3100" w:type="dxa"/>
            <w:vAlign w:val="bottom"/>
          </w:tcPr>
          <w:p>
            <w:pPr>
              <w:ind w:left="240"/>
              <w:spacing w:after="0"/>
              <w:rPr>
                <w:sz w:val="20"/>
                <w:szCs w:val="20"/>
                <w:color w:val="auto"/>
              </w:rPr>
            </w:pPr>
            <w:r>
              <w:rPr>
                <w:rFonts w:ascii="Arial" w:cs="Arial" w:eastAsia="Arial" w:hAnsi="Arial"/>
                <w:sz w:val="12"/>
                <w:szCs w:val="12"/>
                <w:color w:val="auto"/>
              </w:rPr>
              <w:t>International Medical</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1,851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6,462</w:t>
            </w:r>
          </w:p>
        </w:tc>
        <w:tc>
          <w:tcPr>
            <w:tcW w:w="2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349%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14,119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3,662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10,457</w:t>
            </w:r>
          </w:p>
        </w:tc>
        <w:tc>
          <w:tcPr>
            <w:tcW w:w="22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286%</w:t>
            </w: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Bulk</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6,749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(6,347)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(94)%</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11,516</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(11,114)</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2"/>
                <w:szCs w:val="12"/>
                <w:color w:val="auto"/>
              </w:rPr>
              <w:t>Total Cannabis revenue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30,171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25,969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4,202</w:t>
            </w:r>
          </w:p>
        </w:tc>
        <w:tc>
          <w:tcPr>
            <w:tcW w:w="22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60,947</w:t>
            </w:r>
          </w:p>
        </w:tc>
        <w:tc>
          <w:tcPr>
            <w:tcW w:w="2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43,425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17,522</w:t>
            </w:r>
          </w:p>
        </w:tc>
        <w:tc>
          <w:tcPr>
            <w:tcW w:w="22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FF0FC"/>
          </w:tcPr>
          <w:p>
            <w:pPr>
              <w:ind w:left="240"/>
              <w:spacing w:after="0"/>
              <w:rPr>
                <w:sz w:val="20"/>
                <w:szCs w:val="20"/>
                <w:color w:val="auto"/>
              </w:rPr>
            </w:pPr>
            <w:r>
              <w:rPr>
                <w:rFonts w:ascii="Arial" w:cs="Arial" w:eastAsia="Arial" w:hAnsi="Arial"/>
                <w:sz w:val="12"/>
                <w:szCs w:val="12"/>
                <w:color w:val="auto"/>
              </w:rPr>
              <w:t>Hemp</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20,243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19,935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41,569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25,517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16,052</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50,414</w:t>
            </w:r>
          </w:p>
        </w:tc>
        <w:tc>
          <w:tcPr>
            <w:tcW w:w="2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45,904</w:t>
            </w:r>
          </w:p>
        </w:tc>
        <w:tc>
          <w:tcPr>
            <w:tcW w:w="2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4,510</w:t>
            </w:r>
          </w:p>
        </w:tc>
        <w:tc>
          <w:tcPr>
            <w:tcW w:w="22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102,516</w:t>
            </w:r>
          </w:p>
        </w:tc>
        <w:tc>
          <w:tcPr>
            <w:tcW w:w="2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68,942</w:t>
            </w:r>
          </w:p>
        </w:tc>
        <w:tc>
          <w:tcPr>
            <w:tcW w:w="20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33,574</w:t>
            </w:r>
          </w:p>
        </w:tc>
        <w:tc>
          <w:tcPr>
            <w:tcW w:w="22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27"/>
        </w:trPr>
        <w:tc>
          <w:tcPr>
            <w:tcW w:w="31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Excise duties included in revenue</w:t>
            </w: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1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3,862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278</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9,112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5,776</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3,336</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780" w:right="120" w:hanging="392"/>
        <w:spacing w:after="0" w:line="247" w:lineRule="auto"/>
        <w:tabs>
          <w:tab w:leader="none" w:pos="780" w:val="left"/>
        </w:tabs>
        <w:numPr>
          <w:ilvl w:val="0"/>
          <w:numId w:val="23"/>
        </w:numPr>
        <w:rPr>
          <w:rFonts w:ascii="Arial" w:cs="Arial" w:eastAsia="Arial" w:hAnsi="Arial"/>
          <w:sz w:val="14"/>
          <w:szCs w:val="14"/>
          <w:color w:val="767171"/>
        </w:rPr>
      </w:pPr>
      <w:r>
        <w:rPr>
          <w:rFonts w:ascii="Arial" w:cs="Arial" w:eastAsia="Arial" w:hAnsi="Arial"/>
          <w:sz w:val="14"/>
          <w:szCs w:val="14"/>
          <w:color w:val="767171"/>
        </w:rPr>
        <w:t>Total cannabis kilogram equivalents sold increased 105% to 11,430 kilograms from 5,588 kilograms in the second quarter of 2019. Total cannabis kilogram equivalents sold increased 84% to 10,294 kilograms from 5,588 kilograms in the second quarter of 2019.</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bookmarkStart w:id="17" w:name="page18"/>
    <w:bookmarkEnd w:id="17"/>
    <w:p>
      <w:pPr>
        <w:ind w:left="10400"/>
        <w:spacing w:after="0"/>
        <w:rPr>
          <w:sz w:val="20"/>
          <w:szCs w:val="20"/>
          <w:color w:val="auto"/>
        </w:rPr>
      </w:pPr>
      <w:r>
        <w:rPr>
          <w:rFonts w:ascii="Arial" w:cs="Arial" w:eastAsia="Arial" w:hAnsi="Arial"/>
          <w:sz w:val="16"/>
          <w:szCs w:val="16"/>
          <w:b w:val="1"/>
          <w:bCs w:val="1"/>
          <w:color w:val="76717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1605915"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tabs>
          <w:tab w:leader="none" w:pos="10040" w:val="left"/>
        </w:tabs>
        <w:rPr>
          <w:sz w:val="20"/>
          <w:szCs w:val="20"/>
          <w:color w:val="auto"/>
        </w:rPr>
      </w:pPr>
      <w:r>
        <w:rPr>
          <w:rFonts w:ascii="Arial" w:cs="Arial" w:eastAsia="Arial" w:hAnsi="Arial"/>
          <w:sz w:val="19"/>
          <w:szCs w:val="19"/>
          <w:b w:val="1"/>
          <w:bCs w:val="1"/>
          <w:color w:val="767171"/>
        </w:rPr>
        <w:t>PRESS RELEASE</w:t>
      </w:r>
      <w:r>
        <w:rPr>
          <w:sz w:val="20"/>
          <w:szCs w:val="20"/>
          <w:color w:val="auto"/>
        </w:rPr>
        <w:tab/>
      </w:r>
      <w:r>
        <w:rPr>
          <w:rFonts w:ascii="Arial" w:cs="Arial" w:eastAsia="Arial" w:hAnsi="Arial"/>
          <w:sz w:val="16"/>
          <w:szCs w:val="16"/>
          <w:b w:val="1"/>
          <w:bCs w:val="1"/>
          <w:color w:val="767171"/>
        </w:rPr>
        <w:t>August 10, 2020</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4"/>
          <w:szCs w:val="14"/>
          <w:color w:val="767171"/>
        </w:rPr>
        <w:t>The increase was primarily due to a one-time Bulk transaction associated with the termination of a supply contract.</w:t>
      </w:r>
    </w:p>
    <w:p>
      <w:pPr>
        <w:spacing w:after="0" w:line="3" w:lineRule="exact"/>
        <w:rPr>
          <w:sz w:val="20"/>
          <w:szCs w:val="20"/>
          <w:color w:val="auto"/>
        </w:rPr>
      </w:pPr>
    </w:p>
    <w:p>
      <w:pPr>
        <w:jc w:val="both"/>
        <w:ind w:left="780" w:right="180" w:hanging="392"/>
        <w:spacing w:after="0" w:line="260" w:lineRule="auto"/>
        <w:tabs>
          <w:tab w:leader="none" w:pos="780" w:val="left"/>
        </w:tabs>
        <w:numPr>
          <w:ilvl w:val="0"/>
          <w:numId w:val="24"/>
        </w:numPr>
        <w:rPr>
          <w:rFonts w:ascii="Arial" w:cs="Arial" w:eastAsia="Arial" w:hAnsi="Arial"/>
          <w:sz w:val="13"/>
          <w:szCs w:val="13"/>
          <w:color w:val="767171"/>
        </w:rPr>
      </w:pPr>
      <w:r>
        <w:rPr>
          <w:rFonts w:ascii="Arial" w:cs="Arial" w:eastAsia="Arial" w:hAnsi="Arial"/>
          <w:sz w:val="13"/>
          <w:szCs w:val="13"/>
          <w:color w:val="767171"/>
        </w:rPr>
        <w:t>Average cannabis net selling price per gram decreased to $2.64 (C$3.59) compared to $4.61 (C$6.26) in the second quarter of 2019 and $5.28 in the first quarter of 2020. The decrease was driven by a one-time Bulk transaction associated with the termination of a supply contract. Excluding the one-time transaction, average net selling price increased to $5.03. The increase was due to a continued shift towards International Medical sales, and higher potency and higher priced products in the Adult Use market.</w:t>
      </w:r>
    </w:p>
    <w:p>
      <w:pPr>
        <w:ind w:left="780" w:right="80" w:hanging="392"/>
        <w:spacing w:after="0" w:line="241" w:lineRule="auto"/>
        <w:tabs>
          <w:tab w:leader="none" w:pos="780" w:val="left"/>
        </w:tabs>
        <w:numPr>
          <w:ilvl w:val="0"/>
          <w:numId w:val="24"/>
        </w:numPr>
        <w:rPr>
          <w:rFonts w:ascii="Arial" w:cs="Arial" w:eastAsia="Arial" w:hAnsi="Arial"/>
          <w:sz w:val="14"/>
          <w:szCs w:val="14"/>
          <w:color w:val="767171"/>
        </w:rPr>
      </w:pPr>
      <w:r>
        <w:rPr>
          <w:rFonts w:ascii="Arial" w:cs="Arial" w:eastAsia="Arial" w:hAnsi="Arial"/>
          <w:sz w:val="14"/>
          <w:szCs w:val="14"/>
          <w:color w:val="767171"/>
        </w:rPr>
        <w:t>Average cannabis net cost per gram decreased to $2.06 (C$2.80) compared to $3.86 (C$5.24) in the second quarter of 2019 and $3.97 (C$5.39) in the first quarter of 2020. The decrease was driven by a one-time Bulk transaction associated with the termination of a supply contract. Excluding the one-time transaction, net cost per gram decreased to $3.42. The year over year decrease is primarily a result of reduced cost structures at our facilities due to our cost cutting efforts, better throughput and cost absorption at our High Park Holdings processing facility, and partially due to the availability of low cost product available from third parties.</w:t>
      </w:r>
    </w:p>
    <w:p>
      <w:pPr>
        <w:spacing w:after="0" w:line="1" w:lineRule="exact"/>
        <w:rPr>
          <w:rFonts w:ascii="Arial" w:cs="Arial" w:eastAsia="Arial" w:hAnsi="Arial"/>
          <w:sz w:val="14"/>
          <w:szCs w:val="14"/>
          <w:color w:val="767171"/>
        </w:rPr>
      </w:pPr>
    </w:p>
    <w:p>
      <w:pPr>
        <w:ind w:left="780" w:right="40" w:hanging="392"/>
        <w:spacing w:after="0" w:line="241" w:lineRule="auto"/>
        <w:tabs>
          <w:tab w:leader="none" w:pos="780" w:val="left"/>
        </w:tabs>
        <w:numPr>
          <w:ilvl w:val="0"/>
          <w:numId w:val="24"/>
        </w:numPr>
        <w:rPr>
          <w:rFonts w:ascii="Arial" w:cs="Arial" w:eastAsia="Arial" w:hAnsi="Arial"/>
          <w:sz w:val="14"/>
          <w:szCs w:val="14"/>
          <w:color w:val="767171"/>
        </w:rPr>
      </w:pPr>
      <w:r>
        <w:rPr>
          <w:rFonts w:ascii="Arial" w:cs="Arial" w:eastAsia="Arial" w:hAnsi="Arial"/>
          <w:sz w:val="14"/>
          <w:szCs w:val="14"/>
          <w:color w:val="767171"/>
        </w:rPr>
        <w:t>Gross margin decreased to (10.7)% from 27% in the second quarter of 2019 and 21% in the first quarter of 2020. In the second quarter of 2020, the we took an inventory write-down of $18.6 million.</w:t>
      </w:r>
    </w:p>
    <w:p>
      <w:pPr>
        <w:ind w:left="780" w:right="60" w:hanging="392"/>
        <w:spacing w:after="0" w:line="260" w:lineRule="auto"/>
        <w:tabs>
          <w:tab w:leader="none" w:pos="780" w:val="left"/>
        </w:tabs>
        <w:numPr>
          <w:ilvl w:val="0"/>
          <w:numId w:val="24"/>
        </w:numPr>
        <w:rPr>
          <w:rFonts w:ascii="Arial" w:cs="Arial" w:eastAsia="Arial" w:hAnsi="Arial"/>
          <w:sz w:val="13"/>
          <w:szCs w:val="13"/>
          <w:color w:val="767171"/>
        </w:rPr>
      </w:pPr>
      <w:r>
        <w:rPr>
          <w:rFonts w:ascii="Arial" w:cs="Arial" w:eastAsia="Arial" w:hAnsi="Arial"/>
          <w:sz w:val="13"/>
          <w:szCs w:val="13"/>
          <w:color w:val="767171"/>
        </w:rPr>
        <w:t>Gross margin, excluding inventory valuation adjustments, decreased to 26% from 27% in the second quarter of 2019 and 29% in the first quarter of 2020. The decrease was partially due to introductory shipments made at lower margins in International Medical and a one-time Bulk transaction associated with the termination of a supply contract.</w:t>
      </w:r>
    </w:p>
    <w:p>
      <w:pPr>
        <w:ind w:left="1600" w:right="80" w:hanging="396"/>
        <w:spacing w:after="0" w:line="241" w:lineRule="auto"/>
        <w:rPr>
          <w:rFonts w:ascii="Arial" w:cs="Arial" w:eastAsia="Arial" w:hAnsi="Arial"/>
          <w:sz w:val="13"/>
          <w:szCs w:val="13"/>
          <w:color w:val="767171"/>
        </w:rPr>
      </w:pPr>
      <w:r>
        <w:rPr>
          <w:rFonts w:ascii="Courier New" w:cs="Courier New" w:eastAsia="Courier New" w:hAnsi="Courier New"/>
          <w:sz w:val="14"/>
          <w:szCs w:val="14"/>
          <w:color w:val="767171"/>
        </w:rPr>
        <w:t>o</w:t>
      </w:r>
      <w:r>
        <w:rPr>
          <w:rFonts w:ascii="Arial" w:cs="Arial" w:eastAsia="Arial" w:hAnsi="Arial"/>
          <w:sz w:val="14"/>
          <w:szCs w:val="14"/>
          <w:color w:val="767171"/>
        </w:rPr>
        <w:t>Gross margins for cannabis, excluding inventory valuation adjustments, decreased to 10% from 14% in the second quarter of 2019 and 20% in the first quarter of 2020.</w:t>
      </w:r>
    </w:p>
    <w:p>
      <w:pPr>
        <w:ind w:left="1600" w:right="140" w:hanging="396"/>
        <w:spacing w:after="0" w:line="260" w:lineRule="auto"/>
        <w:rPr>
          <w:rFonts w:ascii="Arial" w:cs="Arial" w:eastAsia="Arial" w:hAnsi="Arial"/>
          <w:sz w:val="13"/>
          <w:szCs w:val="13"/>
          <w:color w:val="767171"/>
        </w:rPr>
      </w:pPr>
      <w:r>
        <w:rPr>
          <w:rFonts w:ascii="Courier New" w:cs="Courier New" w:eastAsia="Courier New" w:hAnsi="Courier New"/>
          <w:sz w:val="14"/>
          <w:szCs w:val="14"/>
          <w:color w:val="767171"/>
        </w:rPr>
        <w:t>o</w:t>
      </w:r>
      <w:r>
        <w:rPr>
          <w:rFonts w:ascii="Arial" w:cs="Arial" w:eastAsia="Arial" w:hAnsi="Arial"/>
          <w:sz w:val="13"/>
          <w:szCs w:val="13"/>
          <w:color w:val="767171"/>
        </w:rPr>
        <w:t>Gross margin for hemp, excluding inventory valuation adjustments, decreased to 50% from 51% in the second quarter of 2019 and increased from 41% in the first quarter of 2020. The sequential increase in gross margin is largely attributable to the timing of discount programs offered to Tilray’s largest customer.</w:t>
      </w:r>
    </w:p>
    <w:p>
      <w:pPr>
        <w:ind w:left="780" w:right="80" w:hanging="392"/>
        <w:spacing w:after="0" w:line="244" w:lineRule="auto"/>
        <w:tabs>
          <w:tab w:leader="none" w:pos="780" w:val="left"/>
        </w:tabs>
        <w:numPr>
          <w:ilvl w:val="0"/>
          <w:numId w:val="24"/>
        </w:numPr>
        <w:rPr>
          <w:rFonts w:ascii="Arial" w:cs="Arial" w:eastAsia="Arial" w:hAnsi="Arial"/>
          <w:sz w:val="14"/>
          <w:szCs w:val="14"/>
          <w:color w:val="767171"/>
        </w:rPr>
      </w:pPr>
      <w:r>
        <w:rPr>
          <w:rFonts w:ascii="Arial" w:cs="Arial" w:eastAsia="Arial" w:hAnsi="Arial"/>
          <w:sz w:val="14"/>
          <w:szCs w:val="14"/>
          <w:color w:val="767171"/>
        </w:rPr>
        <w:t>Net loss increased $45.4 million to ($81.7) million, or ($0.66) per share, compared to net loss of ($36.3) million, or ($0.37) per share, in the second quarter of 2019. The increased net loss was primarily due to a $18.6 million inventory valuation adjustment, a charge of $28.4 million for impairment of assets, $11.2 million impact of the change in fair value of warrant liability, offset by $13.3 million of foreign exchange gains due to the strengthening of the Canadian dollar.</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type w:val="continuous"/>
        </w:sectPr>
      </w:pPr>
    </w:p>
    <w:bookmarkStart w:id="18" w:name="page19"/>
    <w:bookmarkEnd w:id="18"/>
    <w:p>
      <w:pPr>
        <w:ind w:left="10400"/>
        <w:spacing w:after="0"/>
        <w:rPr>
          <w:sz w:val="20"/>
          <w:szCs w:val="20"/>
          <w:color w:val="auto"/>
        </w:rPr>
      </w:pPr>
      <w:r>
        <w:rPr>
          <w:rFonts w:ascii="Arial" w:cs="Arial" w:eastAsia="Arial" w:hAnsi="Arial"/>
          <w:sz w:val="16"/>
          <w:szCs w:val="16"/>
          <w:b w:val="1"/>
          <w:bCs w:val="1"/>
          <w:color w:val="76717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1605915"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tabs>
          <w:tab w:leader="none" w:pos="10040" w:val="left"/>
        </w:tabs>
        <w:rPr>
          <w:sz w:val="20"/>
          <w:szCs w:val="20"/>
          <w:color w:val="auto"/>
        </w:rPr>
      </w:pPr>
      <w:r>
        <w:rPr>
          <w:rFonts w:ascii="Arial" w:cs="Arial" w:eastAsia="Arial" w:hAnsi="Arial"/>
          <w:sz w:val="19"/>
          <w:szCs w:val="19"/>
          <w:b w:val="1"/>
          <w:bCs w:val="1"/>
          <w:color w:val="767171"/>
        </w:rPr>
        <w:t>PRESS RELEASE</w:t>
      </w:r>
      <w:r>
        <w:rPr>
          <w:sz w:val="20"/>
          <w:szCs w:val="20"/>
          <w:color w:val="auto"/>
        </w:rPr>
        <w:tab/>
      </w:r>
      <w:r>
        <w:rPr>
          <w:rFonts w:ascii="Arial" w:cs="Arial" w:eastAsia="Arial" w:hAnsi="Arial"/>
          <w:sz w:val="16"/>
          <w:szCs w:val="16"/>
          <w:b w:val="1"/>
          <w:bCs w:val="1"/>
          <w:color w:val="767171"/>
        </w:rPr>
        <w:t>August 10, 2020</w:t>
      </w:r>
    </w:p>
    <w:p>
      <w:pPr>
        <w:spacing w:after="0" w:line="196" w:lineRule="exact"/>
        <w:rPr>
          <w:sz w:val="20"/>
          <w:szCs w:val="20"/>
          <w:color w:val="auto"/>
        </w:rPr>
      </w:pPr>
    </w:p>
    <w:p>
      <w:pPr>
        <w:ind w:left="780" w:right="180" w:hanging="392"/>
        <w:spacing w:after="0" w:line="241" w:lineRule="auto"/>
        <w:tabs>
          <w:tab w:leader="none" w:pos="780" w:val="left"/>
        </w:tabs>
        <w:numPr>
          <w:ilvl w:val="0"/>
          <w:numId w:val="25"/>
        </w:numPr>
        <w:rPr>
          <w:rFonts w:ascii="Arial" w:cs="Arial" w:eastAsia="Arial" w:hAnsi="Arial"/>
          <w:sz w:val="14"/>
          <w:szCs w:val="14"/>
          <w:color w:val="767171"/>
        </w:rPr>
      </w:pPr>
      <w:r>
        <w:rPr>
          <w:rFonts w:ascii="Arial" w:cs="Arial" w:eastAsia="Arial" w:hAnsi="Arial"/>
          <w:sz w:val="14"/>
          <w:szCs w:val="14"/>
          <w:color w:val="767171"/>
        </w:rPr>
        <w:t>Adjusted EBITDA loss of ($12.3) million was 32% better than the ($18.0) million loss in the second quarter of 2019. The Adjusted EBITDA improvement was largely due to higher revenues in all channels, and reduced expenses.</w:t>
      </w:r>
    </w:p>
    <w:p>
      <w:pPr>
        <w:ind w:left="780" w:right="560" w:hanging="392"/>
        <w:spacing w:after="0" w:line="241" w:lineRule="auto"/>
        <w:tabs>
          <w:tab w:leader="none" w:pos="780" w:val="left"/>
        </w:tabs>
        <w:numPr>
          <w:ilvl w:val="0"/>
          <w:numId w:val="25"/>
        </w:numPr>
        <w:rPr>
          <w:rFonts w:ascii="Arial" w:cs="Arial" w:eastAsia="Arial" w:hAnsi="Arial"/>
          <w:sz w:val="14"/>
          <w:szCs w:val="14"/>
          <w:color w:val="767171"/>
        </w:rPr>
      </w:pPr>
      <w:r>
        <w:rPr>
          <w:rFonts w:ascii="Arial" w:cs="Arial" w:eastAsia="Arial" w:hAnsi="Arial"/>
          <w:sz w:val="14"/>
          <w:szCs w:val="14"/>
          <w:color w:val="767171"/>
        </w:rPr>
        <w:t>Adjusted EBITDA loss in the second quarter of 2020 was a 34% improvement compared to the ($18.7) million loss in the first quarter of 2020. The reduced loss was generally due to significant cost reductions and operating efficiencies despite moderately lower revenues attributable to COVID-19 impacts.</w:t>
      </w:r>
    </w:p>
    <w:p>
      <w:pPr>
        <w:ind w:left="780" w:right="40" w:hanging="392"/>
        <w:spacing w:after="0" w:line="284" w:lineRule="auto"/>
        <w:tabs>
          <w:tab w:leader="none" w:pos="780" w:val="left"/>
        </w:tabs>
        <w:numPr>
          <w:ilvl w:val="0"/>
          <w:numId w:val="25"/>
        </w:numPr>
        <w:rPr>
          <w:rFonts w:ascii="Arial" w:cs="Arial" w:eastAsia="Arial" w:hAnsi="Arial"/>
          <w:sz w:val="13"/>
          <w:szCs w:val="13"/>
          <w:color w:val="767171"/>
        </w:rPr>
      </w:pPr>
      <w:r>
        <w:rPr>
          <w:rFonts w:ascii="Arial" w:cs="Arial" w:eastAsia="Arial" w:hAnsi="Arial"/>
          <w:sz w:val="13"/>
          <w:szCs w:val="13"/>
          <w:color w:val="767171"/>
        </w:rPr>
        <w:t>We ended the second quarter of 2020 with $137.2 million in cash and cash equivalents. We believe our existing cash balance, reduced cash burn, and our access to the remaining $250 million on our ATM provide sufficient capital and access to capital to manage operations and execute our plans for the remainder of 2020 and well into 2021.</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002060"/>
        </w:rPr>
        <w:t>Update to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7F7F7F"/>
        </w:rPr>
        <w:t>Maryscott Greenwood intends to resign as a member of our board of directors and all committees thereof, effective as of September 30, 2020. The Company is grateful for Ms.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Greenwood’s contributions to Tilray.</w:t>
      </w:r>
    </w:p>
    <w:p>
      <w:pPr>
        <w:spacing w:after="0" w:line="163"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7F7F7F"/>
        </w:rPr>
        <w:t>Effective August 6, 2020, Soren Schroder has been appointed as a Director on the Tilray Board. Soren has served in a variety of agribusiness leadership roles in the United States and Europe. After working for more than 15 years at Continental Grain and Cargill, he joined Bunge Ltd in 2000. Soren served as CEO of Bunge North America, leading Bunge’s business operations in the United States, Canada, and Mexico. In June 2013, he was named CEO of Bunge Ltd, serving in this role until 2019. Soren is active in board and advisory roles for emerging companies in the agribusiness and food sectors. His experience lies in building global supply chains, managing risk, logisitics, industrial and value-added activities, and executing on strategy via acquisitions and partnerships on a global scale. Soren is a Danish National and earned a BA in Economics from Connecticut College.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002060"/>
        </w:rPr>
        <w:t>COVID-19 Business Continuity Measures</w:t>
      </w:r>
    </w:p>
    <w:p>
      <w:pPr>
        <w:spacing w:after="0" w:line="17"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7F7F7F"/>
        </w:rPr>
        <w:t>Since the outset of the global health pandemic, we have remained committed to the health of our employees. We continue to adhere to the regulations outlined by governments and health regulators in all markets in which we do business. Our business continuity plan remains in effect across all offices and facilities to ensure the health and safety of its workforce, consumers, and the communities in which it operates.</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type w:val="continuous"/>
        </w:sectPr>
      </w:pPr>
    </w:p>
    <w:bookmarkStart w:id="19" w:name="page20"/>
    <w:bookmarkEnd w:id="19"/>
    <w:p>
      <w:pPr>
        <w:ind w:left="10400"/>
        <w:spacing w:after="0"/>
        <w:rPr>
          <w:sz w:val="20"/>
          <w:szCs w:val="20"/>
          <w:color w:val="auto"/>
        </w:rPr>
      </w:pPr>
      <w:r>
        <w:rPr>
          <w:rFonts w:ascii="Arial" w:cs="Arial" w:eastAsia="Arial" w:hAnsi="Arial"/>
          <w:sz w:val="16"/>
          <w:szCs w:val="16"/>
          <w:b w:val="1"/>
          <w:bCs w:val="1"/>
          <w:color w:val="76717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160591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tabs>
          <w:tab w:leader="none" w:pos="10040" w:val="left"/>
        </w:tabs>
        <w:rPr>
          <w:sz w:val="20"/>
          <w:szCs w:val="20"/>
          <w:color w:val="auto"/>
        </w:rPr>
      </w:pPr>
      <w:r>
        <w:rPr>
          <w:rFonts w:ascii="Arial" w:cs="Arial" w:eastAsia="Arial" w:hAnsi="Arial"/>
          <w:sz w:val="19"/>
          <w:szCs w:val="19"/>
          <w:b w:val="1"/>
          <w:bCs w:val="1"/>
          <w:color w:val="767171"/>
        </w:rPr>
        <w:t>PRESS RELEASE</w:t>
      </w:r>
      <w:r>
        <w:rPr>
          <w:sz w:val="20"/>
          <w:szCs w:val="20"/>
          <w:color w:val="auto"/>
        </w:rPr>
        <w:tab/>
      </w:r>
      <w:r>
        <w:rPr>
          <w:rFonts w:ascii="Arial" w:cs="Arial" w:eastAsia="Arial" w:hAnsi="Arial"/>
          <w:sz w:val="16"/>
          <w:szCs w:val="16"/>
          <w:b w:val="1"/>
          <w:bCs w:val="1"/>
          <w:color w:val="767171"/>
        </w:rPr>
        <w:t>August 10, 2020</w:t>
      </w:r>
    </w:p>
    <w:p>
      <w:pPr>
        <w:spacing w:after="0" w:line="196"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7F7F7F"/>
        </w:rPr>
        <w:t>We have experienced moderate impacts to our Adult Use revenue and Canadian medical, but no material impact to our operations as a result of the COVID-19 pandemic. While we remain committed to serving our patients and consumers around the world, due to the uncertainty presented by COVID-19 and its potential impact on the our patients, customers, supply chain, markets, employees, and the potential broader ramifications to the global economy, financial markets, and government institutions, we may experience material effects to our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034676"/>
        </w:rPr>
        <w:t>Conference Call</w:t>
      </w:r>
    </w:p>
    <w:p>
      <w:pPr>
        <w:spacing w:after="0" w:line="17"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767171"/>
        </w:rPr>
        <w:t>The Company will host a conference call today, August 10, 2020, to discuss these results at 5:00 p.m. ET. Investors interested in participating in the live call can dial 877-407-0792 from the U.S. and 201-689-8263 internationally.</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767171"/>
        </w:rPr>
        <w:t>There will also be a simultaneous, live webcast available on the Investors section of the Company’s website at www.tilray.com. The webcast will also be archived after the call concludes.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034676"/>
          <w:highlight w:val="white"/>
        </w:rPr>
        <w:t>About Tilray®</w:t>
      </w:r>
    </w:p>
    <w:p>
      <w:pPr>
        <w:spacing w:after="0" w:line="17" w:lineRule="exact"/>
        <w:rPr>
          <w:sz w:val="20"/>
          <w:szCs w:val="20"/>
          <w:color w:val="auto"/>
        </w:rPr>
      </w:pPr>
    </w:p>
    <w:p>
      <w:pPr>
        <w:ind w:right="500"/>
        <w:spacing w:after="0" w:line="247" w:lineRule="auto"/>
        <w:rPr>
          <w:sz w:val="20"/>
          <w:szCs w:val="20"/>
          <w:color w:val="auto"/>
        </w:rPr>
      </w:pPr>
      <w:r>
        <w:rPr>
          <w:rFonts w:ascii="Arial" w:cs="Arial" w:eastAsia="Arial" w:hAnsi="Arial"/>
          <w:sz w:val="14"/>
          <w:szCs w:val="14"/>
          <w:color w:val="767171"/>
        </w:rPr>
        <w:t>Tilray (Nasdaq: TLRY) is a global pioneer in the research, cultivation, production and distribution of cannabis and cannabinoids currently serving tens of thousands of patients and consumers in 15 countries spanning five continents.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034676"/>
          <w:highlight w:val="white"/>
        </w:rPr>
        <w:t>Forward Looking Statements</w:t>
      </w:r>
    </w:p>
    <w:p>
      <w:pPr>
        <w:spacing w:after="0" w:line="1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767171"/>
        </w:rPr>
        <w:t xml:space="preserve">This press release contains “forward-looking statements”, which may be identified by the use of words such as, “may”, “would”, “could”, “will”, “likely”, “expect”, “anticipate”, “believe, “intend”, “plan”, “forecast”, “project”, “estimate”, “outlook” and other similar expressions, including statements regarding our growth potential, the sustainability of growth, </w:t>
      </w:r>
      <w:r>
        <w:rPr>
          <w:rFonts w:ascii="Arial" w:cs="Arial" w:eastAsia="Arial" w:hAnsi="Arial"/>
          <w:sz w:val="13"/>
          <w:szCs w:val="13"/>
          <w:color w:val="767171"/>
        </w:rPr>
        <w:t>the optimization</w:t>
      </w:r>
      <w:r>
        <w:rPr>
          <w:rFonts w:ascii="Arial" w:cs="Arial" w:eastAsia="Arial" w:hAnsi="Arial"/>
          <w:sz w:val="14"/>
          <w:szCs w:val="14"/>
          <w:color w:val="767171"/>
        </w:rPr>
        <w:t xml:space="preserve"> </w:t>
      </w:r>
      <w:r>
        <w:rPr>
          <w:rFonts w:ascii="Arial" w:cs="Arial" w:eastAsia="Arial" w:hAnsi="Arial"/>
          <w:sz w:val="13"/>
          <w:szCs w:val="13"/>
          <w:color w:val="767171"/>
        </w:rPr>
        <w:t>of our facilities and estimated net savings, our ability to become Adjusted EBITDA positive by the end of 2020, demand for our products and the medical and Adult Use cannabis markets, anticipated plans for strategic partnerships and acquisitions, and future sales of our common stock. Forward-looking statements are not a guarantee of future performance and are based upon a number of estimates and assumptions of management in light of management’s experience and perception of trends, current conditions and expected developments, as well as other factors that management believes to be relevant and reasonable in the circumstances, including assumptions in respect of current and future market conditions. Actual results, performance or achievement could differ materially from that expressed in, or implied by, any forward-looking statements in this press release, and, accordingly, you should not place undue reliance on any such forward-looking statements and they are not guarantees of future results. Forward-looking statements involve significant risks, assumptions, uncertainties and other factors that may cause actual future results or anticipated events to differ materially from those expressed or implied in any forward-looking statements. Please see the heading “Risk Factors” in Tilray’s Quarterly Report on Form 10-Q, which was filed with the Securities and Exchange Commission on August 10, 2020, for a discussion of the material</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type w:val="continuous"/>
        </w:sectPr>
      </w:pPr>
    </w:p>
    <w:bookmarkStart w:id="20" w:name="page21"/>
    <w:bookmarkEnd w:id="20"/>
    <w:p>
      <w:pPr>
        <w:ind w:left="10400"/>
        <w:spacing w:after="0"/>
        <w:rPr>
          <w:sz w:val="20"/>
          <w:szCs w:val="20"/>
          <w:color w:val="auto"/>
        </w:rPr>
      </w:pPr>
      <w:r>
        <w:rPr>
          <w:rFonts w:ascii="Arial" w:cs="Arial" w:eastAsia="Arial" w:hAnsi="Arial"/>
          <w:sz w:val="16"/>
          <w:szCs w:val="16"/>
          <w:b w:val="1"/>
          <w:bCs w:val="1"/>
          <w:color w:val="76717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1605915"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tabs>
          <w:tab w:leader="none" w:pos="10040" w:val="left"/>
        </w:tabs>
        <w:rPr>
          <w:sz w:val="20"/>
          <w:szCs w:val="20"/>
          <w:color w:val="auto"/>
        </w:rPr>
      </w:pPr>
      <w:r>
        <w:rPr>
          <w:rFonts w:ascii="Arial" w:cs="Arial" w:eastAsia="Arial" w:hAnsi="Arial"/>
          <w:sz w:val="19"/>
          <w:szCs w:val="19"/>
          <w:b w:val="1"/>
          <w:bCs w:val="1"/>
          <w:color w:val="767171"/>
        </w:rPr>
        <w:t>PRESS RELEASE</w:t>
      </w:r>
      <w:r>
        <w:rPr>
          <w:sz w:val="20"/>
          <w:szCs w:val="20"/>
          <w:color w:val="auto"/>
        </w:rPr>
        <w:tab/>
      </w:r>
      <w:r>
        <w:rPr>
          <w:rFonts w:ascii="Arial" w:cs="Arial" w:eastAsia="Arial" w:hAnsi="Arial"/>
          <w:sz w:val="16"/>
          <w:szCs w:val="16"/>
          <w:b w:val="1"/>
          <w:bCs w:val="1"/>
          <w:color w:val="767171"/>
        </w:rPr>
        <w:t>August 10, 2020</w:t>
      </w:r>
    </w:p>
    <w:p>
      <w:pPr>
        <w:spacing w:after="0" w:line="196"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767171"/>
        </w:rPr>
        <w:t>risk factors that could cause actual results to differ materially from the forward-looking information. Tilray does not undertake to update any forward-looking statements that are included herein, except in accordance with applicable securities laws.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034676"/>
          <w:highlight w:val="white"/>
        </w:rPr>
        <w:t>Use of Non-U.S. GAAP Financial Measures</w:t>
      </w:r>
    </w:p>
    <w:p>
      <w:pPr>
        <w:spacing w:after="0" w:line="17"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767171"/>
        </w:rPr>
        <w:t>To supplement its financial statements, the Company provides investors with information related to Adjusted EBITDA and Gross margin, excluding inventory valuation adjustments, which are financial measures which are not calculated in accordance with generally accepted accounting principles in the United States (“U.S. GAAP”).</w:t>
      </w:r>
    </w:p>
    <w:p>
      <w:pPr>
        <w:spacing w:after="0" w:line="155"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767171"/>
        </w:rPr>
        <w:t>Adjusted EBITDA is calculated as net income (loss) before inventory valuation adjustments; interest expenses, net; other expenses (income), net; deferred income tax (recoveries) expenses, current income tax expenses (benefit); foreign exchange gain (loss), net; depreciation and amortization expenses; other stock-based related compensation expenses; loss from equity method investments; finance income from ABG; loss on disposal of property and equipment; acquisition-related (income) expense; amortization of inventory step-up; severance costs; impairment of assets; and change in fair value of warrant liability. A reconciliation of Adjusted EBITDA to net loss, the most directly comparable GAAP measure, has been provided in the financial statement tables included below in this press release. Gross margin, excluding inventory valuation adjustments, is calculated as revenue less cost of sales adjusted to add back inventory valuation adjustments and amortization of inventory step-up, divided by revenue. A reconciliation of Gross margin, excluding inventory valuation adjustments, to gross margin, the most directly comparable GAAP measure, has been provided in the financial statement tables included below in this press release.</w:t>
      </w:r>
    </w:p>
    <w:p>
      <w:pPr>
        <w:spacing w:after="0" w:line="160"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767171"/>
        </w:rPr>
        <w:t>The Company believes these non-GAAP financial measures provide useful information to management and investors regarding certain financial and business trends relating to the Company’s financial condition and results of operations. Management uses these non-GAAP financial measures to compare the Company's performance to that of prior periods for trend analyses and planning purposes. These non-GAAP financial measures are also presented to the Company’s Board of Directors.</w:t>
      </w:r>
    </w:p>
    <w:p>
      <w:pPr>
        <w:spacing w:after="0" w:line="157"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767171"/>
        </w:rPr>
        <w:t>Non-U.S. GAAP measures should not be considered a substitute for, or superior to, financial measures calculated in accordance with U.S. GAAP. Non-U.S. GAAP measures exclude significant expenses that are required by U.S. GAAP to be recorded in the Company's financial statements and are subject to inherent limitations.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034676"/>
          <w:highlight w:val="white"/>
        </w:rPr>
        <w:t>For further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767171"/>
          <w:highlight w:val="white"/>
        </w:rPr>
        <w:t xml:space="preserve">Media: Chrissy Roebuck, +1-833-206-8161, </w:t>
      </w:r>
      <w:r>
        <w:rPr>
          <w:rFonts w:ascii="Arial" w:cs="Arial" w:eastAsia="Arial" w:hAnsi="Arial"/>
          <w:sz w:val="14"/>
          <w:szCs w:val="14"/>
          <w:u w:val="single" w:color="auto"/>
          <w:color w:val="767171"/>
          <w:highlight w:val="white"/>
        </w:rPr>
        <w:t>news@tilray.com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67171"/>
          <w:highlight w:val="white"/>
        </w:rPr>
        <w:t xml:space="preserve">Investors: Raphael Gross, +1-203-682-8253, </w:t>
      </w:r>
      <w:r>
        <w:rPr>
          <w:rFonts w:ascii="Arial" w:cs="Arial" w:eastAsia="Arial" w:hAnsi="Arial"/>
          <w:sz w:val="14"/>
          <w:szCs w:val="14"/>
          <w:u w:val="single" w:color="auto"/>
          <w:color w:val="767171"/>
          <w:highlight w:val="white"/>
        </w:rPr>
        <w:t>Raphael.Gross@icrinc.com</w:t>
      </w: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b w:val="1"/>
                <w:bCs w:val="1"/>
                <w:color w:val="767171"/>
              </w:rPr>
              <w:t>Exhibit 99.1</w:t>
            </w:r>
          </w:p>
        </w:tc>
        <w:tc>
          <w:tcPr>
            <w:tcW w:w="0" w:type="dxa"/>
            <w:vAlign w:val="bottom"/>
          </w:tcPr>
          <w:p>
            <w:pPr>
              <w:spacing w:after="0"/>
              <w:rPr>
                <w:sz w:val="1"/>
                <w:szCs w:val="1"/>
                <w:color w:val="auto"/>
              </w:rPr>
            </w:pPr>
          </w:p>
        </w:tc>
      </w:tr>
      <w:tr>
        <w:trPr>
          <w:trHeight w:val="753"/>
        </w:trPr>
        <w:tc>
          <w:tcPr>
            <w:tcW w:w="3140" w:type="dxa"/>
            <w:vAlign w:val="bottom"/>
          </w:tcPr>
          <w:p>
            <w:pPr>
              <w:spacing w:after="0"/>
              <w:rPr>
                <w:sz w:val="20"/>
                <w:szCs w:val="20"/>
                <w:color w:val="auto"/>
              </w:rPr>
            </w:pPr>
            <w:r>
              <w:rPr>
                <w:rFonts w:ascii="Arial" w:cs="Arial" w:eastAsia="Arial" w:hAnsi="Arial"/>
                <w:sz w:val="19"/>
                <w:szCs w:val="19"/>
                <w:b w:val="1"/>
                <w:bCs w:val="1"/>
                <w:color w:val="767171"/>
              </w:rPr>
              <w:t>PRESS RELEASE</w:t>
            </w: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b w:val="1"/>
                <w:bCs w:val="1"/>
                <w:color w:val="767171"/>
              </w:rPr>
              <w:t>August 10, 2020</w:t>
            </w:r>
          </w:p>
        </w:tc>
        <w:tc>
          <w:tcPr>
            <w:tcW w:w="0" w:type="dxa"/>
            <w:vAlign w:val="bottom"/>
          </w:tcPr>
          <w:p>
            <w:pPr>
              <w:spacing w:after="0"/>
              <w:rPr>
                <w:sz w:val="1"/>
                <w:szCs w:val="1"/>
                <w:color w:val="auto"/>
              </w:rPr>
            </w:pPr>
          </w:p>
        </w:tc>
      </w:tr>
      <w:tr>
        <w:trPr>
          <w:trHeight w:val="286"/>
        </w:trPr>
        <w:tc>
          <w:tcPr>
            <w:tcW w:w="3140" w:type="dxa"/>
            <w:vAlign w:val="bottom"/>
          </w:tcPr>
          <w:p>
            <w:pPr>
              <w:spacing w:after="0"/>
              <w:rPr>
                <w:sz w:val="24"/>
                <w:szCs w:val="24"/>
                <w:color w:val="auto"/>
              </w:rPr>
            </w:pPr>
          </w:p>
        </w:tc>
        <w:tc>
          <w:tcPr>
            <w:tcW w:w="2860" w:type="dxa"/>
            <w:vAlign w:val="bottom"/>
            <w:gridSpan w:val="2"/>
          </w:tcPr>
          <w:p>
            <w:pPr>
              <w:jc w:val="center"/>
              <w:ind w:left="2086"/>
              <w:spacing w:after="0"/>
              <w:rPr>
                <w:sz w:val="20"/>
                <w:szCs w:val="20"/>
                <w:color w:val="auto"/>
              </w:rPr>
            </w:pPr>
            <w:r>
              <w:rPr>
                <w:rFonts w:ascii="Arial" w:cs="Arial" w:eastAsia="Arial" w:hAnsi="Arial"/>
                <w:sz w:val="11"/>
                <w:szCs w:val="11"/>
                <w:b w:val="1"/>
                <w:bCs w:val="1"/>
                <w:color w:val="auto"/>
              </w:rPr>
              <w:t>TILRAY, INC.</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4320" w:type="dxa"/>
            <w:vAlign w:val="bottom"/>
            <w:gridSpan w:val="5"/>
          </w:tcPr>
          <w:p>
            <w:pPr>
              <w:jc w:val="center"/>
              <w:ind w:left="626"/>
              <w:spacing w:after="0"/>
              <w:rPr>
                <w:sz w:val="20"/>
                <w:szCs w:val="20"/>
                <w:color w:val="auto"/>
              </w:rPr>
            </w:pPr>
            <w:r>
              <w:rPr>
                <w:rFonts w:ascii="Arial" w:cs="Arial" w:eastAsia="Arial" w:hAnsi="Arial"/>
                <w:sz w:val="11"/>
                <w:szCs w:val="11"/>
                <w:b w:val="1"/>
                <w:bCs w:val="1"/>
                <w:color w:val="auto"/>
                <w:w w:val="86"/>
              </w:rPr>
              <w:t>Condensed Consolidated Statements of Net Loss and Comprehensive Loss</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40" w:type="dxa"/>
            <w:vAlign w:val="bottom"/>
          </w:tcPr>
          <w:p>
            <w:pPr>
              <w:spacing w:after="0"/>
              <w:rPr>
                <w:sz w:val="12"/>
                <w:szCs w:val="12"/>
                <w:color w:val="auto"/>
              </w:rPr>
            </w:pPr>
          </w:p>
        </w:tc>
        <w:tc>
          <w:tcPr>
            <w:tcW w:w="5300" w:type="dxa"/>
            <w:vAlign w:val="bottom"/>
            <w:gridSpan w:val="7"/>
          </w:tcPr>
          <w:p>
            <w:pPr>
              <w:jc w:val="center"/>
              <w:ind w:right="300"/>
              <w:spacing w:after="0"/>
              <w:rPr>
                <w:sz w:val="20"/>
                <w:szCs w:val="20"/>
                <w:color w:val="auto"/>
              </w:rPr>
            </w:pPr>
            <w:r>
              <w:rPr>
                <w:rFonts w:ascii="Arial" w:cs="Arial" w:eastAsia="Arial" w:hAnsi="Arial"/>
                <w:sz w:val="11"/>
                <w:szCs w:val="11"/>
                <w:b w:val="1"/>
                <w:bCs w:val="1"/>
                <w:color w:val="auto"/>
                <w:w w:val="87"/>
              </w:rPr>
              <w:t>(in thousands of United States dollars, except for share and per share data, unaudited)</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3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6"/>
          </w:tcPr>
          <w:p>
            <w:pPr>
              <w:jc w:val="right"/>
              <w:ind w:right="98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133"/>
        </w:trPr>
        <w:tc>
          <w:tcPr>
            <w:tcW w:w="3140" w:type="dxa"/>
            <w:vAlign w:val="bottom"/>
            <w:tcBorders>
              <w:bottom w:val="single" w:sz="8" w:color="CFF0FC"/>
            </w:tcBorders>
          </w:tcPr>
          <w:p>
            <w:pPr>
              <w:spacing w:after="0"/>
              <w:rPr>
                <w:sz w:val="11"/>
                <w:szCs w:val="11"/>
                <w:color w:val="auto"/>
              </w:rPr>
            </w:pPr>
          </w:p>
        </w:tc>
        <w:tc>
          <w:tcPr>
            <w:tcW w:w="2340" w:type="dxa"/>
            <w:vAlign w:val="bottom"/>
            <w:tcBorders>
              <w:bottom w:val="single" w:sz="8" w:color="CFF0FC"/>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w w:val="80"/>
              </w:rPr>
              <w:t>2020</w:t>
            </w:r>
          </w:p>
        </w:tc>
        <w:tc>
          <w:tcPr>
            <w:tcW w:w="240" w:type="dxa"/>
            <w:vAlign w:val="bottom"/>
            <w:tcBorders>
              <w:top w:val="single" w:sz="8" w:color="auto"/>
              <w:bottom w:val="single" w:sz="8" w:color="CFF0FC"/>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w w:val="89"/>
              </w:rPr>
              <w:t>2019</w:t>
            </w:r>
          </w:p>
        </w:tc>
        <w:tc>
          <w:tcPr>
            <w:tcW w:w="240" w:type="dxa"/>
            <w:vAlign w:val="bottom"/>
            <w:tcBorders>
              <w:bottom w:val="single" w:sz="8" w:color="CFF0FC"/>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2020</w:t>
            </w:r>
          </w:p>
        </w:tc>
        <w:tc>
          <w:tcPr>
            <w:tcW w:w="24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40" w:type="dxa"/>
            <w:vAlign w:val="bottom"/>
            <w:shd w:val="clear" w:color="auto" w:fill="CFF0FC"/>
          </w:tcPr>
          <w:p>
            <w:pPr>
              <w:spacing w:after="0"/>
              <w:rPr>
                <w:sz w:val="20"/>
                <w:szCs w:val="20"/>
                <w:color w:val="auto"/>
              </w:rPr>
            </w:pPr>
            <w:r>
              <w:rPr>
                <w:rFonts w:ascii="Arial" w:cs="Arial" w:eastAsia="Arial" w:hAnsi="Arial"/>
                <w:sz w:val="11"/>
                <w:szCs w:val="11"/>
                <w:color w:val="auto"/>
              </w:rPr>
              <w:t>Revenue</w:t>
            </w:r>
          </w:p>
        </w:tc>
        <w:tc>
          <w:tcPr>
            <w:tcW w:w="2860" w:type="dxa"/>
            <w:vAlign w:val="bottom"/>
            <w:gridSpan w:val="2"/>
            <w:shd w:val="clear" w:color="auto" w:fill="CFF0FC"/>
          </w:tcPr>
          <w:p>
            <w:pPr>
              <w:jc w:val="right"/>
              <w:ind w:right="411"/>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50,414</w:t>
            </w: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3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45,904</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102,516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68,942</w:t>
            </w:r>
          </w:p>
        </w:tc>
        <w:tc>
          <w:tcPr>
            <w:tcW w:w="12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Cost of sales</w:t>
            </w: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Product costs</w:t>
            </w:r>
          </w:p>
        </w:tc>
        <w:tc>
          <w:tcPr>
            <w:tcW w:w="23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37,204</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33,430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74,392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50,759</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FF0FC"/>
            </w:tcBorders>
          </w:tcPr>
          <w:p>
            <w:pPr>
              <w:ind w:left="240"/>
              <w:spacing w:after="0"/>
              <w:rPr>
                <w:sz w:val="20"/>
                <w:szCs w:val="20"/>
                <w:color w:val="auto"/>
              </w:rPr>
            </w:pPr>
            <w:r>
              <w:rPr>
                <w:rFonts w:ascii="Arial" w:cs="Arial" w:eastAsia="Arial" w:hAnsi="Arial"/>
                <w:sz w:val="11"/>
                <w:szCs w:val="11"/>
                <w:color w:val="auto"/>
              </w:rPr>
              <w:t>Inventory valuation adjustments</w:t>
            </w:r>
          </w:p>
        </w:tc>
        <w:tc>
          <w:tcPr>
            <w:tcW w:w="234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18,629</w:t>
            </w:r>
          </w:p>
        </w:tc>
        <w:tc>
          <w:tcPr>
            <w:tcW w:w="24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22,673</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w:t>
            </w:r>
          </w:p>
        </w:tc>
        <w:tc>
          <w:tcPr>
            <w:tcW w:w="12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Gross (loss) profit</w:t>
            </w:r>
          </w:p>
        </w:tc>
        <w:tc>
          <w:tcPr>
            <w:tcW w:w="23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(5,419)</w:t>
            </w:r>
          </w:p>
        </w:tc>
        <w:tc>
          <w:tcPr>
            <w:tcW w:w="5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12,273</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17,658</w:t>
            </w:r>
          </w:p>
        </w:tc>
        <w:tc>
          <w:tcPr>
            <w:tcW w:w="12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20"/>
                <w:szCs w:val="20"/>
                <w:color w:val="auto"/>
              </w:rPr>
            </w:pPr>
            <w:r>
              <w:rPr>
                <w:rFonts w:ascii="Arial" w:cs="Arial" w:eastAsia="Arial" w:hAnsi="Arial"/>
                <w:sz w:val="11"/>
                <w:szCs w:val="11"/>
                <w:color w:val="auto"/>
              </w:rPr>
              <w:t>General and administrative expenses</w:t>
            </w:r>
          </w:p>
        </w:tc>
        <w:tc>
          <w:tcPr>
            <w:tcW w:w="23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14,444</w:t>
            </w:r>
          </w:p>
        </w:tc>
        <w:tc>
          <w:tcPr>
            <w:tcW w:w="2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16,562</w:t>
            </w: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32,220</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29,496</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140" w:type="dxa"/>
            <w:vAlign w:val="bottom"/>
            <w:shd w:val="clear" w:color="auto" w:fill="CFF0FC"/>
          </w:tcPr>
          <w:p>
            <w:pPr>
              <w:spacing w:after="0"/>
              <w:rPr>
                <w:sz w:val="20"/>
                <w:szCs w:val="20"/>
                <w:color w:val="auto"/>
              </w:rPr>
            </w:pPr>
            <w:r>
              <w:rPr>
                <w:rFonts w:ascii="Arial" w:cs="Arial" w:eastAsia="Arial" w:hAnsi="Arial"/>
                <w:sz w:val="11"/>
                <w:szCs w:val="11"/>
                <w:color w:val="auto"/>
              </w:rPr>
              <w:t>Sales and marketing expenses</w:t>
            </w:r>
          </w:p>
        </w:tc>
        <w:tc>
          <w:tcPr>
            <w:tcW w:w="23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12,833</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14,366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30,709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22,187</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Research and development expenses</w:t>
            </w: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652</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1,528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1,910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2,576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 expenses</w:t>
            </w:r>
          </w:p>
        </w:tc>
        <w:tc>
          <w:tcPr>
            <w:tcW w:w="23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7,647</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7,923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15,324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13,659</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Depreciation and amortization expenses</w:t>
            </w: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3,337</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2,392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6,928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4,257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shd w:val="clear" w:color="auto" w:fill="CFF0FC"/>
          </w:tcPr>
          <w:p>
            <w:pPr>
              <w:spacing w:after="0"/>
              <w:rPr>
                <w:sz w:val="20"/>
                <w:szCs w:val="20"/>
                <w:color w:val="auto"/>
              </w:rPr>
            </w:pPr>
            <w:r>
              <w:rPr>
                <w:rFonts w:ascii="Arial" w:cs="Arial" w:eastAsia="Arial" w:hAnsi="Arial"/>
                <w:sz w:val="11"/>
                <w:szCs w:val="11"/>
                <w:color w:val="auto"/>
              </w:rPr>
              <w:t>Impairment of assets</w:t>
            </w:r>
          </w:p>
        </w:tc>
        <w:tc>
          <w:tcPr>
            <w:tcW w:w="23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28,371</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58,210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Acquisition-related expenses, net</w:t>
            </w: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1,790</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2,464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4,145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6,888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shd w:val="clear" w:color="auto" w:fill="CFF0FC"/>
          </w:tcPr>
          <w:p>
            <w:pPr>
              <w:spacing w:after="0"/>
              <w:rPr>
                <w:sz w:val="20"/>
                <w:szCs w:val="20"/>
                <w:color w:val="auto"/>
              </w:rPr>
            </w:pPr>
            <w:r>
              <w:rPr>
                <w:rFonts w:ascii="Arial" w:cs="Arial" w:eastAsia="Arial" w:hAnsi="Arial"/>
                <w:sz w:val="11"/>
                <w:szCs w:val="11"/>
                <w:color w:val="auto"/>
              </w:rPr>
              <w:t>Loss from equity method investments</w:t>
            </w:r>
          </w:p>
        </w:tc>
        <w:tc>
          <w:tcPr>
            <w:tcW w:w="2340" w:type="dxa"/>
            <w:vAlign w:val="bottom"/>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1,327</w:t>
            </w:r>
          </w:p>
        </w:tc>
        <w:tc>
          <w:tcPr>
            <w:tcW w:w="240" w:type="dxa"/>
            <w:vAlign w:val="bottom"/>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3,075</w:t>
            </w: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140" w:type="dxa"/>
            <w:vAlign w:val="bottom"/>
          </w:tcPr>
          <w:p>
            <w:pPr>
              <w:ind w:left="160"/>
              <w:spacing w:after="0"/>
              <w:rPr>
                <w:sz w:val="20"/>
                <w:szCs w:val="20"/>
                <w:color w:val="auto"/>
              </w:rPr>
            </w:pPr>
            <w:r>
              <w:rPr>
                <w:rFonts w:ascii="Arial" w:cs="Arial" w:eastAsia="Arial" w:hAnsi="Arial"/>
                <w:sz w:val="11"/>
                <w:szCs w:val="11"/>
                <w:color w:val="auto"/>
              </w:rPr>
              <w:t>Operating loss</w:t>
            </w:r>
          </w:p>
        </w:tc>
        <w:tc>
          <w:tcPr>
            <w:tcW w:w="2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(75,820)</w:t>
            </w:r>
          </w:p>
        </w:tc>
        <w:tc>
          <w:tcPr>
            <w:tcW w:w="5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(32,962)</w:t>
            </w:r>
          </w:p>
        </w:tc>
        <w:tc>
          <w:tcPr>
            <w:tcW w:w="30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(147,070)</w:t>
            </w:r>
          </w:p>
        </w:tc>
        <w:tc>
          <w:tcPr>
            <w:tcW w:w="10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(61,405)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Foreign exchange (gain) loss, net</w:t>
            </w:r>
          </w:p>
        </w:tc>
        <w:tc>
          <w:tcPr>
            <w:tcW w:w="23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vMerge w:val="continue"/>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(13,326)</w:t>
            </w:r>
          </w:p>
        </w:tc>
        <w:tc>
          <w:tcPr>
            <w:tcW w:w="5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(1,611)</w:t>
            </w: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14,743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(1,432)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Change in fair value of warrant liability</w:t>
            </w: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11,210</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83,188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3140" w:type="dxa"/>
            <w:vAlign w:val="bottom"/>
            <w:shd w:val="clear" w:color="auto" w:fill="CFF0FC"/>
          </w:tcPr>
          <w:p>
            <w:pPr>
              <w:spacing w:after="0"/>
              <w:rPr>
                <w:sz w:val="20"/>
                <w:szCs w:val="20"/>
                <w:color w:val="auto"/>
              </w:rPr>
            </w:pPr>
            <w:r>
              <w:rPr>
                <w:rFonts w:ascii="Arial" w:cs="Arial" w:eastAsia="Arial" w:hAnsi="Arial"/>
                <w:sz w:val="11"/>
                <w:szCs w:val="11"/>
                <w:color w:val="auto"/>
              </w:rPr>
              <w:t>Interest expenses, net</w:t>
            </w:r>
          </w:p>
        </w:tc>
        <w:tc>
          <w:tcPr>
            <w:tcW w:w="23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10,564</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8,581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19,710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17,325</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Finance income from ABG</w:t>
            </w: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(212)</w:t>
            </w:r>
          </w:p>
        </w:tc>
        <w:tc>
          <w:tcPr>
            <w:tcW w:w="3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(347)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shd w:val="clear" w:color="auto" w:fill="CFF0FC"/>
          </w:tcPr>
          <w:p>
            <w:pPr>
              <w:spacing w:after="0"/>
              <w:rPr>
                <w:sz w:val="20"/>
                <w:szCs w:val="20"/>
                <w:color w:val="auto"/>
              </w:rPr>
            </w:pPr>
            <w:r>
              <w:rPr>
                <w:rFonts w:ascii="Arial" w:cs="Arial" w:eastAsia="Arial" w:hAnsi="Arial"/>
                <w:sz w:val="11"/>
                <w:szCs w:val="11"/>
                <w:color w:val="auto"/>
              </w:rPr>
              <w:t>Other expense (income), net</w:t>
            </w:r>
          </w:p>
        </w:tc>
        <w:tc>
          <w:tcPr>
            <w:tcW w:w="23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333</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(1,224)</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4,983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(5,069)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ind w:left="160"/>
              <w:spacing w:after="0"/>
              <w:rPr>
                <w:sz w:val="20"/>
                <w:szCs w:val="20"/>
                <w:color w:val="auto"/>
              </w:rPr>
            </w:pPr>
            <w:r>
              <w:rPr>
                <w:rFonts w:ascii="Arial" w:cs="Arial" w:eastAsia="Arial" w:hAnsi="Arial"/>
                <w:sz w:val="11"/>
                <w:szCs w:val="11"/>
                <w:color w:val="auto"/>
              </w:rPr>
              <w:t>Loss before income taxes</w:t>
            </w:r>
          </w:p>
        </w:tc>
        <w:tc>
          <w:tcPr>
            <w:tcW w:w="2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140" w:type="dxa"/>
            <w:vAlign w:val="bottom"/>
            <w:vMerge w:val="continue"/>
          </w:tcPr>
          <w:p>
            <w:pPr>
              <w:spacing w:after="0"/>
              <w:rPr>
                <w:sz w:val="11"/>
                <w:szCs w:val="11"/>
                <w:color w:val="auto"/>
              </w:rPr>
            </w:pPr>
          </w:p>
        </w:tc>
        <w:tc>
          <w:tcPr>
            <w:tcW w:w="2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(84,601)</w:t>
            </w:r>
          </w:p>
        </w:tc>
        <w:tc>
          <w:tcPr>
            <w:tcW w:w="5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(38,496)</w:t>
            </w:r>
          </w:p>
        </w:tc>
        <w:tc>
          <w:tcPr>
            <w:tcW w:w="30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(269,694)</w:t>
            </w:r>
          </w:p>
        </w:tc>
        <w:tc>
          <w:tcPr>
            <w:tcW w:w="10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(71,882)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Deferred income tax recoveries</w:t>
            </w:r>
          </w:p>
        </w:tc>
        <w:tc>
          <w:tcPr>
            <w:tcW w:w="23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vMerge w:val="continue"/>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(2,875)</w:t>
            </w:r>
          </w:p>
        </w:tc>
        <w:tc>
          <w:tcPr>
            <w:tcW w:w="5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(2,642)</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(4,147)</w:t>
            </w:r>
          </w:p>
        </w:tc>
        <w:tc>
          <w:tcPr>
            <w:tcW w:w="1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(6,419)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Current income tax expenses (benefit)</w:t>
            </w: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(39)</w:t>
            </w:r>
          </w:p>
        </w:tc>
        <w:tc>
          <w:tcPr>
            <w:tcW w:w="5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447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207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FF0FC"/>
          </w:tcPr>
          <w:p>
            <w:pPr>
              <w:ind w:left="160"/>
              <w:spacing w:after="0"/>
              <w:rPr>
                <w:sz w:val="20"/>
                <w:szCs w:val="20"/>
                <w:color w:val="auto"/>
              </w:rPr>
            </w:pPr>
            <w:r>
              <w:rPr>
                <w:rFonts w:ascii="Arial" w:cs="Arial" w:eastAsia="Arial" w:hAnsi="Arial"/>
                <w:sz w:val="11"/>
                <w:szCs w:val="11"/>
                <w:color w:val="auto"/>
              </w:rPr>
              <w:t>Net loss</w:t>
            </w:r>
          </w:p>
        </w:tc>
        <w:tc>
          <w:tcPr>
            <w:tcW w:w="23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140" w:type="dxa"/>
            <w:vAlign w:val="bottom"/>
            <w:vMerge w:val="continue"/>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4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(81,687)</w:t>
            </w:r>
          </w:p>
        </w:tc>
        <w:tc>
          <w:tcPr>
            <w:tcW w:w="500" w:type="dxa"/>
            <w:vAlign w:val="bottom"/>
            <w:shd w:val="clear" w:color="auto" w:fill="CFF0FC"/>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(36,301)</w:t>
            </w:r>
          </w:p>
        </w:tc>
        <w:tc>
          <w:tcPr>
            <w:tcW w:w="300" w:type="dxa"/>
            <w:vAlign w:val="bottom"/>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(265,809)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(65,670)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vMerge w:val="restart"/>
          </w:tcPr>
          <w:p>
            <w:pPr>
              <w:spacing w:after="0"/>
              <w:rPr>
                <w:sz w:val="20"/>
                <w:szCs w:val="20"/>
                <w:color w:val="auto"/>
              </w:rPr>
            </w:pPr>
            <w:r>
              <w:rPr>
                <w:rFonts w:ascii="Arial" w:cs="Arial" w:eastAsia="Arial" w:hAnsi="Arial"/>
                <w:sz w:val="11"/>
                <w:szCs w:val="11"/>
                <w:color w:val="auto"/>
              </w:rPr>
              <w:t>Net loss per share - basic and diluted</w:t>
            </w:r>
          </w:p>
        </w:tc>
        <w:tc>
          <w:tcPr>
            <w:tcW w:w="23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140" w:type="dxa"/>
            <w:vAlign w:val="bottom"/>
            <w:vMerge w:val="continue"/>
          </w:tcPr>
          <w:p>
            <w:pPr>
              <w:spacing w:after="0"/>
              <w:rPr>
                <w:sz w:val="11"/>
                <w:szCs w:val="11"/>
                <w:color w:val="auto"/>
              </w:rPr>
            </w:pPr>
          </w:p>
        </w:tc>
        <w:tc>
          <w:tcPr>
            <w:tcW w:w="2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(0.65)</w:t>
            </w:r>
          </w:p>
        </w:tc>
        <w:tc>
          <w:tcPr>
            <w:tcW w:w="500" w:type="dxa"/>
            <w:vAlign w:val="bottom"/>
          </w:tcPr>
          <w:p>
            <w:pPr>
              <w:spacing w:after="0"/>
              <w:rPr>
                <w:sz w:val="11"/>
                <w:szCs w:val="1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(0.37)</w:t>
            </w:r>
          </w:p>
        </w:tc>
        <w:tc>
          <w:tcPr>
            <w:tcW w:w="30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(0.68)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140" w:type="dxa"/>
            <w:vAlign w:val="bottom"/>
            <w:shd w:val="clear" w:color="auto" w:fill="CFF0FC"/>
          </w:tcPr>
          <w:p>
            <w:pPr>
              <w:spacing w:after="0"/>
              <w:rPr>
                <w:sz w:val="20"/>
                <w:szCs w:val="20"/>
                <w:color w:val="auto"/>
              </w:rPr>
            </w:pPr>
            <w:r>
              <w:rPr>
                <w:rFonts w:ascii="Arial" w:cs="Arial" w:eastAsia="Arial" w:hAnsi="Arial"/>
                <w:sz w:val="11"/>
                <w:szCs w:val="11"/>
                <w:color w:val="auto"/>
              </w:rPr>
              <w:t>Weighted average shares used in computation of net loss per</w:t>
            </w:r>
          </w:p>
        </w:tc>
        <w:tc>
          <w:tcPr>
            <w:tcW w:w="23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FF0FC"/>
          </w:tcPr>
          <w:p>
            <w:pPr>
              <w:ind w:left="80"/>
              <w:spacing w:after="0"/>
              <w:rPr>
                <w:sz w:val="20"/>
                <w:szCs w:val="20"/>
                <w:color w:val="auto"/>
              </w:rPr>
            </w:pPr>
            <w:r>
              <w:rPr>
                <w:rFonts w:ascii="Arial" w:cs="Arial" w:eastAsia="Arial" w:hAnsi="Arial"/>
                <w:sz w:val="11"/>
                <w:szCs w:val="11"/>
                <w:color w:val="auto"/>
              </w:rPr>
              <w:t>share - basic and diluted</w:t>
            </w:r>
          </w:p>
        </w:tc>
        <w:tc>
          <w:tcPr>
            <w:tcW w:w="23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124,763,445</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97,231,839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115,593,533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96,037,142</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Net loss</w:t>
            </w:r>
          </w:p>
        </w:tc>
        <w:tc>
          <w:tcPr>
            <w:tcW w:w="2340" w:type="dxa"/>
            <w:vAlign w:val="bottom"/>
          </w:tcPr>
          <w:p>
            <w:pPr>
              <w:spacing w:after="0"/>
              <w:rPr>
                <w:sz w:val="12"/>
                <w:szCs w:val="12"/>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(81,687)</w:t>
            </w: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(36,301)</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(265,809)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(65,670)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Foreign currency translation gain (loss), net</w:t>
            </w:r>
          </w:p>
        </w:tc>
        <w:tc>
          <w:tcPr>
            <w:tcW w:w="23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vMerge w:val="continue"/>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7,184</w:t>
            </w: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2,924</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(9,449)</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2,449</w:t>
            </w:r>
          </w:p>
        </w:tc>
        <w:tc>
          <w:tcPr>
            <w:tcW w:w="12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Arial" w:cs="Arial" w:eastAsia="Arial" w:hAnsi="Arial"/>
                <w:sz w:val="11"/>
                <w:szCs w:val="11"/>
                <w:color w:val="auto"/>
              </w:rPr>
              <w:t>Unrealized gain (loss) on available-for-sale debt securities</w:t>
            </w: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FF0FC"/>
          </w:tcPr>
          <w:p>
            <w:pPr>
              <w:ind w:left="160"/>
              <w:spacing w:after="0"/>
              <w:rPr>
                <w:sz w:val="20"/>
                <w:szCs w:val="20"/>
                <w:color w:val="auto"/>
              </w:rPr>
            </w:pPr>
            <w:r>
              <w:rPr>
                <w:rFonts w:ascii="Arial" w:cs="Arial" w:eastAsia="Arial" w:hAnsi="Arial"/>
                <w:sz w:val="11"/>
                <w:szCs w:val="11"/>
                <w:color w:val="auto"/>
              </w:rPr>
              <w:t>Other comprehensive income (loss)</w:t>
            </w:r>
          </w:p>
        </w:tc>
        <w:tc>
          <w:tcPr>
            <w:tcW w:w="23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40" w:type="dxa"/>
            <w:vAlign w:val="bottom"/>
            <w:vMerge w:val="continue"/>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7,219</w:t>
            </w:r>
          </w:p>
        </w:tc>
        <w:tc>
          <w:tcPr>
            <w:tcW w:w="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2,974</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(9,488)</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2,518</w:t>
            </w:r>
          </w:p>
        </w:tc>
        <w:tc>
          <w:tcPr>
            <w:tcW w:w="12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ind w:left="160"/>
              <w:spacing w:after="0"/>
              <w:rPr>
                <w:sz w:val="20"/>
                <w:szCs w:val="20"/>
                <w:color w:val="auto"/>
              </w:rPr>
            </w:pPr>
            <w:r>
              <w:rPr>
                <w:rFonts w:ascii="Arial" w:cs="Arial" w:eastAsia="Arial" w:hAnsi="Arial"/>
                <w:sz w:val="11"/>
                <w:szCs w:val="11"/>
                <w:color w:val="auto"/>
              </w:rPr>
              <w:t>Comprehensive loss</w:t>
            </w:r>
          </w:p>
        </w:tc>
        <w:tc>
          <w:tcPr>
            <w:tcW w:w="2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140" w:type="dxa"/>
            <w:vAlign w:val="bottom"/>
            <w:vMerge w:val="continue"/>
          </w:tcPr>
          <w:p>
            <w:pPr>
              <w:spacing w:after="0"/>
              <w:rPr>
                <w:sz w:val="11"/>
                <w:szCs w:val="11"/>
                <w:color w:val="auto"/>
              </w:rPr>
            </w:pPr>
          </w:p>
        </w:tc>
        <w:tc>
          <w:tcPr>
            <w:tcW w:w="2340" w:type="dxa"/>
            <w:vAlign w:val="bottom"/>
          </w:tcPr>
          <w:p>
            <w:pPr>
              <w:spacing w:after="0"/>
              <w:rPr>
                <w:sz w:val="11"/>
                <w:szCs w:val="11"/>
                <w:color w:val="auto"/>
              </w:rPr>
            </w:pP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(74,468)</w:t>
            </w: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(33,327)</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(275,297)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(63,152)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-4171315</wp:posOffset>
            </wp:positionV>
            <wp:extent cx="160591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the fourth quarter of 2019, the Company adopted ASU 2016-01, ASC 842, ASC 606 and ASU 2018-07. The first quarter of 2019 has been recast to reflect the effects of this adoption.</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2"/>
        </w:trPr>
        <w:tc>
          <w:tcPr>
            <w:tcW w:w="7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b w:val="1"/>
                <w:bCs w:val="1"/>
                <w:color w:val="767171"/>
              </w:rPr>
              <w:t>Exhibit 99.1</w:t>
            </w:r>
          </w:p>
        </w:tc>
      </w:tr>
      <w:tr>
        <w:trPr>
          <w:trHeight w:val="753"/>
        </w:trPr>
        <w:tc>
          <w:tcPr>
            <w:tcW w:w="7840" w:type="dxa"/>
            <w:vAlign w:val="bottom"/>
          </w:tcPr>
          <w:p>
            <w:pPr>
              <w:spacing w:after="0"/>
              <w:rPr>
                <w:sz w:val="20"/>
                <w:szCs w:val="20"/>
                <w:color w:val="auto"/>
              </w:rPr>
            </w:pPr>
            <w:r>
              <w:rPr>
                <w:rFonts w:ascii="Arial" w:cs="Arial" w:eastAsia="Arial" w:hAnsi="Arial"/>
                <w:sz w:val="19"/>
                <w:szCs w:val="19"/>
                <w:b w:val="1"/>
                <w:bCs w:val="1"/>
                <w:color w:val="767171"/>
              </w:rPr>
              <w:t>PRESS RELEASE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b w:val="1"/>
                <w:bCs w:val="1"/>
                <w:color w:val="767171"/>
              </w:rPr>
              <w:t>August 10, 2020</w:t>
            </w:r>
          </w:p>
        </w:tc>
      </w:tr>
      <w:tr>
        <w:trPr>
          <w:trHeight w:val="286"/>
        </w:trPr>
        <w:tc>
          <w:tcPr>
            <w:tcW w:w="7840" w:type="dxa"/>
            <w:vAlign w:val="bottom"/>
          </w:tcPr>
          <w:p>
            <w:pPr>
              <w:jc w:val="center"/>
              <w:ind w:left="3385"/>
              <w:spacing w:after="0"/>
              <w:rPr>
                <w:sz w:val="20"/>
                <w:szCs w:val="20"/>
                <w:color w:val="auto"/>
              </w:rPr>
            </w:pPr>
            <w:r>
              <w:rPr>
                <w:rFonts w:ascii="Arial" w:cs="Arial" w:eastAsia="Arial" w:hAnsi="Arial"/>
                <w:sz w:val="11"/>
                <w:szCs w:val="11"/>
                <w:b w:val="1"/>
                <w:bCs w:val="1"/>
                <w:color w:val="auto"/>
              </w:rPr>
              <w:t>TILRAY, INC.</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7840" w:type="dxa"/>
            <w:vAlign w:val="bottom"/>
          </w:tcPr>
          <w:p>
            <w:pPr>
              <w:jc w:val="center"/>
              <w:ind w:left="3405"/>
              <w:spacing w:after="0"/>
              <w:rPr>
                <w:sz w:val="20"/>
                <w:szCs w:val="20"/>
                <w:color w:val="auto"/>
              </w:rPr>
            </w:pPr>
            <w:r>
              <w:rPr>
                <w:rFonts w:ascii="Arial" w:cs="Arial" w:eastAsia="Arial" w:hAnsi="Arial"/>
                <w:sz w:val="11"/>
                <w:szCs w:val="11"/>
                <w:b w:val="1"/>
                <w:bCs w:val="1"/>
                <w:color w:val="auto"/>
                <w:w w:val="85"/>
              </w:rPr>
              <w:t>Condensed Consolidated Balance Sheets</w:t>
            </w: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0"/>
        </w:trPr>
        <w:tc>
          <w:tcPr>
            <w:tcW w:w="7840" w:type="dxa"/>
            <w:vAlign w:val="bottom"/>
          </w:tcPr>
          <w:p>
            <w:pPr>
              <w:jc w:val="center"/>
              <w:ind w:left="3385"/>
              <w:spacing w:after="0"/>
              <w:rPr>
                <w:sz w:val="20"/>
                <w:szCs w:val="20"/>
                <w:color w:val="auto"/>
              </w:rPr>
            </w:pPr>
            <w:r>
              <w:rPr>
                <w:rFonts w:ascii="Arial" w:cs="Arial" w:eastAsia="Arial" w:hAnsi="Arial"/>
                <w:sz w:val="11"/>
                <w:szCs w:val="11"/>
                <w:b w:val="1"/>
                <w:bCs w:val="1"/>
                <w:color w:val="auto"/>
                <w:w w:val="87"/>
              </w:rPr>
              <w:t>(in thousands of United States dollars, except for share and par value data, unaudited)</w:t>
            </w: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92"/>
        </w:trPr>
        <w:tc>
          <w:tcPr>
            <w:tcW w:w="78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b w:val="1"/>
                <w:bCs w:val="1"/>
                <w:color w:val="auto"/>
              </w:rPr>
              <w:t>June 30, 2020</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December 31, 2019</w:t>
            </w:r>
          </w:p>
        </w:tc>
      </w:tr>
      <w:tr>
        <w:trPr>
          <w:trHeight w:val="133"/>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Assets</w:t>
            </w:r>
          </w:p>
        </w:tc>
        <w:tc>
          <w:tcPr>
            <w:tcW w:w="1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7840" w:type="dxa"/>
            <w:vAlign w:val="bottom"/>
          </w:tcPr>
          <w:p>
            <w:pPr>
              <w:spacing w:after="0"/>
              <w:rPr>
                <w:sz w:val="20"/>
                <w:szCs w:val="20"/>
                <w:color w:val="auto"/>
              </w:rPr>
            </w:pPr>
            <w:r>
              <w:rPr>
                <w:rFonts w:ascii="Arial" w:cs="Arial" w:eastAsia="Arial" w:hAnsi="Arial"/>
                <w:sz w:val="11"/>
                <w:szCs w:val="11"/>
                <w:color w:val="auto"/>
              </w:rPr>
              <w:t>Current assets</w:t>
            </w: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Cash and cash equivalents</w:t>
            </w:r>
          </w:p>
        </w:tc>
        <w:tc>
          <w:tcPr>
            <w:tcW w:w="1100" w:type="dxa"/>
            <w:vAlign w:val="bottom"/>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137,211</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96,791</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ind w:left="160"/>
              <w:spacing w:after="0"/>
              <w:rPr>
                <w:sz w:val="20"/>
                <w:szCs w:val="20"/>
                <w:color w:val="auto"/>
              </w:rPr>
            </w:pPr>
            <w:r>
              <w:rPr>
                <w:rFonts w:ascii="Arial" w:cs="Arial" w:eastAsia="Arial" w:hAnsi="Arial"/>
                <w:sz w:val="11"/>
                <w:szCs w:val="11"/>
                <w:color w:val="auto"/>
                <w:w w:val="99"/>
              </w:rPr>
              <w:t>Accounts receivable, net of allowance for credit losses of $889 and provision for sales returns of $1,302 (December 31, 2019 - $615 and $1,400, respectively)</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26,614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36,202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Inventory</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93,089</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87,861</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ind w:left="160"/>
              <w:spacing w:after="0"/>
              <w:rPr>
                <w:sz w:val="20"/>
                <w:szCs w:val="20"/>
                <w:color w:val="auto"/>
              </w:rPr>
            </w:pPr>
            <w:r>
              <w:rPr>
                <w:rFonts w:ascii="Arial" w:cs="Arial" w:eastAsia="Arial" w:hAnsi="Arial"/>
                <w:sz w:val="11"/>
                <w:szCs w:val="11"/>
                <w:color w:val="auto"/>
              </w:rPr>
              <w:t>Prepayments and other current assets</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26,217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38,173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Assets held for sale</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6,664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r>
      <w:tr>
        <w:trPr>
          <w:trHeight w:val="131"/>
        </w:trPr>
        <w:tc>
          <w:tcPr>
            <w:tcW w:w="7840" w:type="dxa"/>
            <w:vAlign w:val="bottom"/>
            <w:tcBorders>
              <w:bottom w:val="single" w:sz="8" w:color="CFF0FC"/>
            </w:tcBorders>
          </w:tcPr>
          <w:p>
            <w:pPr>
              <w:ind w:left="320"/>
              <w:spacing w:after="0"/>
              <w:rPr>
                <w:sz w:val="20"/>
                <w:szCs w:val="20"/>
                <w:color w:val="auto"/>
              </w:rPr>
            </w:pPr>
            <w:r>
              <w:rPr>
                <w:rFonts w:ascii="Arial" w:cs="Arial" w:eastAsia="Arial" w:hAnsi="Arial"/>
                <w:sz w:val="11"/>
                <w:szCs w:val="11"/>
                <w:color w:val="auto"/>
              </w:rPr>
              <w:t>Total current assets</w:t>
            </w:r>
          </w:p>
        </w:tc>
        <w:tc>
          <w:tcPr>
            <w:tcW w:w="1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289,795</w:t>
            </w:r>
          </w:p>
        </w:tc>
        <w:tc>
          <w:tcPr>
            <w:tcW w:w="26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259,027</w:t>
            </w:r>
          </w:p>
        </w:tc>
        <w:tc>
          <w:tcPr>
            <w:tcW w:w="120" w:type="dxa"/>
            <w:vAlign w:val="bottom"/>
            <w:tcBorders>
              <w:bottom w:val="single" w:sz="8" w:color="CFF0FC"/>
            </w:tcBorders>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7840" w:type="dxa"/>
            <w:vAlign w:val="bottom"/>
            <w:shd w:val="clear" w:color="auto" w:fill="CFF0FC"/>
          </w:tcPr>
          <w:p>
            <w:pPr>
              <w:spacing w:after="0"/>
              <w:rPr>
                <w:sz w:val="20"/>
                <w:szCs w:val="20"/>
                <w:color w:val="auto"/>
              </w:rPr>
            </w:pPr>
            <w:r>
              <w:rPr>
                <w:rFonts w:ascii="Arial" w:cs="Arial" w:eastAsia="Arial" w:hAnsi="Arial"/>
                <w:sz w:val="11"/>
                <w:szCs w:val="11"/>
                <w:color w:val="auto"/>
              </w:rPr>
              <w:t>Property and equipment, net</w:t>
            </w:r>
          </w:p>
        </w:tc>
        <w:tc>
          <w:tcPr>
            <w:tcW w:w="1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176,080</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184,217</w:t>
            </w:r>
          </w:p>
        </w:tc>
        <w:tc>
          <w:tcPr>
            <w:tcW w:w="12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7840" w:type="dxa"/>
            <w:vAlign w:val="bottom"/>
          </w:tcPr>
          <w:p>
            <w:pPr>
              <w:spacing w:after="0"/>
              <w:rPr>
                <w:sz w:val="20"/>
                <w:szCs w:val="20"/>
                <w:color w:val="auto"/>
              </w:rPr>
            </w:pPr>
            <w:r>
              <w:rPr>
                <w:rFonts w:ascii="Arial" w:cs="Arial" w:eastAsia="Arial" w:hAnsi="Arial"/>
                <w:sz w:val="11"/>
                <w:szCs w:val="11"/>
                <w:color w:val="auto"/>
              </w:rPr>
              <w:t>Operating lease, right-of-use assets</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17,921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17,514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spacing w:after="0"/>
              <w:rPr>
                <w:sz w:val="20"/>
                <w:szCs w:val="20"/>
                <w:color w:val="auto"/>
              </w:rPr>
            </w:pPr>
            <w:r>
              <w:rPr>
                <w:rFonts w:ascii="Arial" w:cs="Arial" w:eastAsia="Arial" w:hAnsi="Arial"/>
                <w:sz w:val="11"/>
                <w:szCs w:val="11"/>
                <w:color w:val="auto"/>
              </w:rPr>
              <w:t>Intangible assets, net</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179,773</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228,828</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spacing w:after="0"/>
              <w:rPr>
                <w:sz w:val="20"/>
                <w:szCs w:val="20"/>
                <w:color w:val="auto"/>
              </w:rPr>
            </w:pPr>
            <w:r>
              <w:rPr>
                <w:rFonts w:ascii="Arial" w:cs="Arial" w:eastAsia="Arial" w:hAnsi="Arial"/>
                <w:sz w:val="11"/>
                <w:szCs w:val="11"/>
                <w:color w:val="auto"/>
              </w:rPr>
              <w:t>Goodwill</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156,371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163,251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spacing w:after="0"/>
              <w:rPr>
                <w:sz w:val="20"/>
                <w:szCs w:val="20"/>
                <w:color w:val="auto"/>
              </w:rPr>
            </w:pPr>
            <w:r>
              <w:rPr>
                <w:rFonts w:ascii="Arial" w:cs="Arial" w:eastAsia="Arial" w:hAnsi="Arial"/>
                <w:sz w:val="11"/>
                <w:szCs w:val="11"/>
                <w:color w:val="auto"/>
              </w:rPr>
              <w:t>Equity method investments</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8,743</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11,448</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spacing w:after="0"/>
              <w:rPr>
                <w:sz w:val="20"/>
                <w:szCs w:val="20"/>
                <w:color w:val="auto"/>
              </w:rPr>
            </w:pPr>
            <w:r>
              <w:rPr>
                <w:rFonts w:ascii="Arial" w:cs="Arial" w:eastAsia="Arial" w:hAnsi="Arial"/>
                <w:sz w:val="11"/>
                <w:szCs w:val="11"/>
                <w:color w:val="auto"/>
              </w:rPr>
              <w:t>Other investments</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22,545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24,184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spacing w:after="0"/>
              <w:rPr>
                <w:sz w:val="20"/>
                <w:szCs w:val="20"/>
                <w:color w:val="auto"/>
              </w:rPr>
            </w:pPr>
            <w:r>
              <w:rPr>
                <w:rFonts w:ascii="Arial" w:cs="Arial" w:eastAsia="Arial" w:hAnsi="Arial"/>
                <w:sz w:val="11"/>
                <w:szCs w:val="11"/>
                <w:color w:val="auto"/>
              </w:rPr>
              <w:t>Other assets</w:t>
            </w:r>
          </w:p>
        </w:tc>
        <w:tc>
          <w:tcPr>
            <w:tcW w:w="1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4,500</w:t>
            </w:r>
          </w:p>
        </w:tc>
        <w:tc>
          <w:tcPr>
            <w:tcW w:w="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7,861</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0"/>
        </w:trPr>
        <w:tc>
          <w:tcPr>
            <w:tcW w:w="7840" w:type="dxa"/>
            <w:vAlign w:val="bottom"/>
            <w:tcBorders>
              <w:bottom w:val="single" w:sz="8" w:color="CFF0FC"/>
            </w:tcBorders>
          </w:tcPr>
          <w:p>
            <w:pPr>
              <w:ind w:left="320"/>
              <w:spacing w:after="0"/>
              <w:rPr>
                <w:sz w:val="20"/>
                <w:szCs w:val="20"/>
                <w:color w:val="auto"/>
              </w:rPr>
            </w:pPr>
            <w:r>
              <w:rPr>
                <w:rFonts w:ascii="Arial" w:cs="Arial" w:eastAsia="Arial" w:hAnsi="Arial"/>
                <w:sz w:val="11"/>
                <w:szCs w:val="11"/>
                <w:color w:val="auto"/>
              </w:rPr>
              <w:t>Total assets</w:t>
            </w:r>
          </w:p>
        </w:tc>
        <w:tc>
          <w:tcPr>
            <w:tcW w:w="1100" w:type="dxa"/>
            <w:vAlign w:val="bottom"/>
            <w:tcBorders>
              <w:bottom w:val="single" w:sz="8" w:color="auto"/>
            </w:tcBorders>
          </w:tcPr>
          <w:p>
            <w:pPr>
              <w:jc w:val="right"/>
              <w:ind w:right="9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855,728</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896,330</w:t>
            </w:r>
          </w:p>
        </w:tc>
        <w:tc>
          <w:tcPr>
            <w:tcW w:w="12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78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Liabilities</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spacing w:after="0"/>
              <w:rPr>
                <w:sz w:val="20"/>
                <w:szCs w:val="20"/>
                <w:color w:val="auto"/>
              </w:rPr>
            </w:pPr>
            <w:r>
              <w:rPr>
                <w:rFonts w:ascii="Arial" w:cs="Arial" w:eastAsia="Arial" w:hAnsi="Arial"/>
                <w:sz w:val="11"/>
                <w:szCs w:val="11"/>
                <w:color w:val="auto"/>
              </w:rPr>
              <w:t>Current liabilities</w:t>
            </w: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Accounts payable</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22,203</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39,125</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ind w:left="160"/>
              <w:spacing w:after="0"/>
              <w:rPr>
                <w:sz w:val="20"/>
                <w:szCs w:val="20"/>
                <w:color w:val="auto"/>
              </w:rPr>
            </w:pPr>
            <w:r>
              <w:rPr>
                <w:rFonts w:ascii="Arial" w:cs="Arial" w:eastAsia="Arial" w:hAnsi="Arial"/>
                <w:sz w:val="11"/>
                <w:szCs w:val="11"/>
                <w:color w:val="auto"/>
              </w:rPr>
              <w:t>Accrued expenses and other current liabilities</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34,532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50,829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Accrued lease obligations</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3,383</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2,473</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ind w:left="160"/>
              <w:spacing w:after="0"/>
              <w:rPr>
                <w:sz w:val="20"/>
                <w:szCs w:val="20"/>
                <w:color w:val="auto"/>
              </w:rPr>
            </w:pPr>
            <w:r>
              <w:rPr>
                <w:rFonts w:ascii="Arial" w:cs="Arial" w:eastAsia="Arial" w:hAnsi="Arial"/>
                <w:sz w:val="11"/>
                <w:szCs w:val="11"/>
                <w:color w:val="auto"/>
              </w:rPr>
              <w:t>Warrant liability</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103,549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r>
      <w:tr>
        <w:trPr>
          <w:trHeight w:val="135"/>
        </w:trPr>
        <w:tc>
          <w:tcPr>
            <w:tcW w:w="784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1"/>
                <w:szCs w:val="11"/>
                <w:color w:val="auto"/>
              </w:rPr>
              <w:t>Total current liabilities</w:t>
            </w:r>
          </w:p>
        </w:tc>
        <w:tc>
          <w:tcPr>
            <w:tcW w:w="1100" w:type="dxa"/>
            <w:vAlign w:val="bottom"/>
            <w:tcBorders>
              <w:top w:val="single" w:sz="8" w:color="auto"/>
              <w:bottom w:val="single" w:sz="8" w:color="auto"/>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163,667</w:t>
            </w: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92,427</w:t>
            </w:r>
          </w:p>
        </w:tc>
        <w:tc>
          <w:tcPr>
            <w:tcW w:w="120" w:type="dxa"/>
            <w:vAlign w:val="bottom"/>
            <w:tcBorders>
              <w:top w:val="single" w:sz="8" w:color="CFF0FC"/>
            </w:tcBorders>
            <w:shd w:val="clear" w:color="auto" w:fill="CFF0FC"/>
          </w:tcPr>
          <w:p>
            <w:pPr>
              <w:spacing w:after="0"/>
              <w:rPr>
                <w:sz w:val="11"/>
                <w:szCs w:val="11"/>
                <w:color w:val="auto"/>
              </w:rPr>
            </w:pPr>
          </w:p>
        </w:tc>
        <w:tc>
          <w:tcPr>
            <w:tcW w:w="40" w:type="dxa"/>
            <w:vAlign w:val="bottom"/>
          </w:tcPr>
          <w:p>
            <w:pPr>
              <w:spacing w:after="0"/>
              <w:rPr>
                <w:sz w:val="11"/>
                <w:szCs w:val="11"/>
                <w:color w:val="auto"/>
              </w:rPr>
            </w:pPr>
          </w:p>
        </w:tc>
      </w:tr>
      <w:tr>
        <w:trPr>
          <w:trHeight w:val="131"/>
        </w:trPr>
        <w:tc>
          <w:tcPr>
            <w:tcW w:w="7840" w:type="dxa"/>
            <w:vAlign w:val="bottom"/>
          </w:tcPr>
          <w:p>
            <w:pPr>
              <w:spacing w:after="0"/>
              <w:rPr>
                <w:sz w:val="20"/>
                <w:szCs w:val="20"/>
                <w:color w:val="auto"/>
              </w:rPr>
            </w:pPr>
            <w:r>
              <w:rPr>
                <w:rFonts w:ascii="Arial" w:cs="Arial" w:eastAsia="Arial" w:hAnsi="Arial"/>
                <w:sz w:val="11"/>
                <w:szCs w:val="11"/>
                <w:color w:val="auto"/>
              </w:rPr>
              <w:t>Accrued lease obligations</w:t>
            </w:r>
          </w:p>
        </w:tc>
        <w:tc>
          <w:tcPr>
            <w:tcW w:w="1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28,522</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29,407</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6"/>
        </w:trPr>
        <w:tc>
          <w:tcPr>
            <w:tcW w:w="7840" w:type="dxa"/>
            <w:vAlign w:val="bottom"/>
            <w:shd w:val="clear" w:color="auto" w:fill="CFF0FC"/>
          </w:tcPr>
          <w:p>
            <w:pPr>
              <w:spacing w:after="0"/>
              <w:rPr>
                <w:sz w:val="20"/>
                <w:szCs w:val="20"/>
                <w:color w:val="auto"/>
              </w:rPr>
            </w:pPr>
            <w:r>
              <w:rPr>
                <w:rFonts w:ascii="Arial" w:cs="Arial" w:eastAsia="Arial" w:hAnsi="Arial"/>
                <w:sz w:val="11"/>
                <w:szCs w:val="11"/>
                <w:color w:val="auto"/>
              </w:rPr>
              <w:t>Deferred tax liability</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46,866</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53,363</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spacing w:after="0"/>
              <w:rPr>
                <w:sz w:val="20"/>
                <w:szCs w:val="20"/>
                <w:color w:val="auto"/>
              </w:rPr>
            </w:pPr>
            <w:r>
              <w:rPr>
                <w:rFonts w:ascii="Arial" w:cs="Arial" w:eastAsia="Arial" w:hAnsi="Arial"/>
                <w:sz w:val="11"/>
                <w:szCs w:val="11"/>
                <w:color w:val="auto"/>
              </w:rPr>
              <w:t>Convertible notes, net of issuance costs</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435,454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430,210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spacing w:after="0"/>
              <w:rPr>
                <w:sz w:val="20"/>
                <w:szCs w:val="20"/>
                <w:color w:val="auto"/>
              </w:rPr>
            </w:pPr>
            <w:r>
              <w:rPr>
                <w:rFonts w:ascii="Arial" w:cs="Arial" w:eastAsia="Arial" w:hAnsi="Arial"/>
                <w:sz w:val="11"/>
                <w:szCs w:val="11"/>
                <w:color w:val="auto"/>
              </w:rPr>
              <w:t>Senior Facility, net of transaction costs</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44,638</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r>
      <w:tr>
        <w:trPr>
          <w:trHeight w:val="142"/>
        </w:trPr>
        <w:tc>
          <w:tcPr>
            <w:tcW w:w="78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Other liabilities</w:t>
            </w:r>
          </w:p>
        </w:tc>
        <w:tc>
          <w:tcPr>
            <w:tcW w:w="1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5,094</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5,652</w:t>
            </w:r>
          </w:p>
        </w:tc>
        <w:tc>
          <w:tcPr>
            <w:tcW w:w="12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78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1"/>
                <w:szCs w:val="11"/>
                <w:color w:val="auto"/>
              </w:rPr>
              <w:t>Total liabilities</w:t>
            </w:r>
          </w:p>
        </w:tc>
        <w:tc>
          <w:tcPr>
            <w:tcW w:w="1100" w:type="dxa"/>
            <w:vAlign w:val="bottom"/>
            <w:tcBorders>
              <w:bottom w:val="single" w:sz="8" w:color="auto"/>
            </w:tcBorders>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724,241</w:t>
            </w:r>
          </w:p>
        </w:tc>
        <w:tc>
          <w:tcPr>
            <w:tcW w:w="2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611,059</w:t>
            </w:r>
          </w:p>
        </w:tc>
        <w:tc>
          <w:tcPr>
            <w:tcW w:w="12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r>
      <w:tr>
        <w:trPr>
          <w:trHeight w:val="131"/>
        </w:trPr>
        <w:tc>
          <w:tcPr>
            <w:tcW w:w="7840" w:type="dxa"/>
            <w:vAlign w:val="bottom"/>
          </w:tcPr>
          <w:p>
            <w:pPr>
              <w:spacing w:after="0"/>
              <w:rPr>
                <w:sz w:val="20"/>
                <w:szCs w:val="20"/>
                <w:color w:val="auto"/>
              </w:rPr>
            </w:pPr>
            <w:r>
              <w:rPr>
                <w:rFonts w:ascii="Arial" w:cs="Arial" w:eastAsia="Arial" w:hAnsi="Arial"/>
                <w:sz w:val="11"/>
                <w:szCs w:val="11"/>
                <w:color w:val="auto"/>
              </w:rPr>
              <w:t>Commitments and contingencies (refer to Note 18)</w:t>
            </w: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6"/>
        </w:trPr>
        <w:tc>
          <w:tcPr>
            <w:tcW w:w="78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Stockholders’ equity</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39"/>
        </w:trPr>
        <w:tc>
          <w:tcPr>
            <w:tcW w:w="7840" w:type="dxa"/>
            <w:vAlign w:val="bottom"/>
          </w:tcPr>
          <w:p>
            <w:pPr>
              <w:ind w:left="160"/>
              <w:spacing w:after="0"/>
              <w:rPr>
                <w:sz w:val="20"/>
                <w:szCs w:val="20"/>
                <w:color w:val="auto"/>
              </w:rPr>
            </w:pPr>
            <w:r>
              <w:rPr>
                <w:rFonts w:ascii="Arial" w:cs="Arial" w:eastAsia="Arial" w:hAnsi="Arial"/>
                <w:sz w:val="11"/>
                <w:szCs w:val="11"/>
                <w:color w:val="auto"/>
              </w:rPr>
              <w:t>Class 1 common stock ($0.0001 par value, 250,000,000 shares authorized;</w:t>
            </w: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8"/>
        </w:trPr>
        <w:tc>
          <w:tcPr>
            <w:tcW w:w="7840" w:type="dxa"/>
            <w:vAlign w:val="bottom"/>
          </w:tcPr>
          <w:p>
            <w:pPr>
              <w:ind w:left="240"/>
              <w:spacing w:after="0"/>
              <w:rPr>
                <w:sz w:val="20"/>
                <w:szCs w:val="20"/>
                <w:color w:val="auto"/>
              </w:rPr>
            </w:pPr>
            <w:r>
              <w:rPr>
                <w:rFonts w:ascii="Arial" w:cs="Arial" w:eastAsia="Arial" w:hAnsi="Arial"/>
                <w:sz w:val="11"/>
                <w:szCs w:val="11"/>
                <w:color w:val="auto"/>
              </w:rPr>
              <w:t>15,751,745 and 16,666,665 shares issued and outstanding, respectively)</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1"/>
        </w:trPr>
        <w:tc>
          <w:tcPr>
            <w:tcW w:w="7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Class 2 common stock ($0.0001 par value; 500,000,000 shares authorized;</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0"/>
        </w:trPr>
        <w:tc>
          <w:tcPr>
            <w:tcW w:w="78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110,179,667 and 86,114,560 shares issued and outstanding, respectively)</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ind w:left="160"/>
              <w:spacing w:after="0"/>
              <w:rPr>
                <w:sz w:val="20"/>
                <w:szCs w:val="20"/>
                <w:color w:val="auto"/>
              </w:rPr>
            </w:pPr>
            <w:r>
              <w:rPr>
                <w:rFonts w:ascii="Arial" w:cs="Arial" w:eastAsia="Arial" w:hAnsi="Arial"/>
                <w:sz w:val="11"/>
                <w:szCs w:val="11"/>
                <w:color w:val="auto"/>
              </w:rPr>
              <w:t>Additional paid-in capital</w:t>
            </w:r>
          </w:p>
        </w:tc>
        <w:tc>
          <w:tcPr>
            <w:tcW w:w="1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856,083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705,671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7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Accumulated other comprehensive income</w:t>
            </w:r>
          </w:p>
        </w:tc>
        <w:tc>
          <w:tcPr>
            <w:tcW w:w="1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9,719</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840" w:type="dxa"/>
            <w:vAlign w:val="bottom"/>
          </w:tcPr>
          <w:p>
            <w:pPr>
              <w:ind w:left="160"/>
              <w:spacing w:after="0"/>
              <w:rPr>
                <w:sz w:val="20"/>
                <w:szCs w:val="20"/>
                <w:color w:val="auto"/>
              </w:rPr>
            </w:pPr>
            <w:r>
              <w:rPr>
                <w:rFonts w:ascii="Arial" w:cs="Arial" w:eastAsia="Arial" w:hAnsi="Arial"/>
                <w:sz w:val="11"/>
                <w:szCs w:val="11"/>
                <w:color w:val="auto"/>
              </w:rPr>
              <w:t>Accumulated deficit</w:t>
            </w:r>
          </w:p>
        </w:tc>
        <w:tc>
          <w:tcPr>
            <w:tcW w:w="1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w w:val="97"/>
              </w:rPr>
              <w:t>(724,840)</w:t>
            </w:r>
          </w:p>
        </w:tc>
        <w:tc>
          <w:tcPr>
            <w:tcW w:w="22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1"/>
                <w:szCs w:val="11"/>
                <w:color w:val="auto"/>
              </w:rPr>
              <w:t>(430,130)</w:t>
            </w:r>
          </w:p>
        </w:tc>
        <w:tc>
          <w:tcPr>
            <w:tcW w:w="40" w:type="dxa"/>
            <w:vAlign w:val="bottom"/>
          </w:tcPr>
          <w:p>
            <w:pPr>
              <w:spacing w:after="0"/>
              <w:rPr>
                <w:sz w:val="12"/>
                <w:szCs w:val="12"/>
                <w:color w:val="auto"/>
              </w:rPr>
            </w:pPr>
          </w:p>
        </w:tc>
      </w:tr>
      <w:tr>
        <w:trPr>
          <w:trHeight w:val="135"/>
        </w:trPr>
        <w:tc>
          <w:tcPr>
            <w:tcW w:w="784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1"/>
                <w:szCs w:val="11"/>
                <w:color w:val="auto"/>
              </w:rPr>
              <w:t>Total stockholders’ equity</w:t>
            </w:r>
          </w:p>
        </w:tc>
        <w:tc>
          <w:tcPr>
            <w:tcW w:w="1100" w:type="dxa"/>
            <w:vAlign w:val="bottom"/>
            <w:tcBorders>
              <w:top w:val="single" w:sz="8" w:color="auto"/>
              <w:bottom w:val="single" w:sz="8" w:color="auto"/>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131,487</w:t>
            </w: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285,271</w:t>
            </w:r>
          </w:p>
        </w:tc>
        <w:tc>
          <w:tcPr>
            <w:tcW w:w="120" w:type="dxa"/>
            <w:vAlign w:val="bottom"/>
            <w:tcBorders>
              <w:top w:val="single" w:sz="8" w:color="CFF0FC"/>
            </w:tcBorders>
            <w:shd w:val="clear" w:color="auto" w:fill="CFF0FC"/>
          </w:tcPr>
          <w:p>
            <w:pPr>
              <w:spacing w:after="0"/>
              <w:rPr>
                <w:sz w:val="11"/>
                <w:szCs w:val="11"/>
                <w:color w:val="auto"/>
              </w:rPr>
            </w:pPr>
          </w:p>
        </w:tc>
        <w:tc>
          <w:tcPr>
            <w:tcW w:w="40" w:type="dxa"/>
            <w:vAlign w:val="bottom"/>
          </w:tcPr>
          <w:p>
            <w:pPr>
              <w:spacing w:after="0"/>
              <w:rPr>
                <w:sz w:val="11"/>
                <w:szCs w:val="11"/>
                <w:color w:val="auto"/>
              </w:rPr>
            </w:pPr>
          </w:p>
        </w:tc>
      </w:tr>
      <w:tr>
        <w:trPr>
          <w:trHeight w:val="140"/>
        </w:trPr>
        <w:tc>
          <w:tcPr>
            <w:tcW w:w="7840" w:type="dxa"/>
            <w:vAlign w:val="bottom"/>
          </w:tcPr>
          <w:p>
            <w:pPr>
              <w:ind w:left="320"/>
              <w:spacing w:after="0"/>
              <w:rPr>
                <w:sz w:val="20"/>
                <w:szCs w:val="20"/>
                <w:color w:val="auto"/>
              </w:rPr>
            </w:pPr>
            <w:r>
              <w:rPr>
                <w:rFonts w:ascii="Arial" w:cs="Arial" w:eastAsia="Arial" w:hAnsi="Arial"/>
                <w:sz w:val="11"/>
                <w:szCs w:val="11"/>
                <w:b w:val="1"/>
                <w:bCs w:val="1"/>
                <w:color w:val="auto"/>
              </w:rPr>
              <w:t>Total liabilities and stockholders’ equity</w:t>
            </w:r>
          </w:p>
        </w:tc>
        <w:tc>
          <w:tcPr>
            <w:tcW w:w="1100" w:type="dxa"/>
            <w:vAlign w:val="bottom"/>
            <w:tcBorders>
              <w:bottom w:val="single" w:sz="8" w:color="auto"/>
            </w:tcBorders>
          </w:tcPr>
          <w:p>
            <w:pPr>
              <w:jc w:val="right"/>
              <w:ind w:right="9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855,728</w:t>
            </w:r>
          </w:p>
        </w:tc>
        <w:tc>
          <w:tcPr>
            <w:tcW w:w="260" w:type="dxa"/>
            <w:vAlign w:val="bottom"/>
          </w:tcPr>
          <w:p>
            <w:pPr>
              <w:spacing w:after="0"/>
              <w:rPr>
                <w:sz w:val="12"/>
                <w:szCs w:val="12"/>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896,330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-4897120</wp:posOffset>
            </wp:positionV>
            <wp:extent cx="1605915"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2"/>
        </w:trPr>
        <w:tc>
          <w:tcPr>
            <w:tcW w:w="5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b w:val="1"/>
                <w:bCs w:val="1"/>
                <w:color w:val="767171"/>
              </w:rPr>
              <w:t>Exhibit 99.1</w:t>
            </w:r>
          </w:p>
        </w:tc>
        <w:tc>
          <w:tcPr>
            <w:tcW w:w="0" w:type="dxa"/>
            <w:vAlign w:val="bottom"/>
          </w:tcPr>
          <w:p>
            <w:pPr>
              <w:spacing w:after="0"/>
              <w:rPr>
                <w:sz w:val="1"/>
                <w:szCs w:val="1"/>
                <w:color w:val="auto"/>
              </w:rPr>
            </w:pPr>
          </w:p>
        </w:tc>
      </w:tr>
      <w:tr>
        <w:trPr>
          <w:trHeight w:val="753"/>
        </w:trPr>
        <w:tc>
          <w:tcPr>
            <w:tcW w:w="5460" w:type="dxa"/>
            <w:vAlign w:val="bottom"/>
          </w:tcPr>
          <w:p>
            <w:pPr>
              <w:spacing w:after="0"/>
              <w:rPr>
                <w:sz w:val="20"/>
                <w:szCs w:val="20"/>
                <w:color w:val="auto"/>
              </w:rPr>
            </w:pPr>
            <w:r>
              <w:rPr>
                <w:rFonts w:ascii="Arial" w:cs="Arial" w:eastAsia="Arial" w:hAnsi="Arial"/>
                <w:sz w:val="19"/>
                <w:szCs w:val="19"/>
                <w:b w:val="1"/>
                <w:bCs w:val="1"/>
                <w:color w:val="767171"/>
              </w:rPr>
              <w:t>PRESS RELEASE</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b w:val="1"/>
                <w:bCs w:val="1"/>
                <w:color w:val="767171"/>
              </w:rPr>
              <w:t>August 10, 2020</w:t>
            </w:r>
          </w:p>
        </w:tc>
        <w:tc>
          <w:tcPr>
            <w:tcW w:w="0" w:type="dxa"/>
            <w:vAlign w:val="bottom"/>
          </w:tcPr>
          <w:p>
            <w:pPr>
              <w:spacing w:after="0"/>
              <w:rPr>
                <w:sz w:val="1"/>
                <w:szCs w:val="1"/>
                <w:color w:val="auto"/>
              </w:rPr>
            </w:pPr>
          </w:p>
        </w:tc>
      </w:tr>
      <w:tr>
        <w:trPr>
          <w:trHeight w:val="291"/>
        </w:trPr>
        <w:tc>
          <w:tcPr>
            <w:tcW w:w="5460" w:type="dxa"/>
            <w:vAlign w:val="bottom"/>
          </w:tcPr>
          <w:p>
            <w:pPr>
              <w:spacing w:after="0"/>
              <w:rPr>
                <w:sz w:val="20"/>
                <w:szCs w:val="20"/>
                <w:color w:val="auto"/>
              </w:rPr>
            </w:pPr>
            <w:r>
              <w:rPr>
                <w:rFonts w:ascii="Arial" w:cs="Arial" w:eastAsia="Arial" w:hAnsi="Arial"/>
                <w:sz w:val="11"/>
                <w:szCs w:val="11"/>
                <w:i w:val="1"/>
                <w:iCs w:val="1"/>
                <w:color w:val="auto"/>
              </w:rPr>
              <w:t>(in thousands of United States dollars)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60" w:type="dxa"/>
            <w:vAlign w:val="bottom"/>
            <w:gridSpan w:val="3"/>
          </w:tcPr>
          <w:p>
            <w:pPr>
              <w:jc w:val="right"/>
              <w:ind w:right="272"/>
              <w:spacing w:after="0"/>
              <w:rPr>
                <w:sz w:val="20"/>
                <w:szCs w:val="20"/>
                <w:color w:val="auto"/>
              </w:rPr>
            </w:pPr>
            <w:r>
              <w:rPr>
                <w:rFonts w:ascii="Arial" w:cs="Arial" w:eastAsia="Arial" w:hAnsi="Arial"/>
                <w:sz w:val="10"/>
                <w:szCs w:val="10"/>
                <w:b w:val="1"/>
                <w:bCs w:val="1"/>
                <w:color w:val="auto"/>
                <w:w w:val="86"/>
              </w:rPr>
              <w:t>Three months ended June 30,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gridSpan w:val="6"/>
          </w:tcPr>
          <w:p>
            <w:pPr>
              <w:jc w:val="right"/>
              <w:ind w:right="980"/>
              <w:spacing w:after="0"/>
              <w:rPr>
                <w:sz w:val="20"/>
                <w:szCs w:val="20"/>
                <w:color w:val="auto"/>
              </w:rPr>
            </w:pPr>
            <w:r>
              <w:rPr>
                <w:rFonts w:ascii="Arial" w:cs="Arial" w:eastAsia="Arial" w:hAnsi="Arial"/>
                <w:sz w:val="10"/>
                <w:szCs w:val="10"/>
                <w:b w:val="1"/>
                <w:bCs w:val="1"/>
                <w:color w:val="auto"/>
                <w:w w:val="86"/>
              </w:rPr>
              <w:t>Six months ended June 30,</w:t>
            </w:r>
          </w:p>
        </w:tc>
        <w:tc>
          <w:tcPr>
            <w:tcW w:w="0" w:type="dxa"/>
            <w:vAlign w:val="bottom"/>
          </w:tcPr>
          <w:p>
            <w:pPr>
              <w:spacing w:after="0"/>
              <w:rPr>
                <w:sz w:val="1"/>
                <w:szCs w:val="1"/>
                <w:color w:val="auto"/>
              </w:rPr>
            </w:pPr>
          </w:p>
        </w:tc>
      </w:tr>
      <w:tr>
        <w:trPr>
          <w:trHeight w:val="97"/>
        </w:trPr>
        <w:tc>
          <w:tcPr>
            <w:tcW w:w="5460" w:type="dxa"/>
            <w:vAlign w:val="bottom"/>
            <w:tcBorders>
              <w:bottom w:val="single" w:sz="8" w:color="CFF0FC"/>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52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CFF0FC"/>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rPr>
              <w:t>2019</w:t>
            </w:r>
          </w:p>
        </w:tc>
        <w:tc>
          <w:tcPr>
            <w:tcW w:w="460" w:type="dxa"/>
            <w:vAlign w:val="bottom"/>
            <w:tcBorders>
              <w:top w:val="single" w:sz="8" w:color="auto"/>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120" w:type="dxa"/>
            <w:vAlign w:val="bottom"/>
            <w:tcBorders>
              <w:top w:val="single" w:sz="8" w:color="auto"/>
              <w:bottom w:val="single" w:sz="8" w:color="CFF0FC"/>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8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CFF0FC"/>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160" w:type="dxa"/>
            <w:vAlign w:val="bottom"/>
            <w:tcBorders>
              <w:top w:val="single" w:sz="8" w:color="auto"/>
              <w:bottom w:val="single" w:sz="8" w:color="auto"/>
            </w:tcBorders>
          </w:tcPr>
          <w:p>
            <w:pPr>
              <w:jc w:val="right"/>
              <w:ind w:right="458"/>
              <w:spacing w:after="0" w:line="97"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4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Adjusted EBITDA reconciliation:</w:t>
            </w:r>
          </w:p>
        </w:tc>
        <w:tc>
          <w:tcPr>
            <w:tcW w:w="7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Net loss</w:t>
            </w: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(81,687)</w:t>
            </w: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(36,301)</w:t>
            </w:r>
          </w:p>
        </w:tc>
        <w:tc>
          <w:tcPr>
            <w:tcW w:w="120" w:type="dxa"/>
            <w:vAlign w:val="bottom"/>
          </w:tcPr>
          <w:p>
            <w:pPr>
              <w:spacing w:after="0"/>
              <w:rPr>
                <w:sz w:val="13"/>
                <w:szCs w:val="13"/>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w w:val="97"/>
              </w:rPr>
              <w:t>(265,809)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(65,670)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Inventory valuation adjustments</w:t>
            </w:r>
          </w:p>
        </w:tc>
        <w:tc>
          <w:tcPr>
            <w:tcW w:w="7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18,629</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22,673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525</w:t>
            </w:r>
          </w:p>
        </w:tc>
        <w:tc>
          <w:tcPr>
            <w:tcW w:w="12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Severance costs</w:t>
            </w:r>
          </w:p>
        </w:tc>
        <w:tc>
          <w:tcPr>
            <w:tcW w:w="7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1,475</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3,337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 expenses</w:t>
            </w:r>
          </w:p>
        </w:tc>
        <w:tc>
          <w:tcPr>
            <w:tcW w:w="7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4,325</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8,886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5,764</w:t>
            </w:r>
          </w:p>
        </w:tc>
        <w:tc>
          <w:tcPr>
            <w:tcW w:w="12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Stock-based compensation expenses</w:t>
            </w:r>
          </w:p>
        </w:tc>
        <w:tc>
          <w:tcPr>
            <w:tcW w:w="7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7,647</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7,923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15,324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13,659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Impairment of assets</w:t>
            </w:r>
          </w:p>
        </w:tc>
        <w:tc>
          <w:tcPr>
            <w:tcW w:w="7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28,371</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58,210</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Acquisition-related expenses, net</w:t>
            </w:r>
          </w:p>
        </w:tc>
        <w:tc>
          <w:tcPr>
            <w:tcW w:w="7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1,790</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2,464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4,145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6,888</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Loss from equity method investments</w:t>
            </w:r>
          </w:p>
        </w:tc>
        <w:tc>
          <w:tcPr>
            <w:tcW w:w="7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1,327</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3,075</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Foreign exchange (gain) loss, net</w:t>
            </w:r>
          </w:p>
        </w:tc>
        <w:tc>
          <w:tcPr>
            <w:tcW w:w="7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(13,326)</w:t>
            </w:r>
          </w:p>
        </w:tc>
        <w:tc>
          <w:tcPr>
            <w:tcW w:w="8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(1,611)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14,743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(1,432)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Change in fair value of warrant liability</w:t>
            </w:r>
          </w:p>
        </w:tc>
        <w:tc>
          <w:tcPr>
            <w:tcW w:w="7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11,210</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83,188</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Interest expenses, net</w:t>
            </w:r>
          </w:p>
        </w:tc>
        <w:tc>
          <w:tcPr>
            <w:tcW w:w="7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10,564</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8,581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19,710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17,325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Finance income from ABG</w:t>
            </w:r>
          </w:p>
        </w:tc>
        <w:tc>
          <w:tcPr>
            <w:tcW w:w="7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(212)</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(Gain) Loss from disposal of property and equipment</w:t>
            </w:r>
          </w:p>
        </w:tc>
        <w:tc>
          <w:tcPr>
            <w:tcW w:w="7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(21)</w:t>
            </w: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expense (income), net</w:t>
            </w:r>
          </w:p>
        </w:tc>
        <w:tc>
          <w:tcPr>
            <w:tcW w:w="7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333</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(1,224)</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Amortization of inventory step-up</w:t>
            </w:r>
          </w:p>
        </w:tc>
        <w:tc>
          <w:tcPr>
            <w:tcW w:w="74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1,360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2,041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income tax recoveries</w:t>
            </w:r>
          </w:p>
        </w:tc>
        <w:tc>
          <w:tcPr>
            <w:tcW w:w="7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(2,875)</w:t>
            </w:r>
          </w:p>
        </w:tc>
        <w:tc>
          <w:tcPr>
            <w:tcW w:w="8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(2,642)</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(4,147)</w:t>
            </w: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(6,419)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Current income tax expenses (benefit)</w:t>
            </w:r>
          </w:p>
        </w:tc>
        <w:tc>
          <w:tcPr>
            <w:tcW w:w="7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(39)</w:t>
            </w: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447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207</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60" w:type="dxa"/>
            <w:vAlign w:val="bottom"/>
            <w:vMerge w:val="continue"/>
            <w:shd w:val="clear" w:color="auto" w:fill="CFF0FC"/>
          </w:tcPr>
          <w:p>
            <w:pPr>
              <w:spacing w:after="0"/>
              <w:rPr>
                <w:sz w:val="12"/>
                <w:szCs w:val="12"/>
                <w:color w:val="auto"/>
              </w:rPr>
            </w:pPr>
          </w:p>
        </w:tc>
        <w:tc>
          <w:tcPr>
            <w:tcW w:w="740" w:type="dxa"/>
            <w:vAlign w:val="bottom"/>
            <w:shd w:val="clear" w:color="auto" w:fill="CFF0FC"/>
          </w:tcPr>
          <w:p>
            <w:pPr>
              <w:jc w:val="right"/>
              <w:ind w:right="63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(12,277)</w:t>
            </w:r>
          </w:p>
        </w:tc>
        <w:tc>
          <w:tcPr>
            <w:tcW w:w="800" w:type="dxa"/>
            <w:vAlign w:val="bottom"/>
            <w:shd w:val="clear" w:color="auto" w:fill="CFF0FC"/>
          </w:tcPr>
          <w:p>
            <w:pPr>
              <w:jc w:val="right"/>
              <w:ind w:right="69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(18,021)</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(30,984)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(32,416)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46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-2834005</wp:posOffset>
            </wp:positionV>
            <wp:extent cx="1605915"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pacing w:after="0" w:line="110" w:lineRule="exact"/>
        <w:rPr>
          <w:sz w:val="20"/>
          <w:szCs w:val="20"/>
          <w:color w:val="auto"/>
        </w:rPr>
      </w:pPr>
    </w:p>
    <w:p>
      <w:pPr>
        <w:ind w:right="140" w:firstLine="807"/>
        <w:spacing w:after="0" w:line="303" w:lineRule="auto"/>
        <w:rPr>
          <w:sz w:val="20"/>
          <w:szCs w:val="20"/>
          <w:color w:val="auto"/>
        </w:rPr>
      </w:pPr>
      <w:r>
        <w:rPr>
          <w:rFonts w:ascii="Arial" w:cs="Arial" w:eastAsia="Arial" w:hAnsi="Arial"/>
          <w:sz w:val="10"/>
          <w:szCs w:val="10"/>
          <w:color w:val="auto"/>
        </w:rPr>
        <w:t>The Company revised its Adjusted EBITDA reconciliation for the six months ended June 30, 2020 to reflect a correction in depreciation and amortization expense amount applied to this non-GAAP financial measures. Non-cash depreciation and amortization expenses includes depreciation expense related to both manufacturing and non-manufacturing assets. In the three months ended March 31, 2020, we incorrectly reported $3.6 million which excluded the portion of the depreciation expense related to the Company’s manufacturing assets. The corrected amount in Adjusted EBITDA reconciliation for the three months ended March 31, 2020 is $4.6 million and is correct as reported above within the six months results.</w:t>
      </w:r>
    </w:p>
    <w:p>
      <w:pPr>
        <w:spacing w:after="0" w:line="374"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thousands of United States dollars, except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For the three months ended June 30,</w:t>
            </w: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80" w:type="dxa"/>
            <w:vAlign w:val="bottom"/>
            <w:vMerge w:val="restart"/>
          </w:tcPr>
          <w:p>
            <w:pPr>
              <w:spacing w:after="0"/>
              <w:rPr>
                <w:sz w:val="20"/>
                <w:szCs w:val="20"/>
                <w:color w:val="auto"/>
              </w:rPr>
            </w:pPr>
            <w:r>
              <w:rPr>
                <w:rFonts w:ascii="Arial" w:cs="Arial" w:eastAsia="Arial" w:hAnsi="Arial"/>
                <w:sz w:val="11"/>
                <w:szCs w:val="11"/>
                <w:b w:val="1"/>
                <w:bCs w:val="1"/>
                <w:color w:val="auto"/>
              </w:rPr>
              <w:t>Gross margin, excluding inventory valuation adjustments reconciliation: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2019</w:t>
            </w: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280" w:type="dxa"/>
            <w:vAlign w:val="bottom"/>
            <w:tcBorders>
              <w:bottom w:val="single" w:sz="8" w:color="CFF0FC"/>
            </w:tcBorders>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1"/>
                <w:szCs w:val="11"/>
                <w:b w:val="1"/>
                <w:bCs w:val="1"/>
                <w:color w:val="auto"/>
              </w:rPr>
              <w:t>Cannabis</w:t>
            </w: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1"/>
                <w:szCs w:val="11"/>
                <w:b w:val="1"/>
                <w:bCs w:val="1"/>
                <w:color w:val="auto"/>
              </w:rPr>
              <w:t>Hemp</w:t>
            </w: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1"/>
                <w:szCs w:val="11"/>
                <w:b w:val="1"/>
                <w:bCs w:val="1"/>
                <w:color w:val="auto"/>
              </w:rPr>
              <w:t>Total</w:t>
            </w: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rPr>
                <w:sz w:val="20"/>
                <w:szCs w:val="20"/>
                <w:color w:val="auto"/>
              </w:rPr>
            </w:pPr>
            <w:r>
              <w:rPr>
                <w:rFonts w:ascii="Arial" w:cs="Arial" w:eastAsia="Arial" w:hAnsi="Arial"/>
                <w:sz w:val="11"/>
                <w:szCs w:val="11"/>
                <w:color w:val="auto"/>
              </w:rPr>
              <w:t>Revenue</w:t>
            </w: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30,171</w:t>
            </w: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1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25,969</w:t>
            </w: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1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20,243</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3"/>
              </w:rPr>
              <w:t>19,935</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50,414</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45,904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20"/>
                <w:szCs w:val="20"/>
                <w:color w:val="auto"/>
              </w:rPr>
            </w:pPr>
            <w:r>
              <w:rPr>
                <w:rFonts w:ascii="Arial" w:cs="Arial" w:eastAsia="Arial" w:hAnsi="Arial"/>
                <w:sz w:val="11"/>
                <w:szCs w:val="11"/>
                <w:color w:val="auto"/>
              </w:rPr>
              <w:t>Cost of sales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Product costs</w:t>
            </w:r>
          </w:p>
        </w:tc>
        <w:tc>
          <w:tcPr>
            <w:tcW w:w="6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27,181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22,401</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10,023</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3"/>
              </w:rPr>
              <w:t>11,029</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37,204</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33,430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Inventory valuation adjustments</w:t>
            </w: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15,062</w:t>
            </w:r>
          </w:p>
        </w:tc>
        <w:tc>
          <w:tcPr>
            <w:tcW w:w="2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22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3,567</w:t>
            </w:r>
          </w:p>
        </w:tc>
        <w:tc>
          <w:tcPr>
            <w:tcW w:w="2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18,629</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rPr>
                <w:sz w:val="20"/>
                <w:szCs w:val="20"/>
                <w:color w:val="auto"/>
              </w:rPr>
            </w:pPr>
            <w:r>
              <w:rPr>
                <w:rFonts w:ascii="Arial" w:cs="Arial" w:eastAsia="Arial" w:hAnsi="Arial"/>
                <w:sz w:val="11"/>
                <w:szCs w:val="11"/>
                <w:color w:val="auto"/>
              </w:rPr>
              <w:t>Gross profit</w:t>
            </w:r>
          </w:p>
        </w:tc>
        <w:tc>
          <w:tcPr>
            <w:tcW w:w="6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w w:val="92"/>
              </w:rPr>
              <w:t>(12,072)</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3,367</w:t>
            </w: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6,653</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8,906</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(5,419)</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12,273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160"/>
              <w:spacing w:after="0"/>
              <w:rPr>
                <w:sz w:val="20"/>
                <w:szCs w:val="20"/>
                <w:color w:val="auto"/>
              </w:rPr>
            </w:pPr>
            <w:r>
              <w:rPr>
                <w:rFonts w:ascii="Arial" w:cs="Arial" w:eastAsia="Arial" w:hAnsi="Arial"/>
                <w:sz w:val="11"/>
                <w:szCs w:val="11"/>
                <w:color w:val="auto"/>
              </w:rPr>
              <w:t>Inventory valuation adjustments</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15,062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3,567</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18,629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Amortization of inventory step-up</w:t>
            </w:r>
          </w:p>
        </w:tc>
        <w:tc>
          <w:tcPr>
            <w:tcW w:w="6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1,360</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Gross profit, excluding inventory valuation adjustments</w:t>
            </w:r>
          </w:p>
        </w:tc>
        <w:tc>
          <w:tcPr>
            <w:tcW w:w="6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2,990</w:t>
            </w:r>
          </w:p>
        </w:tc>
        <w:tc>
          <w:tcPr>
            <w:tcW w:w="22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3,568</w:t>
            </w:r>
          </w:p>
        </w:tc>
        <w:tc>
          <w:tcPr>
            <w:tcW w:w="22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4"/>
              </w:rPr>
              <w:t>10,220</w:t>
            </w:r>
          </w:p>
        </w:tc>
        <w:tc>
          <w:tcPr>
            <w:tcW w:w="2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3"/>
              </w:rPr>
              <w:t>10,266</w:t>
            </w:r>
          </w:p>
        </w:tc>
        <w:tc>
          <w:tcPr>
            <w:tcW w:w="20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13,210</w:t>
            </w:r>
          </w:p>
        </w:tc>
        <w:tc>
          <w:tcPr>
            <w:tcW w:w="22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13,834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CFF0FC"/>
          </w:tcPr>
          <w:p>
            <w:pPr>
              <w:spacing w:after="0"/>
              <w:rPr>
                <w:sz w:val="20"/>
                <w:szCs w:val="20"/>
                <w:color w:val="auto"/>
              </w:rPr>
            </w:pPr>
            <w:r>
              <w:rPr>
                <w:rFonts w:ascii="Arial" w:cs="Arial" w:eastAsia="Arial" w:hAnsi="Arial"/>
                <w:sz w:val="11"/>
                <w:szCs w:val="11"/>
                <w:color w:val="auto"/>
              </w:rPr>
              <w:t>Gross margin, excluding inventory valuation adjustments</w:t>
            </w:r>
          </w:p>
        </w:tc>
        <w:tc>
          <w:tcPr>
            <w:tcW w:w="6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10%</w:t>
            </w:r>
          </w:p>
        </w:tc>
        <w:tc>
          <w:tcPr>
            <w:tcW w:w="6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14%</w:t>
            </w:r>
          </w:p>
        </w:tc>
        <w:tc>
          <w:tcPr>
            <w:tcW w:w="6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50%</w:t>
            </w:r>
          </w:p>
        </w:tc>
        <w:tc>
          <w:tcPr>
            <w:tcW w:w="6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51%</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26%</w:t>
            </w: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8947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p>
      <w:pPr>
        <w:sectPr>
          <w:pgSz w:w="11900" w:h="16838" w:orient="portrait"/>
          <w:cols w:equalWidth="0" w:num="1">
            <w:col w:w="11340"/>
          </w:cols>
          <w:pgMar w:left="300" w:top="319"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b w:val="1"/>
                <w:bCs w:val="1"/>
                <w:color w:val="767171"/>
              </w:rPr>
              <w:t>Exhibit 99.1</w:t>
            </w:r>
          </w:p>
        </w:tc>
        <w:tc>
          <w:tcPr>
            <w:tcW w:w="0" w:type="dxa"/>
            <w:vAlign w:val="bottom"/>
          </w:tcPr>
          <w:p>
            <w:pPr>
              <w:spacing w:after="0"/>
              <w:rPr>
                <w:sz w:val="1"/>
                <w:szCs w:val="1"/>
                <w:color w:val="auto"/>
              </w:rPr>
            </w:pPr>
          </w:p>
        </w:tc>
      </w:tr>
      <w:tr>
        <w:trPr>
          <w:trHeight w:val="753"/>
        </w:trPr>
        <w:tc>
          <w:tcPr>
            <w:tcW w:w="4280" w:type="dxa"/>
            <w:vAlign w:val="bottom"/>
          </w:tcPr>
          <w:p>
            <w:pPr>
              <w:spacing w:after="0"/>
              <w:rPr>
                <w:sz w:val="20"/>
                <w:szCs w:val="20"/>
                <w:color w:val="auto"/>
              </w:rPr>
            </w:pPr>
            <w:r>
              <w:rPr>
                <w:rFonts w:ascii="Arial" w:cs="Arial" w:eastAsia="Arial" w:hAnsi="Arial"/>
                <w:sz w:val="19"/>
                <w:szCs w:val="19"/>
                <w:b w:val="1"/>
                <w:bCs w:val="1"/>
                <w:color w:val="767171"/>
              </w:rPr>
              <w:t>PRESS RELEASE</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Arial" w:cs="Arial" w:eastAsia="Arial" w:hAnsi="Arial"/>
                <w:sz w:val="17"/>
                <w:szCs w:val="17"/>
                <w:b w:val="1"/>
                <w:bCs w:val="1"/>
                <w:color w:val="767171"/>
              </w:rPr>
              <w:t>August 10, 2020</w:t>
            </w:r>
          </w:p>
        </w:tc>
        <w:tc>
          <w:tcPr>
            <w:tcW w:w="0" w:type="dxa"/>
            <w:vAlign w:val="bottom"/>
          </w:tcPr>
          <w:p>
            <w:pPr>
              <w:spacing w:after="0"/>
              <w:rPr>
                <w:sz w:val="1"/>
                <w:szCs w:val="1"/>
                <w:color w:val="auto"/>
              </w:rPr>
            </w:pPr>
          </w:p>
        </w:tc>
      </w:tr>
      <w:tr>
        <w:trPr>
          <w:trHeight w:val="304"/>
        </w:trPr>
        <w:tc>
          <w:tcPr>
            <w:tcW w:w="4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10"/>
                <w:szCs w:val="10"/>
                <w:b w:val="1"/>
                <w:bCs w:val="1"/>
                <w:color w:val="auto"/>
              </w:rPr>
              <w:t>For the six months ended June 30,</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80" w:type="dxa"/>
            <w:vAlign w:val="bottom"/>
            <w:vMerge w:val="restart"/>
          </w:tcPr>
          <w:p>
            <w:pPr>
              <w:spacing w:after="0"/>
              <w:rPr>
                <w:sz w:val="20"/>
                <w:szCs w:val="20"/>
                <w:color w:val="auto"/>
              </w:rPr>
            </w:pPr>
            <w:r>
              <w:rPr>
                <w:rFonts w:ascii="Arial" w:cs="Arial" w:eastAsia="Arial" w:hAnsi="Arial"/>
                <w:sz w:val="11"/>
                <w:szCs w:val="11"/>
                <w:b w:val="1"/>
                <w:bCs w:val="1"/>
                <w:color w:val="auto"/>
              </w:rPr>
              <w:t>Gross margin, excluding inventory valuation adjustments reconciliation: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2019</w:t>
            </w: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280" w:type="dxa"/>
            <w:vAlign w:val="bottom"/>
            <w:tcBorders>
              <w:bottom w:val="single" w:sz="8" w:color="CFF0FC"/>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1"/>
                <w:szCs w:val="11"/>
                <w:b w:val="1"/>
                <w:bCs w:val="1"/>
                <w:color w:val="auto"/>
              </w:rPr>
              <w:t>Cannabis</w:t>
            </w: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720"/>
              <w:spacing w:after="0"/>
              <w:rPr>
                <w:sz w:val="20"/>
                <w:szCs w:val="20"/>
                <w:color w:val="auto"/>
              </w:rPr>
            </w:pPr>
            <w:r>
              <w:rPr>
                <w:rFonts w:ascii="Arial" w:cs="Arial" w:eastAsia="Arial" w:hAnsi="Arial"/>
                <w:sz w:val="11"/>
                <w:szCs w:val="11"/>
                <w:b w:val="1"/>
                <w:bCs w:val="1"/>
                <w:color w:val="auto"/>
              </w:rPr>
              <w:t>Hemp</w:t>
            </w: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w w:val="75"/>
              </w:rPr>
              <w:t>Total</w:t>
            </w: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rPr>
                <w:sz w:val="20"/>
                <w:szCs w:val="20"/>
                <w:color w:val="auto"/>
              </w:rPr>
            </w:pPr>
            <w:r>
              <w:rPr>
                <w:rFonts w:ascii="Arial" w:cs="Arial" w:eastAsia="Arial" w:hAnsi="Arial"/>
                <w:sz w:val="11"/>
                <w:szCs w:val="11"/>
                <w:color w:val="auto"/>
              </w:rPr>
              <w:t>Revenue</w:t>
            </w:r>
          </w:p>
        </w:tc>
        <w:tc>
          <w:tcPr>
            <w:tcW w:w="620" w:type="dxa"/>
            <w:vAlign w:val="bottom"/>
            <w:shd w:val="clear" w:color="auto" w:fill="CFF0FC"/>
          </w:tcPr>
          <w:p>
            <w:pPr>
              <w:jc w:val="right"/>
              <w:ind w:right="51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60,947</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43,425</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41,569</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25,517</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102,516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68,942</w:t>
            </w:r>
          </w:p>
        </w:tc>
        <w:tc>
          <w:tcPr>
            <w:tcW w:w="12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20"/>
                <w:szCs w:val="20"/>
                <w:color w:val="auto"/>
              </w:rPr>
            </w:pPr>
            <w:r>
              <w:rPr>
                <w:rFonts w:ascii="Arial" w:cs="Arial" w:eastAsia="Arial" w:hAnsi="Arial"/>
                <w:sz w:val="11"/>
                <w:szCs w:val="11"/>
                <w:color w:val="auto"/>
              </w:rPr>
              <w:t>Cost of sales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Product costs</w:t>
            </w: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51,784</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35,912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22,608</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14,847</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74,392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50,759</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Inventory valuation adjustments</w:t>
            </w:r>
          </w:p>
        </w:tc>
        <w:tc>
          <w:tcPr>
            <w:tcW w:w="6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18,309</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4,364</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22,673</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w:t>
            </w:r>
          </w:p>
        </w:tc>
        <w:tc>
          <w:tcPr>
            <w:tcW w:w="12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FF0FC"/>
          </w:tcPr>
          <w:p>
            <w:pPr>
              <w:spacing w:after="0"/>
              <w:rPr>
                <w:sz w:val="20"/>
                <w:szCs w:val="20"/>
                <w:color w:val="auto"/>
              </w:rPr>
            </w:pPr>
            <w:r>
              <w:rPr>
                <w:rFonts w:ascii="Arial" w:cs="Arial" w:eastAsia="Arial" w:hAnsi="Arial"/>
                <w:sz w:val="11"/>
                <w:szCs w:val="11"/>
                <w:color w:val="auto"/>
              </w:rPr>
              <w:t>Gross profit</w:t>
            </w:r>
          </w:p>
        </w:tc>
        <w:tc>
          <w:tcPr>
            <w:tcW w:w="6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(9,146)</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6,988</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14,597</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10,670</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5,451</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17,658</w:t>
            </w:r>
          </w:p>
        </w:tc>
        <w:tc>
          <w:tcPr>
            <w:tcW w:w="12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160"/>
              <w:spacing w:after="0"/>
              <w:rPr>
                <w:sz w:val="20"/>
                <w:szCs w:val="20"/>
                <w:color w:val="auto"/>
              </w:rPr>
            </w:pPr>
            <w:r>
              <w:rPr>
                <w:rFonts w:ascii="Arial" w:cs="Arial" w:eastAsia="Arial" w:hAnsi="Arial"/>
                <w:sz w:val="11"/>
                <w:szCs w:val="11"/>
                <w:color w:val="auto"/>
              </w:rPr>
              <w:t>Inventory valuation adjustments</w:t>
            </w:r>
          </w:p>
        </w:tc>
        <w:tc>
          <w:tcPr>
            <w:tcW w:w="6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18,309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4,364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22,673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525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Amortization of inventory step-up</w:t>
            </w:r>
          </w:p>
        </w:tc>
        <w:tc>
          <w:tcPr>
            <w:tcW w:w="6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2,041</w:t>
            </w:r>
          </w:p>
        </w:tc>
        <w:tc>
          <w:tcPr>
            <w:tcW w:w="20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2,041</w:t>
            </w:r>
          </w:p>
        </w:tc>
        <w:tc>
          <w:tcPr>
            <w:tcW w:w="12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80" w:type="dxa"/>
            <w:vAlign w:val="bottom"/>
          </w:tcPr>
          <w:p>
            <w:pPr>
              <w:spacing w:after="0"/>
              <w:rPr>
                <w:sz w:val="20"/>
                <w:szCs w:val="20"/>
                <w:color w:val="auto"/>
              </w:rPr>
            </w:pPr>
            <w:r>
              <w:rPr>
                <w:rFonts w:ascii="Arial" w:cs="Arial" w:eastAsia="Arial" w:hAnsi="Arial"/>
                <w:sz w:val="11"/>
                <w:szCs w:val="11"/>
                <w:color w:val="auto"/>
              </w:rPr>
              <w:t>Gross profit, excluding inventory valuation adjustments</w:t>
            </w:r>
          </w:p>
        </w:tc>
        <w:tc>
          <w:tcPr>
            <w:tcW w:w="620" w:type="dxa"/>
            <w:vAlign w:val="bottom"/>
          </w:tcPr>
          <w:p>
            <w:pPr>
              <w:jc w:val="right"/>
              <w:ind w:right="512"/>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9,163</w:t>
            </w:r>
          </w:p>
        </w:tc>
        <w:tc>
          <w:tcPr>
            <w:tcW w:w="22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7,513</w:t>
            </w:r>
          </w:p>
        </w:tc>
        <w:tc>
          <w:tcPr>
            <w:tcW w:w="22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18,961</w:t>
            </w:r>
          </w:p>
        </w:tc>
        <w:tc>
          <w:tcPr>
            <w:tcW w:w="22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12,711</w:t>
            </w:r>
          </w:p>
        </w:tc>
        <w:tc>
          <w:tcPr>
            <w:tcW w:w="2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28,124</w:t>
            </w: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20,224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28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Gross margin, excluding inventory valuation adjustments</w:t>
            </w:r>
          </w:p>
        </w:tc>
        <w:tc>
          <w:tcPr>
            <w:tcW w:w="6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4280" w:type="dxa"/>
            <w:vAlign w:val="bottom"/>
            <w:vMerge w:val="continue"/>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15%</w:t>
            </w: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17%</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46%</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50%</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59"/>
              <w:spacing w:after="0"/>
              <w:rPr>
                <w:sz w:val="20"/>
                <w:szCs w:val="20"/>
                <w:color w:val="auto"/>
              </w:rPr>
            </w:pPr>
            <w:r>
              <w:rPr>
                <w:rFonts w:ascii="Arial" w:cs="Arial" w:eastAsia="Arial" w:hAnsi="Arial"/>
                <w:sz w:val="11"/>
                <w:szCs w:val="11"/>
                <w:color w:val="auto"/>
              </w:rPr>
              <w:t>27%</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-1851025</wp:posOffset>
            </wp:positionV>
            <wp:extent cx="1605915"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05915" cy="27432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the fourth quarter of 2019, the Company adopted ASU 2016-01, ASC 842, ASC 606 and ASU 2018-07. The first quarter of 2019 has been recast to reflect the effects of this adoption.</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767171"/>
        </w:rPr>
        <w:t>Tilray | www.tilray.com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3891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89120" cy="274320"/>
                    </a:xfrm>
                    <a:prstGeom prst="rect">
                      <a:avLst/>
                    </a:prstGeom>
                    <a:noFill/>
                  </pic:spPr>
                </pic:pic>
              </a:graphicData>
            </a:graphic>
          </wp:anchor>
        </w:drawing>
      </w:r>
    </w:p>
    <w:sectPr>
      <w:pgSz w:w="11900" w:h="16838" w:orient="portrait"/>
      <w:cols w:equalWidth="0" w:num="1">
        <w:col w:w="11340"/>
      </w:cols>
      <w:pgMar w:left="300" w:top="3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2"/>
    </w:lvl>
  </w:abstractNum>
  <w:abstractNum w:abstractNumId="2">
    <w:nsid w:val="DED7263"/>
    <w:multiLevelType w:val="hybridMultilevel"/>
    <w:lvl w:ilvl="0">
      <w:lvlJc w:val="left"/>
      <w:lvlText w:val="(%1)"/>
      <w:numFmt w:val="lowerLetter"/>
      <w:start w:val="4"/>
    </w:lvl>
  </w:abstractNum>
  <w:abstractNum w:abstractNumId="3">
    <w:nsid w:val="7FDCC233"/>
    <w:multiLevelType w:val="hybridMultilevel"/>
    <w:lvl w:ilvl="0">
      <w:lvlJc w:val="left"/>
      <w:lvlText w:val="%1."/>
      <w:numFmt w:val="decimal"/>
      <w:start w:val="1"/>
    </w:lvl>
    <w:lvl w:ilvl="1">
      <w:lvlJc w:val="left"/>
      <w:lvlText w:val="(%2)"/>
      <w:numFmt w:val="lowerLetter"/>
      <w:start w:val="1"/>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decimal"/>
      <w:start w:val="1"/>
    </w:lvl>
    <w:lvl w:ilvl="1">
      <w:lvlJc w:val="left"/>
      <w:lvlText w:val="(%2)"/>
      <w:numFmt w:val="lowerLetter"/>
      <w:start w:val="6"/>
    </w:lvl>
  </w:abstractNum>
  <w:abstractNum w:abstractNumId="6">
    <w:nsid w:val="6B68079A"/>
    <w:multiLevelType w:val="hybridMultilevel"/>
    <w:lvl w:ilvl="0">
      <w:lvlJc w:val="left"/>
      <w:lvlText w:val="%1."/>
      <w:numFmt w:val="decimal"/>
      <w:start w:val="2"/>
    </w:lvl>
    <w:lvl w:ilvl="1">
      <w:lvlJc w:val="left"/>
      <w:lvlText w:val="%2"/>
      <w:numFmt w:val="lowerLetter"/>
      <w:start w:val="1"/>
    </w:lvl>
  </w:abstractNum>
  <w:abstractNum w:abstractNumId="7">
    <w:nsid w:val="4E6AFB66"/>
    <w:multiLevelType w:val="hybridMultilevel"/>
    <w:lvl w:ilvl="0">
      <w:lvlJc w:val="left"/>
      <w:lvlText w:val="%1."/>
      <w:numFmt w:val="decimal"/>
      <w:start w:val="3"/>
    </w:lvl>
    <w:lvl w:ilvl="1">
      <w:lvlJc w:val="left"/>
      <w:lvlText w:val="(%2)"/>
      <w:numFmt w:val="lowerLetter"/>
      <w:start w:val="1"/>
    </w:lvl>
  </w:abstractNum>
  <w:abstractNum w:abstractNumId="8">
    <w:nsid w:val="25E45D32"/>
    <w:multiLevelType w:val="hybridMultilevel"/>
    <w:lvl w:ilvl="0">
      <w:lvlJc w:val="left"/>
      <w:lvlText w:val="%1."/>
      <w:numFmt w:val="decimal"/>
      <w:start w:val="4"/>
    </w:lvl>
    <w:lvl w:ilvl="1">
      <w:lvlJc w:val="left"/>
      <w:lvlText w:val="(%2)"/>
      <w:numFmt w:val="lowerLetter"/>
      <w:start w:val="1"/>
    </w:lvl>
  </w:abstractNum>
  <w:abstractNum w:abstractNumId="9">
    <w:nsid w:val="519B500D"/>
    <w:multiLevelType w:val="hybridMultilevel"/>
    <w:lvl w:ilvl="0">
      <w:lvlJc w:val="left"/>
      <w:lvlText w:val="(%1)"/>
      <w:numFmt w:val="lowerLetter"/>
      <w:start w:val="3"/>
    </w:lvl>
  </w:abstractNum>
  <w:abstractNum w:abstractNumId="10">
    <w:nsid w:val="431BD7B7"/>
    <w:multiLevelType w:val="hybridMultilevel"/>
    <w:lvl w:ilvl="0">
      <w:lvlJc w:val="left"/>
      <w:lvlText w:val="(%1)"/>
      <w:numFmt w:val="lowerLetter"/>
      <w:start w:val="7"/>
    </w:lvl>
  </w:abstractNum>
  <w:abstractNum w:abstractNumId="11">
    <w:nsid w:val="3F2DBA31"/>
    <w:multiLevelType w:val="hybridMultilevel"/>
    <w:lvl w:ilvl="0">
      <w:lvlJc w:val="left"/>
      <w:lvlText w:val="(%1)"/>
      <w:numFmt w:val="lowerRoman"/>
      <w:start w:val="1"/>
    </w:lvl>
    <w:lvl w:ilvl="1">
      <w:lvlJc w:val="left"/>
      <w:lvlText w:val="(%2)"/>
      <w:numFmt w:val="lowerRoman"/>
      <w:start w:val="1"/>
    </w:lvl>
  </w:abstractNum>
  <w:abstractNum w:abstractNumId="12">
    <w:nsid w:val="7C83E458"/>
    <w:multiLevelType w:val="hybridMultilevel"/>
    <w:lvl w:ilvl="0">
      <w:lvlJc w:val="left"/>
      <w:lvlText w:val="(%1)"/>
      <w:numFmt w:val="lowerLetter"/>
      <w:start w:val="8"/>
    </w:lvl>
  </w:abstractNum>
  <w:abstractNum w:abstractNumId="13">
    <w:nsid w:val="257130A3"/>
    <w:multiLevelType w:val="hybridMultilevel"/>
    <w:lvl w:ilvl="0">
      <w:lvlJc w:val="left"/>
      <w:lvlText w:val="%1."/>
      <w:numFmt w:val="decimal"/>
      <w:start w:val="9"/>
    </w:lvl>
    <w:lvl w:ilvl="1">
      <w:lvlJc w:val="left"/>
      <w:lvlText w:val="(%2)"/>
      <w:numFmt w:val="lowerLetter"/>
      <w:start w:val="1"/>
    </w:lvl>
  </w:abstractNum>
  <w:abstractNum w:abstractNumId="14">
    <w:nsid w:val="62BBD95A"/>
    <w:multiLevelType w:val="hybridMultilevel"/>
    <w:lvl w:ilvl="0">
      <w:lvlJc w:val="left"/>
      <w:lvlText w:val="%1"/>
      <w:numFmt w:val="decimal"/>
      <w:start w:val="1"/>
    </w:lvl>
    <w:lvl w:ilvl="1">
      <w:lvlJc w:val="left"/>
      <w:lvlText w:val="(%2)"/>
      <w:numFmt w:val="lowerLetter"/>
      <w:start w:val="2"/>
    </w:lvl>
  </w:abstractNum>
  <w:abstractNum w:abstractNumId="15">
    <w:nsid w:val="436C6125"/>
    <w:multiLevelType w:val="hybridMultilevel"/>
    <w:lvl w:ilvl="0">
      <w:lvlJc w:val="left"/>
      <w:lvlText w:val="%1."/>
      <w:numFmt w:val="decimal"/>
      <w:start w:val="12"/>
    </w:lvl>
    <w:lvl w:ilvl="1">
      <w:lvlJc w:val="left"/>
      <w:lvlText w:val="%2"/>
      <w:numFmt w:val="lowerLetter"/>
      <w:start w:val="1"/>
    </w:lvl>
  </w:abstractNum>
  <w:abstractNum w:abstractNumId="16">
    <w:nsid w:val="628C895D"/>
    <w:multiLevelType w:val="hybridMultilevel"/>
    <w:lvl w:ilvl="0">
      <w:lvlJc w:val="left"/>
      <w:lvlText w:val="%1."/>
      <w:numFmt w:val="decimal"/>
      <w:start w:val="13"/>
    </w:lvl>
  </w:abstractNum>
  <w:abstractNum w:abstractNumId="17">
    <w:nsid w:val="333AB105"/>
    <w:multiLevelType w:val="hybridMultilevel"/>
    <w:lvl w:ilvl="0">
      <w:lvlJc w:val="left"/>
      <w:lvlText w:val="%1."/>
      <w:numFmt w:val="decimal"/>
      <w:start w:val="14"/>
    </w:lvl>
  </w:abstractNum>
  <w:abstractNum w:abstractNumId="18">
    <w:nsid w:val="721DA317"/>
    <w:multiLevelType w:val="hybridMultilevel"/>
    <w:lvl w:ilvl="0">
      <w:lvlJc w:val="left"/>
      <w:lvlText w:val="%1."/>
      <w:numFmt w:val="decimal"/>
      <w:start w:val="17"/>
    </w:lvl>
    <w:lvl w:ilvl="1">
      <w:lvlJc w:val="left"/>
      <w:lvlText w:val="(%2)"/>
      <w:numFmt w:val="lowerLetter"/>
      <w:start w:val="1"/>
    </w:lvl>
  </w:abstractNum>
  <w:abstractNum w:abstractNumId="19">
    <w:nsid w:val="2443A858"/>
    <w:multiLevelType w:val="hybridMultilevel"/>
    <w:lvl w:ilvl="0">
      <w:lvlJc w:val="left"/>
      <w:lvlText w:val="%1."/>
      <w:numFmt w:val="decimal"/>
      <w:start w:val="20"/>
    </w:lvl>
  </w:abstractNum>
  <w:abstractNum w:abstractNumId="20">
    <w:nsid w:val="2D1D5AE9"/>
    <w:multiLevelType w:val="hybridMultilevel"/>
    <w:lvl w:ilvl="0">
      <w:lvlJc w:val="left"/>
      <w:lvlText w:val="%1."/>
      <w:numFmt w:val="decimal"/>
      <w:start w:val="2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2020-08-10T15:09:47Z</dcterms:created>
  <dcterms:modified xsi:type="dcterms:W3CDTF">2020-08-10T15:09:47Z</dcterms:modified>
</cp:coreProperties>
</file>