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0"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Registration No. 333-267788</w:t>
      </w:r>
    </w:p>
    <w:p>
      <w:pPr>
        <w:spacing w:after="0" w:line="342"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(to Prospectus dated October 7, 2022)</w:t>
      </w: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201,995 Shares</w:t>
      </w: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Tilray Brands, Inc.</w:t>
      </w: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4"/>
          <w:szCs w:val="24"/>
          <w:color w:val="auto"/>
        </w:rPr>
      </w:pPr>
    </w:p>
    <w:p>
      <w:pPr>
        <w:ind w:left="400" w:right="419" w:firstLine="360"/>
        <w:spacing w:after="0" w:line="287" w:lineRule="auto"/>
        <w:rPr>
          <w:sz w:val="20"/>
          <w:szCs w:val="20"/>
          <w:color w:val="auto"/>
        </w:rPr>
      </w:pPr>
      <w:r>
        <w:rPr>
          <w:rFonts w:ascii="Arial" w:cs="Arial" w:eastAsia="Arial" w:hAnsi="Arial"/>
          <w:sz w:val="16"/>
          <w:szCs w:val="16"/>
          <w:color w:val="auto"/>
        </w:rPr>
        <w:t>This prospectus supplement supplements our prospectus dated October 7, 2022, and registers the resale of an aggregate of 201,995 shares of our common stock, par value $0.0001 per share (“Common Stock”), held by the selling stockholder identified herein. The selling stockholder acquired these shares of Common Stock from us on October 13, 2023 in connection with our acquisition of all of the issued and outstanding share capital of 1000652011 Ontario Inc., an Ontario corporation, from the selling stockholder. The selling stockholder (which term as used herein includes its donees and pledgees, transferees or other successors in interest) may sell these shares through public or private transactions at market prices prevailing at the time of sale, at prices related to such market prices, at varying prices determined at the time of sale, at fixed prices or at negotiated prices. The timing and amount of any sale is within the sole discretion of the selling stockholder, subject to certain restrictions. See “Plan of Distribution” on page S-9 of this prospectus supplement. We will not receive any proceeds from the sale of the shares by the selling stockholder.</w:t>
      </w:r>
    </w:p>
    <w:p>
      <w:pPr>
        <w:spacing w:after="0" w:line="64" w:lineRule="exact"/>
        <w:rPr>
          <w:sz w:val="24"/>
          <w:szCs w:val="24"/>
          <w:color w:val="auto"/>
        </w:rPr>
      </w:pPr>
    </w:p>
    <w:p>
      <w:pPr>
        <w:ind w:left="400" w:right="659" w:firstLine="360"/>
        <w:spacing w:after="0" w:line="286" w:lineRule="auto"/>
        <w:rPr>
          <w:sz w:val="20"/>
          <w:szCs w:val="20"/>
          <w:color w:val="auto"/>
        </w:rPr>
      </w:pPr>
      <w:r>
        <w:rPr>
          <w:rFonts w:ascii="Arial" w:cs="Arial" w:eastAsia="Arial" w:hAnsi="Arial"/>
          <w:sz w:val="17"/>
          <w:szCs w:val="17"/>
          <w:color w:val="auto"/>
        </w:rPr>
        <w:t>Shares of our Common Stock are listed on The Nasdaq Global Select Market (“Nasdaq”) and the Toronto Stock Exchange (the “TSX”) under the trading symbol “TLRY”. On October 12, 2023, the last sale price of shares of our Common Stock was $1.97 per share on Nasdaq and C$2.71 per share on the TSX.</w:t>
      </w:r>
    </w:p>
    <w:p>
      <w:pPr>
        <w:spacing w:after="0" w:line="57" w:lineRule="exact"/>
        <w:rPr>
          <w:sz w:val="24"/>
          <w:szCs w:val="24"/>
          <w:color w:val="auto"/>
        </w:rPr>
      </w:pPr>
    </w:p>
    <w:p>
      <w:pPr>
        <w:ind w:left="400" w:right="499" w:firstLine="360"/>
        <w:spacing w:after="0" w:line="263" w:lineRule="auto"/>
        <w:rPr>
          <w:sz w:val="20"/>
          <w:szCs w:val="20"/>
          <w:color w:val="auto"/>
        </w:rPr>
      </w:pPr>
      <w:r>
        <w:rPr>
          <w:rFonts w:ascii="Arial" w:cs="Arial" w:eastAsia="Arial" w:hAnsi="Arial"/>
          <w:sz w:val="18"/>
          <w:szCs w:val="18"/>
          <w:i w:val="1"/>
          <w:iCs w:val="1"/>
          <w:color w:val="auto"/>
        </w:rPr>
        <w:t>Investing in our Common Stock involves risks. See “Risk Factors” on page S-3 of this prospectus supplement, and on page 4 of the accompanying prospectus, as well as our other filings that are incorporated by reference into this prospectus supplement and the accompanying prospectus.</w:t>
      </w:r>
    </w:p>
    <w:p>
      <w:pPr>
        <w:spacing w:after="0" w:line="72" w:lineRule="exact"/>
        <w:rPr>
          <w:sz w:val="24"/>
          <w:szCs w:val="24"/>
          <w:color w:val="auto"/>
        </w:rPr>
      </w:pPr>
    </w:p>
    <w:p>
      <w:pPr>
        <w:ind w:left="400" w:right="43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ectPr>
          <w:pgSz w:w="11900" w:h="16838" w:orient="portrait"/>
          <w:cols w:equalWidth="0" w:num="1">
            <w:col w:w="9019"/>
          </w:cols>
          <w:pgMar w:left="1440" w:top="22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This prospectus supplement is dated October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150495</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type w:val="continuous"/>
        </w:sectPr>
      </w:pPr>
    </w:p>
    <w:bookmarkStart w:id="1" w:name="page2"/>
    <w:bookmarkEnd w:id="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right"/>
        <w:ind w:right="357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right"/>
        <w:ind w:right="3619"/>
        <w:spacing w:after="0"/>
        <w:rPr>
          <w:sz w:val="20"/>
          <w:szCs w:val="20"/>
          <w:color w:val="auto"/>
        </w:rPr>
      </w:pPr>
      <w:r>
        <w:rPr>
          <w:rFonts w:ascii="Arial" w:cs="Arial" w:eastAsia="Arial" w:hAnsi="Arial"/>
          <w:sz w:val="18"/>
          <w:szCs w:val="18"/>
          <w:b w:val="1"/>
          <w:bCs w:val="1"/>
          <w:color w:val="auto"/>
        </w:rPr>
        <w:t>Prospectus Supplement</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7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7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ABOUT THIS PROSPECTUS SUPPLEMENT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gridSpan w:val="6"/>
            <w:shd w:val="clear" w:color="auto" w:fill="CCEEFF"/>
          </w:tcPr>
          <w:p>
            <w:pPr>
              <w:jc w:val="center"/>
              <w:ind w:right="40"/>
              <w:spacing w:after="0"/>
              <w:rPr>
                <w:sz w:val="20"/>
                <w:szCs w:val="20"/>
                <w:color w:val="auto"/>
              </w:rPr>
            </w:pPr>
            <w:r>
              <w:rPr>
                <w:rFonts w:ascii="Arial" w:cs="Arial" w:eastAsia="Arial" w:hAnsi="Arial"/>
                <w:sz w:val="18"/>
                <w:szCs w:val="18"/>
                <w:color w:val="0000EE"/>
                <w:w w:val="99"/>
              </w:rPr>
              <w:t>S-ii</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18"/>
          </w:tcPr>
          <w:p>
            <w:pPr>
              <w:spacing w:after="0"/>
              <w:rPr>
                <w:sz w:val="20"/>
                <w:szCs w:val="20"/>
                <w:color w:val="auto"/>
              </w:rPr>
            </w:pPr>
            <w:r>
              <w:rPr>
                <w:rFonts w:ascii="Arial" w:cs="Arial" w:eastAsia="Arial" w:hAnsi="Arial"/>
                <w:sz w:val="18"/>
                <w:szCs w:val="18"/>
                <w:color w:val="0000EE"/>
              </w:rPr>
              <w:t>TILRAY BRANDS, INC.</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6"/>
          </w:tcPr>
          <w:p>
            <w:pPr>
              <w:jc w:val="center"/>
              <w:ind w:right="60"/>
              <w:spacing w:after="0"/>
              <w:rPr>
                <w:sz w:val="20"/>
                <w:szCs w:val="20"/>
                <w:color w:val="auto"/>
              </w:rPr>
            </w:pPr>
            <w:r>
              <w:rPr>
                <w:rFonts w:ascii="Arial" w:cs="Arial" w:eastAsia="Arial" w:hAnsi="Arial"/>
                <w:sz w:val="18"/>
                <w:szCs w:val="18"/>
                <w:color w:val="0000EE"/>
                <w:w w:val="85"/>
              </w:rPr>
              <w:t>S-1</w:t>
            </w: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RISK FACTORS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6"/>
            <w:shd w:val="clear" w:color="auto" w:fill="CCEEFF"/>
          </w:tcPr>
          <w:p>
            <w:pPr>
              <w:jc w:val="center"/>
              <w:ind w:right="60"/>
              <w:spacing w:after="0"/>
              <w:rPr>
                <w:sz w:val="20"/>
                <w:szCs w:val="20"/>
                <w:color w:val="auto"/>
              </w:rPr>
            </w:pPr>
            <w:r>
              <w:rPr>
                <w:rFonts w:ascii="Arial" w:cs="Arial" w:eastAsia="Arial" w:hAnsi="Arial"/>
                <w:sz w:val="18"/>
                <w:szCs w:val="18"/>
                <w:color w:val="0000EE"/>
                <w:w w:val="85"/>
              </w:rPr>
              <w:t>S-3</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18"/>
          </w:tcPr>
          <w:p>
            <w:pPr>
              <w:spacing w:after="0"/>
              <w:rPr>
                <w:sz w:val="20"/>
                <w:szCs w:val="20"/>
                <w:color w:val="auto"/>
              </w:rPr>
            </w:pPr>
            <w:r>
              <w:rPr>
                <w:rFonts w:ascii="Arial" w:cs="Arial" w:eastAsia="Arial" w:hAnsi="Arial"/>
                <w:sz w:val="18"/>
                <w:szCs w:val="18"/>
                <w:color w:val="0000EE"/>
              </w:rPr>
              <w:t>SPECIAL NOTE REGARDING FORWARD-LOOKING STATEMENTS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6"/>
          </w:tcPr>
          <w:p>
            <w:pPr>
              <w:jc w:val="center"/>
              <w:ind w:right="60"/>
              <w:spacing w:after="0"/>
              <w:rPr>
                <w:sz w:val="20"/>
                <w:szCs w:val="20"/>
                <w:color w:val="auto"/>
              </w:rPr>
            </w:pPr>
            <w:r>
              <w:rPr>
                <w:rFonts w:ascii="Arial" w:cs="Arial" w:eastAsia="Arial" w:hAnsi="Arial"/>
                <w:sz w:val="18"/>
                <w:szCs w:val="18"/>
                <w:color w:val="0000EE"/>
                <w:w w:val="85"/>
              </w:rPr>
              <w:t>S-4</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6"/>
            <w:shd w:val="clear" w:color="auto" w:fill="CCEEFF"/>
          </w:tcPr>
          <w:p>
            <w:pPr>
              <w:jc w:val="center"/>
              <w:ind w:right="60"/>
              <w:spacing w:after="0"/>
              <w:rPr>
                <w:sz w:val="20"/>
                <w:szCs w:val="20"/>
                <w:color w:val="auto"/>
              </w:rPr>
            </w:pPr>
            <w:r>
              <w:rPr>
                <w:rFonts w:ascii="Arial" w:cs="Arial" w:eastAsia="Arial" w:hAnsi="Arial"/>
                <w:sz w:val="18"/>
                <w:szCs w:val="18"/>
                <w:color w:val="0000EE"/>
                <w:w w:val="85"/>
              </w:rPr>
              <w:t>S-7</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18"/>
          </w:tcPr>
          <w:p>
            <w:pPr>
              <w:spacing w:after="0"/>
              <w:rPr>
                <w:sz w:val="20"/>
                <w:szCs w:val="20"/>
                <w:color w:val="auto"/>
              </w:rPr>
            </w:pPr>
            <w:r>
              <w:rPr>
                <w:rFonts w:ascii="Arial" w:cs="Arial" w:eastAsia="Arial" w:hAnsi="Arial"/>
                <w:sz w:val="18"/>
                <w:szCs w:val="18"/>
                <w:color w:val="0000EE"/>
              </w:rPr>
              <w:t>SELLING STOCKHOLDER</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6"/>
          </w:tcPr>
          <w:p>
            <w:pPr>
              <w:jc w:val="center"/>
              <w:ind w:right="60"/>
              <w:spacing w:after="0"/>
              <w:rPr>
                <w:sz w:val="20"/>
                <w:szCs w:val="20"/>
                <w:color w:val="auto"/>
              </w:rPr>
            </w:pPr>
            <w:r>
              <w:rPr>
                <w:rFonts w:ascii="Arial" w:cs="Arial" w:eastAsia="Arial" w:hAnsi="Arial"/>
                <w:sz w:val="18"/>
                <w:szCs w:val="18"/>
                <w:color w:val="0000EE"/>
                <w:w w:val="85"/>
              </w:rPr>
              <w:t>S-8</w:t>
            </w: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PLAN OF DISTRIBUTION</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6"/>
            <w:shd w:val="clear" w:color="auto" w:fill="CCEEFF"/>
          </w:tcPr>
          <w:p>
            <w:pPr>
              <w:jc w:val="center"/>
              <w:ind w:right="60"/>
              <w:spacing w:after="0"/>
              <w:rPr>
                <w:sz w:val="20"/>
                <w:szCs w:val="20"/>
                <w:color w:val="auto"/>
              </w:rPr>
            </w:pPr>
            <w:r>
              <w:rPr>
                <w:rFonts w:ascii="Arial" w:cs="Arial" w:eastAsia="Arial" w:hAnsi="Arial"/>
                <w:sz w:val="18"/>
                <w:szCs w:val="18"/>
                <w:color w:val="0000EE"/>
                <w:w w:val="85"/>
              </w:rPr>
              <w:t>S-9</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18"/>
          </w:tcPr>
          <w:p>
            <w:pPr>
              <w:spacing w:after="0"/>
              <w:rPr>
                <w:sz w:val="20"/>
                <w:szCs w:val="20"/>
                <w:color w:val="auto"/>
              </w:rPr>
            </w:pPr>
            <w:r>
              <w:rPr>
                <w:rFonts w:ascii="Arial" w:cs="Arial" w:eastAsia="Arial" w:hAnsi="Arial"/>
                <w:sz w:val="18"/>
                <w:szCs w:val="18"/>
                <w:color w:val="0000EE"/>
              </w:rPr>
              <w:t>LEGAL MATTERS</w:t>
            </w:r>
          </w:p>
        </w:tc>
        <w:tc>
          <w:tcPr>
            <w:tcW w:w="20" w:type="dxa"/>
            <w:vAlign w:val="bottom"/>
          </w:tcPr>
          <w:p>
            <w:pPr>
              <w:spacing w:after="0"/>
              <w:rPr>
                <w:sz w:val="19"/>
                <w:szCs w:val="19"/>
                <w:color w:val="auto"/>
              </w:rPr>
            </w:pPr>
          </w:p>
        </w:tc>
        <w:tc>
          <w:tcPr>
            <w:tcW w:w="340" w:type="dxa"/>
            <w:vAlign w:val="bottom"/>
            <w:gridSpan w:val="7"/>
          </w:tcPr>
          <w:p>
            <w:pPr>
              <w:jc w:val="center"/>
              <w:ind w:right="20"/>
              <w:spacing w:after="0"/>
              <w:rPr>
                <w:sz w:val="20"/>
                <w:szCs w:val="20"/>
                <w:color w:val="auto"/>
              </w:rPr>
            </w:pPr>
            <w:r>
              <w:rPr>
                <w:rFonts w:ascii="Arial" w:cs="Arial" w:eastAsia="Arial" w:hAnsi="Arial"/>
                <w:sz w:val="18"/>
                <w:szCs w:val="18"/>
                <w:color w:val="0000EE"/>
                <w:w w:val="84"/>
              </w:rPr>
              <w:t>S-11</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EXPERTS</w:t>
            </w:r>
          </w:p>
        </w:tc>
        <w:tc>
          <w:tcPr>
            <w:tcW w:w="20" w:type="dxa"/>
            <w:vAlign w:val="bottom"/>
            <w:shd w:val="clear" w:color="auto" w:fill="CCEEFF"/>
          </w:tcPr>
          <w:p>
            <w:pPr>
              <w:spacing w:after="0"/>
              <w:rPr>
                <w:sz w:val="19"/>
                <w:szCs w:val="19"/>
                <w:color w:val="auto"/>
              </w:rPr>
            </w:pPr>
          </w:p>
        </w:tc>
        <w:tc>
          <w:tcPr>
            <w:tcW w:w="340" w:type="dxa"/>
            <w:vAlign w:val="bottom"/>
            <w:gridSpan w:val="7"/>
            <w:shd w:val="clear" w:color="auto" w:fill="CCEEFF"/>
          </w:tcPr>
          <w:p>
            <w:pPr>
              <w:jc w:val="center"/>
              <w:ind w:right="20"/>
              <w:spacing w:after="0"/>
              <w:rPr>
                <w:sz w:val="20"/>
                <w:szCs w:val="20"/>
                <w:color w:val="auto"/>
              </w:rPr>
            </w:pPr>
            <w:r>
              <w:rPr>
                <w:rFonts w:ascii="Arial" w:cs="Arial" w:eastAsia="Arial" w:hAnsi="Arial"/>
                <w:sz w:val="18"/>
                <w:szCs w:val="18"/>
                <w:color w:val="0000EE"/>
                <w:w w:val="84"/>
              </w:rPr>
              <w:t>S-11</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18"/>
          </w:tcPr>
          <w:p>
            <w:pPr>
              <w:spacing w:after="0"/>
              <w:rPr>
                <w:sz w:val="20"/>
                <w:szCs w:val="20"/>
                <w:color w:val="auto"/>
              </w:rPr>
            </w:pPr>
            <w:r>
              <w:rPr>
                <w:rFonts w:ascii="Arial" w:cs="Arial" w:eastAsia="Arial" w:hAnsi="Arial"/>
                <w:sz w:val="18"/>
                <w:szCs w:val="18"/>
                <w:color w:val="0000EE"/>
              </w:rPr>
              <w:t>WHERE YOU CAN FIND MORE INFORMATION</w:t>
            </w:r>
          </w:p>
        </w:tc>
        <w:tc>
          <w:tcPr>
            <w:tcW w:w="20" w:type="dxa"/>
            <w:vAlign w:val="bottom"/>
          </w:tcPr>
          <w:p>
            <w:pPr>
              <w:spacing w:after="0"/>
              <w:rPr>
                <w:sz w:val="19"/>
                <w:szCs w:val="19"/>
                <w:color w:val="auto"/>
              </w:rPr>
            </w:pPr>
          </w:p>
        </w:tc>
        <w:tc>
          <w:tcPr>
            <w:tcW w:w="340" w:type="dxa"/>
            <w:vAlign w:val="bottom"/>
            <w:gridSpan w:val="7"/>
          </w:tcPr>
          <w:p>
            <w:pPr>
              <w:jc w:val="center"/>
              <w:ind w:right="20"/>
              <w:spacing w:after="0"/>
              <w:rPr>
                <w:sz w:val="20"/>
                <w:szCs w:val="20"/>
                <w:color w:val="auto"/>
              </w:rPr>
            </w:pPr>
            <w:r>
              <w:rPr>
                <w:rFonts w:ascii="Arial" w:cs="Arial" w:eastAsia="Arial" w:hAnsi="Arial"/>
                <w:sz w:val="18"/>
                <w:szCs w:val="18"/>
                <w:color w:val="0000EE"/>
                <w:w w:val="84"/>
              </w:rPr>
              <w:t>S-11</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INCORPORATION OF CERTAIN INFORMATION BY REFERENCE</w:t>
            </w:r>
          </w:p>
        </w:tc>
        <w:tc>
          <w:tcPr>
            <w:tcW w:w="36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0000EE"/>
                <w:w w:val="89"/>
              </w:rPr>
              <w:t>S-12</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r>
      <w:tr>
        <w:trPr>
          <w:trHeight w:val="540"/>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40" w:type="dxa"/>
            <w:vAlign w:val="bottom"/>
            <w:gridSpan w:val="4"/>
          </w:tcPr>
          <w:p>
            <w:pPr>
              <w:ind w:left="360"/>
              <w:spacing w:after="0"/>
              <w:rPr>
                <w:sz w:val="20"/>
                <w:szCs w:val="20"/>
                <w:color w:val="auto"/>
              </w:rPr>
            </w:pPr>
            <w:r>
              <w:rPr>
                <w:rFonts w:ascii="Arial" w:cs="Arial" w:eastAsia="Arial" w:hAnsi="Arial"/>
                <w:sz w:val="18"/>
                <w:szCs w:val="18"/>
                <w:b w:val="1"/>
                <w:bCs w:val="1"/>
                <w:color w:val="auto"/>
              </w:rPr>
              <w:t>Prospectus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83"/>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ABOUT THIS PROSPECTUS</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0000EE"/>
              </w:rPr>
              <w:t>ii</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18"/>
          </w:tcPr>
          <w:p>
            <w:pPr>
              <w:spacing w:after="0"/>
              <w:rPr>
                <w:sz w:val="20"/>
                <w:szCs w:val="20"/>
                <w:color w:val="auto"/>
              </w:rPr>
            </w:pPr>
            <w:r>
              <w:rPr>
                <w:rFonts w:ascii="Arial" w:cs="Arial" w:eastAsia="Arial" w:hAnsi="Arial"/>
                <w:sz w:val="18"/>
                <w:szCs w:val="18"/>
                <w:color w:val="0000EE"/>
              </w:rPr>
              <w:t>PROSPECTUS SUMMARY</w:t>
            </w:r>
          </w:p>
        </w:tc>
        <w:tc>
          <w:tcPr>
            <w:tcW w:w="340" w:type="dxa"/>
            <w:vAlign w:val="bottom"/>
            <w:gridSpan w:val="7"/>
          </w:tcPr>
          <w:p>
            <w:pPr>
              <w:jc w:val="center"/>
              <w:ind w:left="150"/>
              <w:spacing w:after="0"/>
              <w:rPr>
                <w:sz w:val="20"/>
                <w:szCs w:val="20"/>
                <w:color w:val="auto"/>
              </w:rPr>
            </w:pPr>
            <w:r>
              <w:rPr>
                <w:rFonts w:ascii="Arial" w:cs="Arial" w:eastAsia="Arial" w:hAnsi="Arial"/>
                <w:sz w:val="18"/>
                <w:szCs w:val="18"/>
                <w:color w:val="0000EE"/>
                <w:w w:val="99"/>
              </w:rPr>
              <w:t>1</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RISK FACTORS</w:t>
            </w:r>
          </w:p>
        </w:tc>
        <w:tc>
          <w:tcPr>
            <w:tcW w:w="340" w:type="dxa"/>
            <w:vAlign w:val="bottom"/>
            <w:gridSpan w:val="7"/>
            <w:shd w:val="clear" w:color="auto" w:fill="CCEEFF"/>
          </w:tcPr>
          <w:p>
            <w:pPr>
              <w:jc w:val="center"/>
              <w:ind w:left="150"/>
              <w:spacing w:after="0"/>
              <w:rPr>
                <w:sz w:val="20"/>
                <w:szCs w:val="20"/>
                <w:color w:val="auto"/>
              </w:rPr>
            </w:pPr>
            <w:r>
              <w:rPr>
                <w:rFonts w:ascii="Arial" w:cs="Arial" w:eastAsia="Arial" w:hAnsi="Arial"/>
                <w:sz w:val="18"/>
                <w:szCs w:val="18"/>
                <w:color w:val="0000EE"/>
                <w:w w:val="99"/>
              </w:rPr>
              <w:t>4</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18"/>
          </w:tcPr>
          <w:p>
            <w:pPr>
              <w:spacing w:after="0"/>
              <w:rPr>
                <w:sz w:val="20"/>
                <w:szCs w:val="20"/>
                <w:color w:val="auto"/>
              </w:rPr>
            </w:pPr>
            <w:r>
              <w:rPr>
                <w:rFonts w:ascii="Arial" w:cs="Arial" w:eastAsia="Arial" w:hAnsi="Arial"/>
                <w:sz w:val="18"/>
                <w:szCs w:val="18"/>
                <w:color w:val="0000EE"/>
              </w:rPr>
              <w:t>SPECIAL NOTE REGARDING FORWARD-LOOKING STATEMENTS</w:t>
            </w:r>
          </w:p>
        </w:tc>
        <w:tc>
          <w:tcPr>
            <w:tcW w:w="340" w:type="dxa"/>
            <w:vAlign w:val="bottom"/>
            <w:gridSpan w:val="7"/>
          </w:tcPr>
          <w:p>
            <w:pPr>
              <w:jc w:val="center"/>
              <w:ind w:left="150"/>
              <w:spacing w:after="0"/>
              <w:rPr>
                <w:sz w:val="20"/>
                <w:szCs w:val="20"/>
                <w:color w:val="auto"/>
              </w:rPr>
            </w:pPr>
            <w:r>
              <w:rPr>
                <w:rFonts w:ascii="Arial" w:cs="Arial" w:eastAsia="Arial" w:hAnsi="Arial"/>
                <w:sz w:val="18"/>
                <w:szCs w:val="18"/>
                <w:color w:val="0000EE"/>
                <w:w w:val="99"/>
              </w:rPr>
              <w:t>5</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340" w:type="dxa"/>
            <w:vAlign w:val="bottom"/>
            <w:gridSpan w:val="7"/>
            <w:shd w:val="clear" w:color="auto" w:fill="CCEEFF"/>
          </w:tcPr>
          <w:p>
            <w:pPr>
              <w:jc w:val="center"/>
              <w:ind w:left="150"/>
              <w:spacing w:after="0"/>
              <w:rPr>
                <w:sz w:val="20"/>
                <w:szCs w:val="20"/>
                <w:color w:val="auto"/>
              </w:rPr>
            </w:pPr>
            <w:r>
              <w:rPr>
                <w:rFonts w:ascii="Arial" w:cs="Arial" w:eastAsia="Arial" w:hAnsi="Arial"/>
                <w:sz w:val="18"/>
                <w:szCs w:val="18"/>
                <w:color w:val="0000EE"/>
                <w:w w:val="99"/>
              </w:rPr>
              <w:t>8</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18"/>
          </w:tcPr>
          <w:p>
            <w:pPr>
              <w:spacing w:after="0"/>
              <w:rPr>
                <w:sz w:val="20"/>
                <w:szCs w:val="20"/>
                <w:color w:val="auto"/>
              </w:rPr>
            </w:pPr>
            <w:r>
              <w:rPr>
                <w:rFonts w:ascii="Arial" w:cs="Arial" w:eastAsia="Arial" w:hAnsi="Arial"/>
                <w:sz w:val="18"/>
                <w:szCs w:val="18"/>
                <w:color w:val="0000EE"/>
              </w:rPr>
              <w:t>DESCRIPTION OF CAPITAL STOCK</w:t>
            </w:r>
          </w:p>
        </w:tc>
        <w:tc>
          <w:tcPr>
            <w:tcW w:w="340" w:type="dxa"/>
            <w:vAlign w:val="bottom"/>
            <w:gridSpan w:val="7"/>
          </w:tcPr>
          <w:p>
            <w:pPr>
              <w:jc w:val="center"/>
              <w:ind w:left="150"/>
              <w:spacing w:after="0"/>
              <w:rPr>
                <w:sz w:val="20"/>
                <w:szCs w:val="20"/>
                <w:color w:val="auto"/>
              </w:rPr>
            </w:pPr>
            <w:r>
              <w:rPr>
                <w:rFonts w:ascii="Arial" w:cs="Arial" w:eastAsia="Arial" w:hAnsi="Arial"/>
                <w:sz w:val="18"/>
                <w:szCs w:val="18"/>
                <w:color w:val="0000EE"/>
                <w:w w:val="99"/>
              </w:rPr>
              <w:t>9</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DESCRIPTION OF DEBT SECURITIES</w:t>
            </w:r>
          </w:p>
        </w:tc>
        <w:tc>
          <w:tcPr>
            <w:tcW w:w="360" w:type="dxa"/>
            <w:vAlign w:val="bottom"/>
            <w:gridSpan w:val="8"/>
            <w:shd w:val="clear" w:color="auto" w:fill="CCEEFF"/>
          </w:tcPr>
          <w:p>
            <w:pPr>
              <w:jc w:val="center"/>
              <w:ind w:left="50"/>
              <w:spacing w:after="0"/>
              <w:rPr>
                <w:sz w:val="20"/>
                <w:szCs w:val="20"/>
                <w:color w:val="auto"/>
              </w:rPr>
            </w:pPr>
            <w:r>
              <w:rPr>
                <w:rFonts w:ascii="Arial" w:cs="Arial" w:eastAsia="Arial" w:hAnsi="Arial"/>
                <w:sz w:val="18"/>
                <w:szCs w:val="18"/>
                <w:color w:val="0000EE"/>
                <w:w w:val="89"/>
              </w:rPr>
              <w:t>14</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18"/>
          </w:tcPr>
          <w:p>
            <w:pPr>
              <w:spacing w:after="0"/>
              <w:rPr>
                <w:sz w:val="20"/>
                <w:szCs w:val="20"/>
                <w:color w:val="auto"/>
              </w:rPr>
            </w:pPr>
            <w:r>
              <w:rPr>
                <w:rFonts w:ascii="Arial" w:cs="Arial" w:eastAsia="Arial" w:hAnsi="Arial"/>
                <w:sz w:val="18"/>
                <w:szCs w:val="18"/>
                <w:color w:val="0000EE"/>
              </w:rPr>
              <w:t>DESCRIPTION OF WARRANTS</w:t>
            </w:r>
          </w:p>
        </w:tc>
        <w:tc>
          <w:tcPr>
            <w:tcW w:w="360" w:type="dxa"/>
            <w:vAlign w:val="bottom"/>
            <w:gridSpan w:val="8"/>
          </w:tcPr>
          <w:p>
            <w:pPr>
              <w:jc w:val="center"/>
              <w:ind w:left="50"/>
              <w:spacing w:after="0"/>
              <w:rPr>
                <w:sz w:val="20"/>
                <w:szCs w:val="20"/>
                <w:color w:val="auto"/>
              </w:rPr>
            </w:pPr>
            <w:r>
              <w:rPr>
                <w:rFonts w:ascii="Arial" w:cs="Arial" w:eastAsia="Arial" w:hAnsi="Arial"/>
                <w:sz w:val="18"/>
                <w:szCs w:val="18"/>
                <w:color w:val="0000EE"/>
                <w:w w:val="89"/>
              </w:rPr>
              <w:t>20</w:t>
            </w: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LEGAL OWNERSHIP OF SECURITIES</w:t>
            </w:r>
          </w:p>
        </w:tc>
        <w:tc>
          <w:tcPr>
            <w:tcW w:w="360" w:type="dxa"/>
            <w:vAlign w:val="bottom"/>
            <w:gridSpan w:val="8"/>
            <w:shd w:val="clear" w:color="auto" w:fill="CCEEFF"/>
          </w:tcPr>
          <w:p>
            <w:pPr>
              <w:jc w:val="center"/>
              <w:ind w:left="50"/>
              <w:spacing w:after="0"/>
              <w:rPr>
                <w:sz w:val="20"/>
                <w:szCs w:val="20"/>
                <w:color w:val="auto"/>
              </w:rPr>
            </w:pPr>
            <w:r>
              <w:rPr>
                <w:rFonts w:ascii="Arial" w:cs="Arial" w:eastAsia="Arial" w:hAnsi="Arial"/>
                <w:sz w:val="18"/>
                <w:szCs w:val="18"/>
                <w:color w:val="0000EE"/>
                <w:w w:val="89"/>
              </w:rPr>
              <w:t>22</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18"/>
          </w:tcPr>
          <w:p>
            <w:pPr>
              <w:spacing w:after="0"/>
              <w:rPr>
                <w:sz w:val="20"/>
                <w:szCs w:val="20"/>
                <w:color w:val="auto"/>
              </w:rPr>
            </w:pPr>
            <w:r>
              <w:rPr>
                <w:rFonts w:ascii="Arial" w:cs="Arial" w:eastAsia="Arial" w:hAnsi="Arial"/>
                <w:sz w:val="18"/>
                <w:szCs w:val="18"/>
                <w:color w:val="0000EE"/>
              </w:rPr>
              <w:t>SELLING SECURITYHOLDERS</w:t>
            </w:r>
          </w:p>
        </w:tc>
        <w:tc>
          <w:tcPr>
            <w:tcW w:w="360" w:type="dxa"/>
            <w:vAlign w:val="bottom"/>
            <w:gridSpan w:val="8"/>
          </w:tcPr>
          <w:p>
            <w:pPr>
              <w:jc w:val="center"/>
              <w:ind w:left="50"/>
              <w:spacing w:after="0"/>
              <w:rPr>
                <w:sz w:val="20"/>
                <w:szCs w:val="20"/>
                <w:color w:val="auto"/>
              </w:rPr>
            </w:pPr>
            <w:r>
              <w:rPr>
                <w:rFonts w:ascii="Arial" w:cs="Arial" w:eastAsia="Arial" w:hAnsi="Arial"/>
                <w:sz w:val="18"/>
                <w:szCs w:val="18"/>
                <w:color w:val="0000EE"/>
                <w:w w:val="89"/>
              </w:rPr>
              <w:t>24</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PLAN OF DISTRIBUTION</w:t>
            </w:r>
          </w:p>
        </w:tc>
        <w:tc>
          <w:tcPr>
            <w:tcW w:w="360" w:type="dxa"/>
            <w:vAlign w:val="bottom"/>
            <w:gridSpan w:val="8"/>
            <w:shd w:val="clear" w:color="auto" w:fill="CCEEFF"/>
          </w:tcPr>
          <w:p>
            <w:pPr>
              <w:jc w:val="center"/>
              <w:ind w:left="50"/>
              <w:spacing w:after="0"/>
              <w:rPr>
                <w:sz w:val="20"/>
                <w:szCs w:val="20"/>
                <w:color w:val="auto"/>
              </w:rPr>
            </w:pPr>
            <w:r>
              <w:rPr>
                <w:rFonts w:ascii="Arial" w:cs="Arial" w:eastAsia="Arial" w:hAnsi="Arial"/>
                <w:sz w:val="18"/>
                <w:szCs w:val="18"/>
                <w:color w:val="0000EE"/>
                <w:w w:val="89"/>
              </w:rPr>
              <w:t>25</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18"/>
          </w:tcPr>
          <w:p>
            <w:pPr>
              <w:spacing w:after="0"/>
              <w:rPr>
                <w:sz w:val="20"/>
                <w:szCs w:val="20"/>
                <w:color w:val="auto"/>
              </w:rPr>
            </w:pPr>
            <w:r>
              <w:rPr>
                <w:rFonts w:ascii="Arial" w:cs="Arial" w:eastAsia="Arial" w:hAnsi="Arial"/>
                <w:sz w:val="18"/>
                <w:szCs w:val="18"/>
                <w:color w:val="0000EE"/>
              </w:rPr>
              <w:t>LEGAL MATTERS</w:t>
            </w:r>
          </w:p>
        </w:tc>
        <w:tc>
          <w:tcPr>
            <w:tcW w:w="360" w:type="dxa"/>
            <w:vAlign w:val="bottom"/>
            <w:gridSpan w:val="8"/>
          </w:tcPr>
          <w:p>
            <w:pPr>
              <w:jc w:val="center"/>
              <w:ind w:left="50"/>
              <w:spacing w:after="0"/>
              <w:rPr>
                <w:sz w:val="20"/>
                <w:szCs w:val="20"/>
                <w:color w:val="auto"/>
              </w:rPr>
            </w:pPr>
            <w:r>
              <w:rPr>
                <w:rFonts w:ascii="Arial" w:cs="Arial" w:eastAsia="Arial" w:hAnsi="Arial"/>
                <w:sz w:val="18"/>
                <w:szCs w:val="18"/>
                <w:color w:val="0000EE"/>
                <w:w w:val="89"/>
              </w:rPr>
              <w:t>26</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EXPERTS</w:t>
            </w:r>
          </w:p>
        </w:tc>
        <w:tc>
          <w:tcPr>
            <w:tcW w:w="360" w:type="dxa"/>
            <w:vAlign w:val="bottom"/>
            <w:gridSpan w:val="8"/>
            <w:shd w:val="clear" w:color="auto" w:fill="CCEEFF"/>
          </w:tcPr>
          <w:p>
            <w:pPr>
              <w:jc w:val="center"/>
              <w:ind w:left="50"/>
              <w:spacing w:after="0"/>
              <w:rPr>
                <w:sz w:val="20"/>
                <w:szCs w:val="20"/>
                <w:color w:val="auto"/>
              </w:rPr>
            </w:pPr>
            <w:r>
              <w:rPr>
                <w:rFonts w:ascii="Arial" w:cs="Arial" w:eastAsia="Arial" w:hAnsi="Arial"/>
                <w:sz w:val="18"/>
                <w:szCs w:val="18"/>
                <w:color w:val="0000EE"/>
                <w:w w:val="89"/>
              </w:rPr>
              <w:t>26</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18"/>
          </w:tcPr>
          <w:p>
            <w:pPr>
              <w:spacing w:after="0"/>
              <w:rPr>
                <w:sz w:val="20"/>
                <w:szCs w:val="20"/>
                <w:color w:val="auto"/>
              </w:rPr>
            </w:pPr>
            <w:r>
              <w:rPr>
                <w:rFonts w:ascii="Arial" w:cs="Arial" w:eastAsia="Arial" w:hAnsi="Arial"/>
                <w:sz w:val="18"/>
                <w:szCs w:val="18"/>
                <w:color w:val="0000EE"/>
              </w:rPr>
              <w:t>WHERE YOU CAN FIND MORE INFORMATION</w:t>
            </w:r>
          </w:p>
        </w:tc>
        <w:tc>
          <w:tcPr>
            <w:tcW w:w="360" w:type="dxa"/>
            <w:vAlign w:val="bottom"/>
            <w:gridSpan w:val="8"/>
          </w:tcPr>
          <w:p>
            <w:pPr>
              <w:jc w:val="center"/>
              <w:ind w:left="50"/>
              <w:spacing w:after="0"/>
              <w:rPr>
                <w:sz w:val="20"/>
                <w:szCs w:val="20"/>
                <w:color w:val="auto"/>
              </w:rPr>
            </w:pPr>
            <w:r>
              <w:rPr>
                <w:rFonts w:ascii="Arial" w:cs="Arial" w:eastAsia="Arial" w:hAnsi="Arial"/>
                <w:sz w:val="18"/>
                <w:szCs w:val="18"/>
                <w:color w:val="0000EE"/>
                <w:w w:val="89"/>
              </w:rPr>
              <w:t>27</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18"/>
            <w:shd w:val="clear" w:color="auto" w:fill="CCEEFF"/>
          </w:tcPr>
          <w:p>
            <w:pPr>
              <w:spacing w:after="0"/>
              <w:rPr>
                <w:sz w:val="20"/>
                <w:szCs w:val="20"/>
                <w:color w:val="auto"/>
              </w:rPr>
            </w:pPr>
            <w:r>
              <w:rPr>
                <w:rFonts w:ascii="Arial" w:cs="Arial" w:eastAsia="Arial" w:hAnsi="Arial"/>
                <w:sz w:val="18"/>
                <w:szCs w:val="18"/>
                <w:color w:val="0000EE"/>
              </w:rPr>
              <w:t>INCORPORATION OF CERTAIN INFORMATION BY REFERENCE</w:t>
            </w:r>
          </w:p>
        </w:tc>
        <w:tc>
          <w:tcPr>
            <w:tcW w:w="360" w:type="dxa"/>
            <w:vAlign w:val="bottom"/>
            <w:gridSpan w:val="8"/>
            <w:shd w:val="clear" w:color="auto" w:fill="CCEEFF"/>
          </w:tcPr>
          <w:p>
            <w:pPr>
              <w:jc w:val="center"/>
              <w:ind w:left="50"/>
              <w:spacing w:after="0"/>
              <w:rPr>
                <w:sz w:val="20"/>
                <w:szCs w:val="20"/>
                <w:color w:val="auto"/>
              </w:rPr>
            </w:pPr>
            <w:r>
              <w:rPr>
                <w:rFonts w:ascii="Arial" w:cs="Arial" w:eastAsia="Arial" w:hAnsi="Arial"/>
                <w:sz w:val="18"/>
                <w:szCs w:val="18"/>
                <w:color w:val="0000EE"/>
                <w:w w:val="89"/>
              </w:rPr>
              <w:t>28</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-5828665</wp:posOffset>
            </wp:positionV>
            <wp:extent cx="93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left="300" w:right="559" w:firstLine="360"/>
        <w:spacing w:after="0" w:line="259" w:lineRule="auto"/>
        <w:rPr>
          <w:sz w:val="20"/>
          <w:szCs w:val="20"/>
          <w:color w:val="auto"/>
        </w:rPr>
      </w:pPr>
      <w:r>
        <w:rPr>
          <w:rFonts w:ascii="Arial" w:cs="Arial" w:eastAsia="Arial" w:hAnsi="Arial"/>
          <w:sz w:val="18"/>
          <w:szCs w:val="18"/>
          <w:color w:val="auto"/>
        </w:rPr>
        <w:t>On October 7, 2022, we filed with the Securities and Exchange Commission (the “SEC”) a registration statement on Form S-3 (File No. 333-267788) (the “Registration Statement”) utilizing a shelf registration process relating to certain securities, including the securities described in this prospectus supplement, which Registration Statement became effective automatically upon filing.</w:t>
      </w:r>
    </w:p>
    <w:p>
      <w:pPr>
        <w:spacing w:after="0" w:line="79"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The second part, the accompanying prospectus, gives more general information, some of which may not apply to this offering. We urge you to read carefully this prospectus supplement and the accompanying prospectus, together with the information incorporated therein and herein by reference as described under the heading “Incorporation of Certain Information by Reference,” before buying any of the securities being offered.</w:t>
      </w:r>
    </w:p>
    <w:p>
      <w:pPr>
        <w:spacing w:after="0" w:line="53" w:lineRule="exact"/>
        <w:rPr>
          <w:sz w:val="20"/>
          <w:szCs w:val="20"/>
          <w:color w:val="auto"/>
        </w:rPr>
      </w:pPr>
    </w:p>
    <w:p>
      <w:pPr>
        <w:ind w:left="300" w:right="639" w:firstLine="360"/>
        <w:spacing w:after="0" w:line="279"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supplement and the accompanying prospectus. We have not authorized anyone to provide you with different or additional information. This prospectus supplement is an offer to sell only the securities offered hereby, but only under circumstances and in jurisdictions where it is lawful to do so.</w:t>
      </w:r>
    </w:p>
    <w:p>
      <w:pPr>
        <w:spacing w:after="0" w:line="63"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The information appearing in this prospectus supplement is accurate only as of the date on the front of the document and any information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p>
    <w:p>
      <w:pPr>
        <w:spacing w:after="0" w:line="49" w:lineRule="exact"/>
        <w:rPr>
          <w:sz w:val="20"/>
          <w:szCs w:val="20"/>
          <w:color w:val="auto"/>
        </w:rPr>
      </w:pPr>
    </w:p>
    <w:p>
      <w:pPr>
        <w:ind w:left="300" w:right="439" w:firstLine="360"/>
        <w:spacing w:after="0" w:line="296" w:lineRule="auto"/>
        <w:rPr>
          <w:sz w:val="20"/>
          <w:szCs w:val="20"/>
          <w:color w:val="auto"/>
        </w:rPr>
      </w:pPr>
      <w:r>
        <w:rPr>
          <w:rFonts w:ascii="Arial" w:cs="Arial" w:eastAsia="Arial" w:hAnsi="Arial"/>
          <w:sz w:val="16"/>
          <w:szCs w:val="16"/>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incorporated by reference as exhibits to the Registration Statement, and you may obtain copies of those documents as described below under the section entitled “Where You Can Find More Information.”</w:t>
      </w:r>
    </w:p>
    <w:p>
      <w:pPr>
        <w:spacing w:after="0" w:line="53"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Unless the context requires otherwise, references in this prospectus supplement to “Tilray,” the “company,” “we,” “us” and “our” refer to Tilray Brands, Inc. and its wholly-owned subsidiaries. Tilray, our logo and our other registered or common law trademarks, trade names or service marks appearing in this prospectus supplement are owned by us. Solely for convenience, trademarks and trade names referred to in this prospectus supplement, including logos, artwork and other visual displays, may appear without the (R) or (TM) symbols, but such references are not intended to indicate in any way that we will not assert, to the fullest extent under applicable law, our rights of the applicable licensor to these trademarks and trade names. Unless otherwise stated in this prospectus supplement, we do not intend our use or display of other companies’ trade names or trademarks to imply a relationship with, or endorsement or sponsorship of us by, any other companies.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TILRAY BRANDS, INC.</w:t>
      </w:r>
    </w:p>
    <w:p>
      <w:pPr>
        <w:spacing w:after="0" w:line="121"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i w:val="1"/>
          <w:iCs w:val="1"/>
          <w:color w:val="auto"/>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Common Stock. Therefore, you should read the entire prospectus supplement and the accompanying prospectus carefully (including the documents incorporated by reference herein and therein), especially the “Risk Factors” section beginning on page S-3 and in the documents incorporated by reference and our consolidated financial statements and the related notes incorporated by reference in this prospectus supplement and the accompanying prospectus, before deciding to invest in our Common Stock. Unless the context otherwise requires, we use the terms “Tilray,” “Company,” “we,” “us” and “our” in this prospectus supplement and the accompanying prospectus to refer to Tilray Brands, Inc. and, where appropriate, our consolidated subsidiaries.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Tilray is a leading global cannabis-lifestyle and consumer packaged goods company, which was incorporated on January 24, 2018 and headquartered in Leamington and New York, with operations in Canada, the United States, Europe, Australia and Latin America that is changing people’s lives for the better - one person at a time - by inspiring and empowering a worldwide community to live their very best life enhanced by moments of connection and wellbeing. Tilray’s mission is to be the most responsible, trusted and market leading cannabis-lifestyle and consumer packaged goods company in the world with a portfolio of innovative, high-quality and beloved brands that address the needs of the consumers, customers and patients we serve. Patients and consumers trust Tilray to be the most responsible, trusted and market leading cannabis consumer products company in the world with a portfolio of innovative, high-quality, and beloved brands that address the needs of the consumers, customers, and patients we serve. Tilray’s business consists of four reporting segments, which are defined by the industry in which we compete, target consumer and need and route-to-market. These reporting segments consist of medical cannabis, adult-use cannabis, beverage alcohol and wellness.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84"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On December 12, 2019, Privateer Holdings merged with and into a wholly owned subsidiary of Tilray pursuant to the agreement and plan of merger and reorganization.</w:t>
      </w:r>
    </w:p>
    <w:p>
      <w:pPr>
        <w:spacing w:after="0" w:line="62"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 xml:space="preserve">Pursuant to an arrangement agreement, dated as of December 15, 2020, as amended on February 19, 2021, between Tilray and Aphria Inc. (“Aphria”), Tilray implemented an arrangement (the “Arrangement”) under the </w:t>
      </w: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(Ontario) in accordance with a plan of arrangement. The Arrangement was completed on</w:t>
      </w:r>
      <w:r>
        <w:rPr>
          <w:rFonts w:ascii="Arial" w:cs="Arial" w:eastAsia="Arial" w:hAnsi="Arial"/>
          <w:sz w:val="18"/>
          <w:szCs w:val="18"/>
          <w:i w:val="1"/>
          <w:iCs w:val="1"/>
          <w:color w:val="auto"/>
        </w:rPr>
        <w:t xml:space="preserve"> </w:t>
      </w:r>
      <w:r>
        <w:rPr>
          <w:rFonts w:ascii="Arial" w:cs="Arial" w:eastAsia="Arial" w:hAnsi="Arial"/>
          <w:sz w:val="18"/>
          <w:szCs w:val="18"/>
          <w:color w:val="auto"/>
        </w:rPr>
        <w:t>April 30, 2021.</w:t>
      </w:r>
    </w:p>
    <w:p>
      <w:pPr>
        <w:spacing w:after="0" w:line="79" w:lineRule="exact"/>
        <w:rPr>
          <w:sz w:val="20"/>
          <w:szCs w:val="20"/>
          <w:color w:val="auto"/>
        </w:rPr>
      </w:pPr>
    </w:p>
    <w:p>
      <w:pPr>
        <w:ind w:left="300" w:right="439" w:firstLine="360"/>
        <w:spacing w:after="0" w:line="311" w:lineRule="auto"/>
        <w:rPr>
          <w:sz w:val="20"/>
          <w:szCs w:val="20"/>
          <w:color w:val="auto"/>
        </w:rPr>
      </w:pPr>
      <w:r>
        <w:rPr>
          <w:rFonts w:ascii="Arial" w:cs="Arial" w:eastAsia="Arial" w:hAnsi="Arial"/>
          <w:sz w:val="16"/>
          <w:szCs w:val="16"/>
          <w:color w:val="auto"/>
        </w:rPr>
        <w:t>On January 10, 2022, Tilray, Inc. changed its corporate name to Tilray Brands, Inc., pursuant to a second certificate of amendment of the amended and restated certificate of incorporation filed with the Delaware Secretary of State (the “Name Change”), and amended and restated its Bylaws on that same date to reflect the Name Change.</w:t>
      </w:r>
    </w:p>
    <w:p>
      <w:pPr>
        <w:spacing w:after="0" w:line="41"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On November 7, 2022, Tilray acquired Montauk Brewing Company, Inc. (“Montauk”), a leading craft brewer in Metro New York located in Montauk, New York. Montauk is well-known for its beloved product portfolio, premium price point, and distribution across over 6,400 points of distribution and is a welcomed addition to Tilray’s growing craft alcohol and beer businesses.</w:t>
      </w:r>
    </w:p>
    <w:p>
      <w:pPr>
        <w:spacing w:after="0" w:line="79"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On March 16, 2023, Tilray’s stockholders formally approved a proposal to amend its certificate of incorporation (the “Charter Amendment”), which modified Tilray’s existing certificate of incorporation by canceling its Class 1 Common Stock and re-allocating such authorized shares to Class 2 Common Stock. In addition, the Charter Amendment reclassified each issued and outstanding share of Class 2 Common Stock as one share of Common Stock of Tilray.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79" w:firstLine="360"/>
        <w:spacing w:after="0" w:line="296" w:lineRule="auto"/>
        <w:rPr>
          <w:sz w:val="20"/>
          <w:szCs w:val="20"/>
          <w:color w:val="auto"/>
        </w:rPr>
      </w:pPr>
      <w:r>
        <w:rPr>
          <w:rFonts w:ascii="Arial" w:cs="Arial" w:eastAsia="Arial" w:hAnsi="Arial"/>
          <w:sz w:val="16"/>
          <w:szCs w:val="16"/>
          <w:color w:val="auto"/>
        </w:rPr>
        <w:t>On April 10, 2023, Tilray entered into an Arrangement Agreement with HEXO Corp. (“HEXO”), pursuant to which Tilray agreed to acquire all of the issued and outstanding common shares of HEXO pursuant to a plan of arrangement under the Business Corporations Act (Ontario). This transaction builds on the successful strategic alliance between the two companies and positions Tilray for continued strong growth and market leadership in Canada, the largest federally legal cannabis market in the world. The acquisition of HEXO closed on June 22, 2023.</w:t>
      </w:r>
    </w:p>
    <w:p>
      <w:pPr>
        <w:spacing w:after="0" w:line="53" w:lineRule="exact"/>
        <w:rPr>
          <w:sz w:val="20"/>
          <w:szCs w:val="20"/>
          <w:color w:val="auto"/>
        </w:rPr>
      </w:pPr>
    </w:p>
    <w:p>
      <w:pPr>
        <w:ind w:left="300" w:right="539" w:firstLine="360"/>
        <w:spacing w:after="0" w:line="275" w:lineRule="auto"/>
        <w:rPr>
          <w:sz w:val="20"/>
          <w:szCs w:val="20"/>
          <w:color w:val="auto"/>
        </w:rPr>
      </w:pPr>
      <w:r>
        <w:rPr>
          <w:rFonts w:ascii="Arial" w:cs="Arial" w:eastAsia="Arial" w:hAnsi="Arial"/>
          <w:sz w:val="17"/>
          <w:szCs w:val="17"/>
          <w:color w:val="auto"/>
        </w:rPr>
        <w:t>On August 7, 2023, Tilray entered into a Securities and Purchase Agreement by and among Anheuser-Busch Companies, LLC (“AB”), Craft USA Holdings, LLC, Craft Brew Alliance, Inc. and Tilray Beverages, LLC, pursuant to which Tilray agreed to acquire a portfolio of craft beer brands, assets and businesses from AB that includes Breckenridge Brewery, Blue Point, 10 Barrel, Redhook, Widmer Brothers, Square Mile, Shock Top and HiBall. The acquisition was consummated on September 29, 2023.</w:t>
      </w:r>
    </w:p>
    <w:p>
      <w:pPr>
        <w:spacing w:after="0" w:line="68" w:lineRule="exact"/>
        <w:rPr>
          <w:sz w:val="20"/>
          <w:szCs w:val="20"/>
          <w:color w:val="auto"/>
        </w:rPr>
      </w:pPr>
    </w:p>
    <w:p>
      <w:pPr>
        <w:jc w:val="both"/>
        <w:ind w:left="300" w:right="379" w:firstLine="360"/>
        <w:spacing w:after="0" w:line="279" w:lineRule="auto"/>
        <w:rPr>
          <w:sz w:val="20"/>
          <w:szCs w:val="20"/>
          <w:color w:val="auto"/>
        </w:rPr>
      </w:pPr>
      <w:r>
        <w:rPr>
          <w:rFonts w:ascii="Arial" w:cs="Arial" w:eastAsia="Arial" w:hAnsi="Arial"/>
          <w:sz w:val="17"/>
          <w:szCs w:val="17"/>
          <w:color w:val="auto"/>
        </w:rPr>
        <w:t>Tilray’s principal executive offices are located at 265 Talbot Street West, Leamington, Ontario, Canada and its telephone number is (844) 845-7291. Its corporate website address is www.tilray.com. Information contained on or accessible through such website is not a part of this prospectus supplement, and the inclusion of the website address in this prospectus supplement is an inactive textual reference only.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39" w:firstLine="360"/>
        <w:spacing w:after="0" w:line="268"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herein and in the accompanying prospectus, described under the section entitled “Risk Factors” contained in our most recent annual report on Form 10-K as well as any amendments thereto reflected in subsequent filings with the SEC, which are incorporated by reference into this prospectus supplement, together with other information in this prospectus supplement and the accompanying prospectus (including the documents incorporated by reference herein and therein).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300" w:right="399" w:firstLine="360"/>
        <w:spacing w:after="0" w:line="287" w:lineRule="auto"/>
        <w:rPr>
          <w:sz w:val="20"/>
          <w:szCs w:val="20"/>
          <w:color w:val="auto"/>
        </w:rPr>
      </w:pPr>
      <w:r>
        <w:rPr>
          <w:rFonts w:ascii="Arial" w:cs="Arial" w:eastAsia="Arial" w:hAnsi="Arial"/>
          <w:sz w:val="16"/>
          <w:szCs w:val="16"/>
          <w:color w:val="auto"/>
        </w:rPr>
        <w:t>Certain statements in this prospectus supplement and the accompanying prospectus, including the documents incorporated by reference herein and therein, constitute forward-looking information or forward-looking statements within the meaning of Section 27A of the Securities Act of 1933, as amended (the “Securities Act”), and Section</w:t>
      </w:r>
    </w:p>
    <w:p>
      <w:pPr>
        <w:spacing w:after="0" w:line="2" w:lineRule="exact"/>
        <w:rPr>
          <w:sz w:val="20"/>
          <w:szCs w:val="20"/>
          <w:color w:val="auto"/>
        </w:rPr>
      </w:pPr>
    </w:p>
    <w:p>
      <w:pPr>
        <w:ind w:left="300" w:right="319"/>
        <w:spacing w:after="0" w:line="266" w:lineRule="auto"/>
        <w:rPr>
          <w:sz w:val="20"/>
          <w:szCs w:val="20"/>
          <w:color w:val="auto"/>
        </w:rPr>
      </w:pPr>
      <w:r>
        <w:rPr>
          <w:rFonts w:ascii="Arial" w:cs="Arial" w:eastAsia="Arial" w:hAnsi="Arial"/>
          <w:sz w:val="17"/>
          <w:szCs w:val="17"/>
          <w:color w:val="auto"/>
        </w:rPr>
        <w:t>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81" w:lineRule="exact"/>
        <w:rPr>
          <w:sz w:val="20"/>
          <w:szCs w:val="20"/>
          <w:color w:val="auto"/>
        </w:rPr>
      </w:pPr>
    </w:p>
    <w:p>
      <w:pPr>
        <w:ind w:left="300" w:right="819" w:firstLine="360"/>
        <w:spacing w:after="0" w:line="259" w:lineRule="auto"/>
        <w:rPr>
          <w:sz w:val="20"/>
          <w:szCs w:val="20"/>
          <w:color w:val="auto"/>
        </w:rPr>
      </w:pPr>
      <w:r>
        <w:rPr>
          <w:rFonts w:ascii="Arial" w:cs="Arial" w:eastAsia="Arial" w:hAnsi="Arial"/>
          <w:sz w:val="18"/>
          <w:szCs w:val="18"/>
          <w:color w:val="auto"/>
        </w:rPr>
        <w:t>Any information or statements that are contained in this prospectus supplement and the accompanying prospectus, including the documents incorporated by reference herein and therein, that are not statements of historical fact may be deemed to be forward-looking statements, including, but not limited to, statements with regards to:</w:t>
      </w:r>
    </w:p>
    <w:p>
      <w:pPr>
        <w:spacing w:after="0" w:line="79" w:lineRule="exact"/>
        <w:rPr>
          <w:sz w:val="20"/>
          <w:szCs w:val="20"/>
          <w:color w:val="auto"/>
        </w:rPr>
      </w:pPr>
    </w:p>
    <w:p>
      <w:pPr>
        <w:ind w:left="1000" w:right="73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estimates of our financial information, including in respect of expected revenues, margins, cash flow, profitability, and production of cannabis;</w:t>
      </w:r>
    </w:p>
    <w:p>
      <w:pPr>
        <w:spacing w:after="0" w:line="62" w:lineRule="exact"/>
        <w:rPr>
          <w:rFonts w:ascii="Arial" w:cs="Arial" w:eastAsia="Arial" w:hAnsi="Arial"/>
          <w:sz w:val="18"/>
          <w:szCs w:val="18"/>
          <w:color w:val="auto"/>
        </w:rPr>
      </w:pPr>
    </w:p>
    <w:p>
      <w:pPr>
        <w:ind w:left="1000" w:right="899" w:hanging="348"/>
        <w:spacing w:after="0" w:line="308" w:lineRule="auto"/>
        <w:tabs>
          <w:tab w:leader="none" w:pos="100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estimates of future costs applicable to sales, future capital expenditures, future cost reductions, and projected synergies including pre-tax synergies, cost savings and efficiencies;</w:t>
      </w:r>
    </w:p>
    <w:p>
      <w:pPr>
        <w:spacing w:after="0" w:line="38" w:lineRule="exact"/>
        <w:rPr>
          <w:rFonts w:ascii="Arial" w:cs="Arial" w:eastAsia="Arial" w:hAnsi="Arial"/>
          <w:sz w:val="17"/>
          <w:szCs w:val="17"/>
          <w:color w:val="auto"/>
        </w:rPr>
      </w:pPr>
    </w:p>
    <w:p>
      <w:pPr>
        <w:ind w:left="1000" w:right="63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 to have scalable medical and adult-use cannabis platforms to strengthen the leadership position in Canada, internationally, and eventually in the United States;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position in the European cannabis markets, and our ability to leverage our current European platforms;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and financial benefits in connection with the Arrangement;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legalization of cannabis in the United States and our position to compete in the United States;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projected growth in our market share and the European market; and</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 to offer a diversified and branded product offering and distribution footprint, world-class cultivation, processing and manufacturing facilities.</w:t>
      </w:r>
    </w:p>
    <w:p>
      <w:pPr>
        <w:spacing w:after="0" w:line="62"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The forward-looking statements contained in this prospectus supplement and the accompanying prospectus,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49" w:lineRule="exact"/>
        <w:rPr>
          <w:sz w:val="20"/>
          <w:szCs w:val="20"/>
          <w:color w:val="auto"/>
        </w:rPr>
      </w:pPr>
    </w:p>
    <w:p>
      <w:pPr>
        <w:ind w:left="1000" w:right="45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the expected revenue or other benefits from the craft beer operations acquired from AB;</w:t>
      </w:r>
    </w:p>
    <w:p>
      <w:pPr>
        <w:spacing w:after="0" w:line="62" w:lineRule="exact"/>
        <w:rPr>
          <w:rFonts w:ascii="Arial" w:cs="Arial" w:eastAsia="Arial" w:hAnsi="Arial"/>
          <w:sz w:val="18"/>
          <w:szCs w:val="18"/>
          <w:color w:val="auto"/>
        </w:rPr>
      </w:pPr>
    </w:p>
    <w:p>
      <w:pPr>
        <w:ind w:left="1000" w:right="47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impairments of our goodwill, impairments of our intangible and other long-lived assets, and changes in the estimated useful lives of intangible assets, which could have a material adverse impact on our financial results;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3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Tilray and HEXO’s operations and realize the expected benefits of our commercial transactions with HEXO;</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regulatory approvals and licenses, ongoing compliance and reporting obligations, and timely renewals;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evolving government regulations, and the impact of any unfavorable changes or the absence of commercial legalization on our ability to conduct our business and the potential expansion of our business;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or developments affecting our production and processing facilities;</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and anticipated competition, including substantial competition in the beer industry and the broader market for alcoholic beverage products;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constraints on our ability to market and distribute our products in Canada;</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regulations relating to hemp-derived CBD products;</w:t>
      </w:r>
    </w:p>
    <w:p>
      <w:pPr>
        <w:spacing w:after="0" w:line="117" w:lineRule="exact"/>
        <w:rPr>
          <w:rFonts w:ascii="Arial" w:cs="Arial" w:eastAsia="Arial" w:hAnsi="Arial"/>
          <w:sz w:val="18"/>
          <w:szCs w:val="18"/>
          <w:color w:val="auto"/>
        </w:rPr>
      </w:pPr>
    </w:p>
    <w:p>
      <w:pPr>
        <w:ind w:left="1000" w:right="6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preferences or public attitudes about alcohol that could decrease demand for our beverage alcohol products;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maintain profitability in the future;</w:t>
      </w:r>
    </w:p>
    <w:p>
      <w:pPr>
        <w:spacing w:after="0" w:line="117"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arbitration and demands, which could result in significant liability and costs, and impact our resources and reputation;</w:t>
      </w:r>
    </w:p>
    <w:p>
      <w:pPr>
        <w:spacing w:after="0" w:line="62"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alliances and other third-party business relationships may not achieve the intended beneficial impact and expose us to risks;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identify and execute future acquisitions, dispositions or other equity transactions or to successfully manage the impacts of such transactions on our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inherent in an agricultural business, including the risk of crop failure;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significant customers for a substantial portion of our revenue;</w:t>
      </w:r>
    </w:p>
    <w:p>
      <w:pPr>
        <w:spacing w:after="0" w:line="117" w:lineRule="exact"/>
        <w:rPr>
          <w:rFonts w:ascii="Arial" w:cs="Arial" w:eastAsia="Arial" w:hAnsi="Arial"/>
          <w:sz w:val="18"/>
          <w:szCs w:val="18"/>
          <w:color w:val="auto"/>
        </w:rPr>
      </w:pPr>
    </w:p>
    <w:p>
      <w:pPr>
        <w:ind w:left="1000" w:right="10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products may be subject to recalls for a variety of reasons, which could require us to expend significant management and capital resources;</w:t>
      </w:r>
    </w:p>
    <w:p>
      <w:pPr>
        <w:spacing w:after="0" w:line="62"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interruptions in our access to certain supply chains for key inputs such as raw materials, supplies, electricity, water and other utilities may impair our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establish and maintain effective internal controls over financial reporting;</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and fluctuations in the price of our common stock;</w:t>
      </w:r>
    </w:p>
    <w:p>
      <w:pPr>
        <w:spacing w:after="0" w:line="117"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terms of our outstanding warrants on our ability to raise additional equity capital or pursue acquisitions, which may impact funding of our ongoing operations and cause significant dilution to existing stockholders;</w:t>
      </w:r>
    </w:p>
    <w:p>
      <w:pPr>
        <w:spacing w:after="0" w:line="75"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the funds necessary to settle conversions of the convertible securities in cash or to repurchase the convertible securities upon a fundamental change;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generally applicable to our industry and the conduct of our business.</w:t>
      </w:r>
    </w:p>
    <w:p>
      <w:pPr>
        <w:spacing w:after="0" w:line="117" w:lineRule="exact"/>
        <w:rPr>
          <w:sz w:val="20"/>
          <w:szCs w:val="20"/>
          <w:color w:val="auto"/>
        </w:rPr>
      </w:pPr>
    </w:p>
    <w:p>
      <w:pPr>
        <w:ind w:left="300" w:right="399" w:firstLine="360"/>
        <w:spacing w:after="0" w:line="286" w:lineRule="auto"/>
        <w:rPr>
          <w:sz w:val="20"/>
          <w:szCs w:val="20"/>
          <w:color w:val="auto"/>
        </w:rPr>
      </w:pPr>
      <w:r>
        <w:rPr>
          <w:rFonts w:ascii="Arial" w:cs="Arial" w:eastAsia="Arial" w:hAnsi="Arial"/>
          <w:sz w:val="17"/>
          <w:szCs w:val="17"/>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57"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supplement and the accompanying prospectus.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The forward-looking statements contained in this prospectus supplement and the accompanying prospectus,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supplement, the accompany prospectus,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399" w:firstLine="360"/>
        <w:spacing w:after="0" w:line="254" w:lineRule="auto"/>
        <w:rPr>
          <w:sz w:val="20"/>
          <w:szCs w:val="20"/>
          <w:color w:val="auto"/>
        </w:rPr>
      </w:pPr>
      <w:r>
        <w:rPr>
          <w:rFonts w:ascii="Arial" w:cs="Arial" w:eastAsia="Arial" w:hAnsi="Arial"/>
          <w:sz w:val="18"/>
          <w:szCs w:val="18"/>
          <w:color w:val="auto"/>
        </w:rPr>
        <w:t>All of the shares of Common Stock being offered hereby are being sold by the selling stockholder identified in this prospectus supplement. We will not receive any proceeds from the sale of securities by the selling stockholder. We will bear the out-of-pocket costs, expenses and fees incurred in connection with the registration of the shares to be sold by the selling stockholder, including registration, listing fees, printers and accounting fees and fees and disbursements of counsel (collectively, the “Registration Expenses”). Other than Registration Expenses, the selling stockholder will bear any selling discounts, commissions, placement agent fees or other similar expenses payable with respect to sales of shares.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SELLING STOCKHOLDER</w:t>
      </w:r>
    </w:p>
    <w:p>
      <w:pPr>
        <w:spacing w:after="0" w:line="121" w:lineRule="exact"/>
        <w:rPr>
          <w:sz w:val="20"/>
          <w:szCs w:val="20"/>
          <w:color w:val="auto"/>
        </w:rPr>
      </w:pPr>
    </w:p>
    <w:p>
      <w:pPr>
        <w:ind w:left="1300" w:right="1320" w:firstLine="360"/>
        <w:spacing w:after="0" w:line="296" w:lineRule="auto"/>
        <w:rPr>
          <w:sz w:val="20"/>
          <w:szCs w:val="20"/>
          <w:color w:val="auto"/>
        </w:rPr>
      </w:pPr>
      <w:r>
        <w:rPr>
          <w:rFonts w:ascii="Arial" w:cs="Arial" w:eastAsia="Arial" w:hAnsi="Arial"/>
          <w:sz w:val="16"/>
          <w:szCs w:val="16"/>
          <w:color w:val="auto"/>
        </w:rPr>
        <w:t>Up to 201,995 shares of our Common Stock are being offered, all of which are being offered for resale for the account of the selling stockholder. The selling stockholder acquired the shares of Common Stock from us on October 13, 2023 in connection with our acquisition of all of the issued and outstanding share capital of 1000652011 Ontario Inc., an Ontario corporation, from the selling stockholder. The selling stockholder may from time to time offer and sell pursuant to this prospectus supplement any or all of the shares of our Common Stock being registered.</w:t>
      </w:r>
    </w:p>
    <w:p>
      <w:pPr>
        <w:spacing w:after="0" w:line="53" w:lineRule="exact"/>
        <w:rPr>
          <w:sz w:val="20"/>
          <w:szCs w:val="20"/>
          <w:color w:val="auto"/>
        </w:rPr>
      </w:pPr>
    </w:p>
    <w:p>
      <w:pPr>
        <w:ind w:left="1300" w:right="1340" w:firstLine="360"/>
        <w:spacing w:after="0" w:line="254" w:lineRule="auto"/>
        <w:rPr>
          <w:sz w:val="20"/>
          <w:szCs w:val="20"/>
          <w:color w:val="auto"/>
        </w:rPr>
      </w:pPr>
      <w:r>
        <w:rPr>
          <w:rFonts w:ascii="Arial" w:cs="Arial" w:eastAsia="Arial" w:hAnsi="Arial"/>
          <w:sz w:val="18"/>
          <w:szCs w:val="18"/>
          <w:color w:val="auto"/>
        </w:rPr>
        <w:t>The table below sets forth certain information known to us with respect to the beneficial ownership of our shares of Common Stock held by the selling stockholder. Because the selling stockholder may sell, transfer or otherwise dispose of all, some or none of the shares of our Common Stock covered by this prospectus supplement, we cannot determine the number of such shares that will be sold, transferred or otherwise disposed of by the selling stockholder, or the amount or percentage of shares of our Common Stock that will be held by the selling stockholder upon termination of any particular offering. See the section entitled “Plan of Distribution.” For purposes of the table below, we assume that the selling stockholder will sell all its shares of Common Stock covered by this prospectus supplement.</w:t>
      </w:r>
    </w:p>
    <w:p>
      <w:pPr>
        <w:spacing w:after="0" w:line="84" w:lineRule="exact"/>
        <w:rPr>
          <w:sz w:val="20"/>
          <w:szCs w:val="20"/>
          <w:color w:val="auto"/>
        </w:rPr>
      </w:pPr>
    </w:p>
    <w:p>
      <w:pPr>
        <w:ind w:left="1300" w:right="1400" w:firstLine="360"/>
        <w:spacing w:after="0" w:line="290" w:lineRule="auto"/>
        <w:rPr>
          <w:sz w:val="20"/>
          <w:szCs w:val="20"/>
          <w:color w:val="auto"/>
        </w:rPr>
      </w:pPr>
      <w:r>
        <w:rPr>
          <w:rFonts w:ascii="Arial" w:cs="Arial" w:eastAsia="Arial" w:hAnsi="Arial"/>
          <w:sz w:val="16"/>
          <w:szCs w:val="16"/>
          <w:color w:val="auto"/>
        </w:rPr>
        <w:t>In the table below, the percentage of shares beneficially owned is based on approximately 730,282,580 shares of our Common Stock outstanding as of September 20, 2023, determined in accordance with Rule 13d-3 under the Exchange Act. Under such rule, beneficial ownership includes any shares over which the selling stockholder has sole or shared voting power or investment power and also any shares that the selling stockholder has the right to acquire within 60 days of such date through the exercise of any options or other rights. Except as otherwise indicated, we believe that the selling stockholder has sole voting and investment power with respect to all shares of the Common Stock shown as beneficially owned by it. The beneficial ownership information presented in this table is not necessarily indicative of beneficial ownership for any other purpose.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Number of Common</w:t>
            </w:r>
          </w:p>
        </w:tc>
        <w:tc>
          <w:tcPr>
            <w:tcW w:w="2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Maximum Number of Common Shares</w:t>
            </w:r>
          </w:p>
        </w:tc>
        <w:tc>
          <w:tcPr>
            <w:tcW w:w="340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1"/>
              </w:rPr>
              <w:t>Common Shares Owned by the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Selling</w:t>
            </w: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Shares Currently</w:t>
            </w:r>
          </w:p>
        </w:tc>
        <w:tc>
          <w:tcPr>
            <w:tcW w:w="2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to be Sold by the Selling Stockholders</w:t>
            </w:r>
          </w:p>
        </w:tc>
        <w:tc>
          <w:tcPr>
            <w:tcW w:w="340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2"/>
              </w:rPr>
              <w:t>Selling Stockholders After Giving</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Owned</w:t>
            </w:r>
          </w:p>
        </w:tc>
        <w:tc>
          <w:tcPr>
            <w:tcW w:w="2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Pursuant to this Prospectus Supplement</w:t>
            </w:r>
          </w:p>
        </w:tc>
        <w:tc>
          <w:tcPr>
            <w:tcW w:w="340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93"/>
              </w:rPr>
              <w:t>Effect to the Offering</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Stockholder*</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2100" w:type="dxa"/>
            <w:vAlign w:val="bottom"/>
          </w:tcPr>
          <w:p>
            <w:pPr>
              <w:jc w:val="right"/>
              <w:ind w:right="804"/>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2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MediPharm Labs Inc.</w:t>
            </w:r>
          </w:p>
        </w:tc>
        <w:tc>
          <w:tcPr>
            <w:tcW w:w="13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8"/>
                <w:szCs w:val="18"/>
                <w:color w:val="auto"/>
              </w:rPr>
              <w:t>201,995 *</w:t>
            </w:r>
          </w:p>
        </w:tc>
        <w:tc>
          <w:tcPr>
            <w:tcW w:w="24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rPr>
              <w:t>201,995 *</w:t>
            </w:r>
          </w:p>
        </w:tc>
        <w:tc>
          <w:tcPr>
            <w:tcW w:w="2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780" w:type="dxa"/>
            <w:vAlign w:val="bottom"/>
            <w:gridSpan w:val="2"/>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Arial" w:cs="Arial" w:eastAsia="Arial" w:hAnsi="Arial"/>
                <w:sz w:val="14"/>
                <w:szCs w:val="14"/>
                <w:color w:val="auto"/>
                <w:w w:val="92"/>
              </w:rPr>
              <w:t>*less than 1%</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2"/>
          </w:tcPr>
          <w:p>
            <w:pPr>
              <w:ind w:left="480"/>
              <w:spacing w:after="0"/>
              <w:rPr>
                <w:sz w:val="20"/>
                <w:szCs w:val="20"/>
                <w:color w:val="auto"/>
              </w:rPr>
            </w:pPr>
            <w:r>
              <w:rPr>
                <w:rFonts w:ascii="Arial" w:cs="Arial" w:eastAsia="Arial" w:hAnsi="Arial"/>
                <w:sz w:val="18"/>
                <w:szCs w:val="18"/>
                <w:color w:val="auto"/>
              </w:rPr>
              <w:t>S-8</w:t>
            </w: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-916305</wp:posOffset>
            </wp:positionV>
            <wp:extent cx="137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-916305</wp:posOffset>
            </wp:positionV>
            <wp:extent cx="1543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-916305</wp:posOffset>
            </wp:positionV>
            <wp:extent cx="1543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1" w:name="page12"/>
    <w:bookmarkEnd w:id="1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The selling stockholder may, from time to time, sell any or all of the shares of Common Stock beneficially owned by it and offered hereby. We will not receive any of the proceeds from the sale by the selling stockholder of the shares of Common Stock.</w:t>
      </w:r>
    </w:p>
    <w:p>
      <w:pPr>
        <w:spacing w:after="0" w:line="76"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The selling stockholder of the Common Stock and any of its pledgees, assignees and successors-in-interest may, from time to time, sell any or all of their securities covered hereby on the principal trading market for the Common Stock or any other stock exchange, market or trading facility on which the Common Stock is traded or in private transactions. These sales may be at market prices prevailing at the time of sale, at prices related to such market prices, at varying prices determined at the time of sale, at fixed prices or at negotiated prices. The selling stockholder may use any one or more of the following methods when selling securities:</w:t>
      </w:r>
    </w:p>
    <w:p>
      <w:pPr>
        <w:spacing w:after="0" w:line="70" w:lineRule="exact"/>
        <w:rPr>
          <w:sz w:val="20"/>
          <w:szCs w:val="20"/>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17"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Common Stock as agent but may position and resell a portion of the block as principal to facilitate the transaction;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stockholder to sell a specified number of shares of such Common Stock at a stipulated price per security;</w:t>
      </w:r>
    </w:p>
    <w:p>
      <w:pPr>
        <w:spacing w:after="0" w:line="62"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17" w:lineRule="exact"/>
        <w:rPr>
          <w:sz w:val="20"/>
          <w:szCs w:val="20"/>
          <w:color w:val="auto"/>
        </w:rPr>
      </w:pPr>
    </w:p>
    <w:p>
      <w:pPr>
        <w:ind w:left="300" w:right="459" w:firstLine="360"/>
        <w:spacing w:after="0" w:line="296" w:lineRule="auto"/>
        <w:rPr>
          <w:sz w:val="20"/>
          <w:szCs w:val="20"/>
          <w:color w:val="auto"/>
        </w:rPr>
      </w:pPr>
      <w:r>
        <w:rPr>
          <w:rFonts w:ascii="Arial" w:cs="Arial" w:eastAsia="Arial" w:hAnsi="Arial"/>
          <w:sz w:val="16"/>
          <w:szCs w:val="16"/>
          <w:color w:val="auto"/>
        </w:rPr>
        <w:t>In addition, the selling stockholder may elect to make a pro rata in-kind distribution of shares of our Common Stock to its members, partners or stockholders pursuant to the registration statement of which this prospectus supplement forms a part by delivering a prospectus supplement. To the extent that such members, partners or stockholders are not affiliates of ours, such members, partners or stockholders would thereby receive freely tradeable shares of our Common Stock pursuant to the distribution through a registration statement.</w:t>
      </w:r>
    </w:p>
    <w:p>
      <w:pPr>
        <w:spacing w:after="0" w:line="53"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The selling stockholder may also sell securities under Rule 144 or any other exemption from registration under the Securities Act, if available, rather than under this prospectus supplement.</w:t>
      </w:r>
    </w:p>
    <w:p>
      <w:pPr>
        <w:spacing w:after="0" w:line="62" w:lineRule="exact"/>
        <w:rPr>
          <w:sz w:val="20"/>
          <w:szCs w:val="20"/>
          <w:color w:val="auto"/>
        </w:rPr>
      </w:pPr>
    </w:p>
    <w:p>
      <w:pPr>
        <w:ind w:left="300" w:right="459" w:firstLine="360"/>
        <w:spacing w:after="0" w:line="293" w:lineRule="auto"/>
        <w:rPr>
          <w:sz w:val="20"/>
          <w:szCs w:val="20"/>
          <w:color w:val="auto"/>
        </w:rPr>
      </w:pPr>
      <w:r>
        <w:rPr>
          <w:rFonts w:ascii="Arial" w:cs="Arial" w:eastAsia="Arial" w:hAnsi="Arial"/>
          <w:sz w:val="16"/>
          <w:szCs w:val="16"/>
          <w:color w:val="auto"/>
        </w:rPr>
        <w:t>Broker-dealers engaged by the selling stockholder may arrange for other broker-dealers to participate in sales. Broker-dealers may receive commissions or discounts from the selling stockholder (or, if any broker-dealer acts as agent for the purchaser of Common Stock, from the purchaser) in amounts to be negotiated, but, except as set forth in a supplement to this prospectus supplement, in the case of an agency transaction not in excess of a customary brokerage commission in compliance with Financial Industry Regulatory Authority (“FINRA”) Rule 5110; and in the case of a principal transaction a markup or markdown in compliance with FINRA Rule 2121.</w:t>
      </w:r>
    </w:p>
    <w:p>
      <w:pPr>
        <w:spacing w:after="0" w:line="56"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In connection with the sale of the Common Stock or interests therein, the selling stockholder may enter into hedging transactions with broker-dealers or other financial institutions, which may in turn engage in short sales of the Common Stock in the course of hedging the positions it assumes. The selling stockholder may also sell Common Stock short and deliver these shares to close out their short positions, or loan or pledge the securities to broker-dealers that in turn may sell these shares.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supplement, which securities such broker-dealer or other financial institution may resell pursuant to this prospectus supplement (as supplemented or amended to reflect such transaction).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59" w:firstLine="360"/>
        <w:spacing w:after="0" w:line="301" w:lineRule="auto"/>
        <w:rPr>
          <w:sz w:val="20"/>
          <w:szCs w:val="20"/>
          <w:color w:val="auto"/>
        </w:rPr>
      </w:pPr>
      <w:r>
        <w:rPr>
          <w:rFonts w:ascii="Arial" w:cs="Arial" w:eastAsia="Arial" w:hAnsi="Arial"/>
          <w:sz w:val="16"/>
          <w:szCs w:val="16"/>
          <w:color w:val="auto"/>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w:t>
      </w:r>
    </w:p>
    <w:p>
      <w:pPr>
        <w:spacing w:after="0" w:line="49" w:lineRule="exact"/>
        <w:rPr>
          <w:sz w:val="20"/>
          <w:szCs w:val="20"/>
          <w:color w:val="auto"/>
        </w:rPr>
      </w:pPr>
    </w:p>
    <w:p>
      <w:pPr>
        <w:ind w:left="300" w:right="679" w:firstLine="360"/>
        <w:spacing w:after="0" w:line="277" w:lineRule="auto"/>
        <w:rPr>
          <w:sz w:val="20"/>
          <w:szCs w:val="20"/>
          <w:color w:val="auto"/>
        </w:rPr>
      </w:pPr>
      <w:r>
        <w:rPr>
          <w:rFonts w:ascii="Arial" w:cs="Arial" w:eastAsia="Arial" w:hAnsi="Arial"/>
          <w:sz w:val="18"/>
          <w:szCs w:val="18"/>
          <w:color w:val="auto"/>
        </w:rPr>
        <w:t>We are required to pay certain fees and expenses incurred by us incident to the registration of the Common Stock.</w:t>
      </w:r>
    </w:p>
    <w:p>
      <w:pPr>
        <w:spacing w:after="0" w:line="62"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79" w:lineRule="exact"/>
        <w:rPr>
          <w:sz w:val="20"/>
          <w:szCs w:val="20"/>
          <w:color w:val="auto"/>
        </w:rPr>
      </w:pPr>
    </w:p>
    <w:p>
      <w:pPr>
        <w:ind w:left="300" w:right="439" w:firstLine="360"/>
        <w:spacing w:after="0" w:line="289"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supplement and the accompanying prospectus available to the selling stockholder and have informed it of the need to deliver a copy of this prospectus supplement and the accompanying prospectus to each purchaser at or prior to the time of the sale (including by compliance with Rule 172 under the Securities Act).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479" w:firstLine="360"/>
        <w:spacing w:after="0" w:line="263" w:lineRule="auto"/>
        <w:rPr>
          <w:sz w:val="20"/>
          <w:szCs w:val="20"/>
          <w:color w:val="auto"/>
        </w:rPr>
      </w:pPr>
      <w:r>
        <w:rPr>
          <w:rFonts w:ascii="Arial" w:cs="Arial" w:eastAsia="Arial" w:hAnsi="Arial"/>
          <w:sz w:val="18"/>
          <w:szCs w:val="18"/>
          <w:color w:val="auto"/>
        </w:rPr>
        <w:t>The validity of the securities offered by this prospectus supplement will be passed upon for us by DLA Piper LLP (US), New York, New York. Any underwriters, dealers or agents will also be advised about the validity of the securities and other legal matters by their own counsel.</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by reference in this prospectus supplement by reference to the Annual Report on Form 10-K for the year ended May 31, 2023 have been so incorporated in reliance on the report (which contains a paragraph relating to the effectiveness of internal control over financial reporting due to the exclusion of Montauk because it was acquired by the Company in a purchase business combination during the year ended May 31, 2023) of PricewaterhouseCoopers LLP, an independent registered public accounting firm, given on the authority of said firm as experts in auditing and accounting.</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supplement and the inclusion of our website address in this prospectus supplement is an inactive textual reference only.</w:t>
      </w:r>
    </w:p>
    <w:p>
      <w:pPr>
        <w:spacing w:after="0" w:line="58"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This prospectus supplement is part of the Registration Statement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ind w:left="300" w:right="439" w:firstLine="360"/>
        <w:spacing w:after="0" w:line="273" w:lineRule="auto"/>
        <w:rPr>
          <w:sz w:val="20"/>
          <w:szCs w:val="20"/>
          <w:color w:val="auto"/>
        </w:rPr>
      </w:pPr>
      <w:r>
        <w:rPr>
          <w:rFonts w:ascii="Arial" w:cs="Arial" w:eastAsia="Arial" w:hAnsi="Arial"/>
          <w:sz w:val="17"/>
          <w:szCs w:val="17"/>
          <w:color w:val="auto"/>
        </w:rPr>
        <w:t>The SEC allows us to “incorporate by reference” into this prospectus supplement certain information. This means that we can disclose important information to you by referring you to those documents that contain the information. The information we incorporate by reference is considered a part of this prospectus supplement. We incorporate by reference into this prospectus supplement the documents listed below that we have filed with the SEC. Any report or information within any of the documents referenced below that is furnished, but not filed, shall not be incorporated by reference into this prospectus supplement.</w:t>
      </w:r>
    </w:p>
    <w:p>
      <w:pPr>
        <w:spacing w:after="0" w:line="70" w:lineRule="exact"/>
        <w:rPr>
          <w:sz w:val="20"/>
          <w:szCs w:val="20"/>
          <w:color w:val="auto"/>
        </w:rPr>
      </w:pPr>
    </w:p>
    <w:p>
      <w:pPr>
        <w:ind w:left="1000" w:right="49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w:t>
      </w:r>
      <w:hyperlink r:id="rId25">
        <w:r>
          <w:rPr>
            <w:rFonts w:ascii="Arial" w:cs="Arial" w:eastAsia="Arial" w:hAnsi="Arial"/>
            <w:sz w:val="18"/>
            <w:szCs w:val="18"/>
            <w:u w:val="single" w:color="auto"/>
            <w:color w:val="0000EE"/>
          </w:rPr>
          <w:t>May 31, 2023</w:t>
        </w:r>
      </w:hyperlink>
      <w:r>
        <w:rPr>
          <w:rFonts w:ascii="Arial" w:cs="Arial" w:eastAsia="Arial" w:hAnsi="Arial"/>
          <w:sz w:val="18"/>
          <w:szCs w:val="18"/>
          <w:color w:val="auto"/>
        </w:rPr>
        <w:t>, filed with the SEC on July 26, 2023;</w:t>
      </w:r>
    </w:p>
    <w:p>
      <w:pPr>
        <w:spacing w:after="0" w:line="62"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the Form 10-K from our definitive proxy statement on Schedule 14A, filed on </w:t>
      </w:r>
      <w:hyperlink r:id="rId26">
        <w:r>
          <w:rPr>
            <w:rFonts w:ascii="Arial" w:cs="Arial" w:eastAsia="Arial" w:hAnsi="Arial"/>
            <w:sz w:val="18"/>
            <w:szCs w:val="18"/>
            <w:u w:val="single" w:color="auto"/>
            <w:color w:val="0000EE"/>
          </w:rPr>
          <w:t>September 27, 2023</w:t>
        </w:r>
      </w:hyperlink>
      <w:r>
        <w:rPr>
          <w:rFonts w:ascii="Arial" w:cs="Arial" w:eastAsia="Arial" w:hAnsi="Arial"/>
          <w:sz w:val="18"/>
          <w:szCs w:val="18"/>
          <w:color w:val="auto"/>
        </w:rPr>
        <w:t>, as amended;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our Quarterly Report on Form 10-Q for the quarter ended August 31, 2023, filed on </w:t>
      </w:r>
      <w:hyperlink r:id="rId27">
        <w:r>
          <w:rPr>
            <w:rFonts w:ascii="Arial" w:cs="Arial" w:eastAsia="Arial" w:hAnsi="Arial"/>
            <w:sz w:val="17"/>
            <w:szCs w:val="17"/>
            <w:u w:val="single" w:color="auto"/>
            <w:color w:val="0000EE"/>
          </w:rPr>
          <w:t>October 4, 2023</w:t>
        </w:r>
      </w:hyperlink>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000" w:right="459" w:hanging="348"/>
        <w:spacing w:after="0" w:line="342" w:lineRule="auto"/>
        <w:tabs>
          <w:tab w:leader="none" w:pos="1000" w:val="left"/>
        </w:tabs>
        <w:numPr>
          <w:ilvl w:val="0"/>
          <w:numId w:val="5"/>
        </w:numPr>
        <w:rPr>
          <w:rFonts w:ascii="Arial" w:cs="Arial" w:eastAsia="Arial" w:hAnsi="Arial"/>
          <w:sz w:val="16"/>
          <w:szCs w:val="16"/>
          <w:color w:val="0000EE"/>
        </w:rPr>
      </w:pPr>
      <w:r>
        <w:rPr>
          <w:rFonts w:ascii="Arial" w:cs="Arial" w:eastAsia="Arial" w:hAnsi="Arial"/>
          <w:sz w:val="16"/>
          <w:szCs w:val="16"/>
          <w:color w:val="auto"/>
        </w:rPr>
        <w:t xml:space="preserve">our Current Reports on Form 8-K, filed on </w:t>
      </w:r>
      <w:hyperlink r:id="rId28">
        <w:r>
          <w:rPr>
            <w:rFonts w:ascii="Arial" w:cs="Arial" w:eastAsia="Arial" w:hAnsi="Arial"/>
            <w:sz w:val="16"/>
            <w:szCs w:val="16"/>
            <w:u w:val="single" w:color="auto"/>
            <w:color w:val="0000EE"/>
          </w:rPr>
          <w:t>June 2, 2023</w:t>
        </w:r>
      </w:hyperlink>
      <w:r>
        <w:rPr>
          <w:rFonts w:ascii="Arial" w:cs="Arial" w:eastAsia="Arial" w:hAnsi="Arial"/>
          <w:sz w:val="16"/>
          <w:szCs w:val="16"/>
          <w:color w:val="auto"/>
        </w:rPr>
        <w:t xml:space="preserve">, </w:t>
      </w:r>
      <w:hyperlink r:id="rId29">
        <w:r>
          <w:rPr>
            <w:rFonts w:ascii="Arial" w:cs="Arial" w:eastAsia="Arial" w:hAnsi="Arial"/>
            <w:sz w:val="16"/>
            <w:szCs w:val="16"/>
            <w:u w:val="single" w:color="auto"/>
            <w:color w:val="0000EE"/>
          </w:rPr>
          <w:t>June 22, 2023</w:t>
        </w:r>
      </w:hyperlink>
      <w:r>
        <w:rPr>
          <w:rFonts w:ascii="Arial" w:cs="Arial" w:eastAsia="Arial" w:hAnsi="Arial"/>
          <w:sz w:val="16"/>
          <w:szCs w:val="16"/>
          <w:color w:val="auto"/>
        </w:rPr>
        <w:t xml:space="preserve">, as amended on </w:t>
      </w:r>
      <w:hyperlink r:id="rId30">
        <w:r>
          <w:rPr>
            <w:rFonts w:ascii="Arial" w:cs="Arial" w:eastAsia="Arial" w:hAnsi="Arial"/>
            <w:sz w:val="16"/>
            <w:szCs w:val="16"/>
            <w:u w:val="single" w:color="auto"/>
            <w:color w:val="0000EE"/>
          </w:rPr>
          <w:t>July 26, 2023</w:t>
        </w:r>
      </w:hyperlink>
      <w:r>
        <w:rPr>
          <w:rFonts w:ascii="Arial" w:cs="Arial" w:eastAsia="Arial" w:hAnsi="Arial"/>
          <w:sz w:val="16"/>
          <w:szCs w:val="16"/>
          <w:color w:val="auto"/>
        </w:rPr>
        <w:t xml:space="preserve">, </w:t>
      </w:r>
      <w:hyperlink r:id="rId31">
        <w:r>
          <w:rPr>
            <w:rFonts w:ascii="Arial" w:cs="Arial" w:eastAsia="Arial" w:hAnsi="Arial"/>
            <w:sz w:val="16"/>
            <w:szCs w:val="16"/>
            <w:u w:val="single" w:color="auto"/>
            <w:color w:val="0000EE"/>
          </w:rPr>
          <w:t>June 30, 2023</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32">
        <w:r>
          <w:rPr>
            <w:rFonts w:ascii="Arial" w:cs="Arial" w:eastAsia="Arial" w:hAnsi="Arial"/>
            <w:sz w:val="16"/>
            <w:szCs w:val="16"/>
            <w:u w:val="single" w:color="auto"/>
            <w:color w:val="0000EE"/>
          </w:rPr>
          <w:t>June 30, 2023</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33">
        <w:r>
          <w:rPr>
            <w:rFonts w:ascii="Arial" w:cs="Arial" w:eastAsia="Arial" w:hAnsi="Arial"/>
            <w:sz w:val="16"/>
            <w:szCs w:val="16"/>
            <w:u w:val="single" w:color="auto"/>
            <w:color w:val="0000EE"/>
          </w:rPr>
          <w:t>August 7, 2023</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34">
        <w:r>
          <w:rPr>
            <w:rFonts w:ascii="Arial" w:cs="Arial" w:eastAsia="Arial" w:hAnsi="Arial"/>
            <w:sz w:val="16"/>
            <w:szCs w:val="16"/>
            <w:u w:val="single" w:color="auto"/>
            <w:color w:val="0000EE"/>
          </w:rPr>
          <w:t>September 1, 2023</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35">
        <w:r>
          <w:rPr>
            <w:rFonts w:ascii="Arial" w:cs="Arial" w:eastAsia="Arial" w:hAnsi="Arial"/>
            <w:sz w:val="16"/>
            <w:szCs w:val="16"/>
            <w:u w:val="single" w:color="auto"/>
            <w:color w:val="0000EE"/>
          </w:rPr>
          <w:t xml:space="preserve">October 2, 2023 </w:t>
        </w:r>
      </w:hyperlink>
      <w:r>
        <w:rPr>
          <w:rFonts w:ascii="Arial" w:cs="Arial" w:eastAsia="Arial" w:hAnsi="Arial"/>
          <w:sz w:val="16"/>
          <w:szCs w:val="16"/>
          <w:color w:val="000000"/>
        </w:rPr>
        <w:t>and</w:t>
      </w:r>
      <w:r>
        <w:rPr>
          <w:rFonts w:ascii="Arial" w:cs="Arial" w:eastAsia="Arial" w:hAnsi="Arial"/>
          <w:sz w:val="16"/>
          <w:szCs w:val="16"/>
          <w:color w:val="0000EE"/>
        </w:rPr>
        <w:t xml:space="preserve"> </w:t>
      </w:r>
      <w:hyperlink r:id="rId36">
        <w:r>
          <w:rPr>
            <w:rFonts w:ascii="Arial" w:cs="Arial" w:eastAsia="Arial" w:hAnsi="Arial"/>
            <w:sz w:val="16"/>
            <w:szCs w:val="16"/>
            <w:u w:val="single" w:color="auto"/>
            <w:color w:val="0000EE"/>
          </w:rPr>
          <w:t>October 4, 2023</w:t>
        </w:r>
      </w:hyperlink>
      <w:r>
        <w:rPr>
          <w:rFonts w:ascii="Arial" w:cs="Arial" w:eastAsia="Arial" w:hAnsi="Arial"/>
          <w:sz w:val="16"/>
          <w:szCs w:val="16"/>
          <w:color w:val="000000"/>
        </w:rPr>
        <w:t>;</w:t>
      </w:r>
    </w:p>
    <w:p>
      <w:pPr>
        <w:spacing w:after="0" w:line="15" w:lineRule="exact"/>
        <w:rPr>
          <w:rFonts w:ascii="Arial" w:cs="Arial" w:eastAsia="Arial" w:hAnsi="Arial"/>
          <w:sz w:val="16"/>
          <w:szCs w:val="16"/>
          <w:color w:val="0000EE"/>
        </w:rPr>
      </w:pPr>
    </w:p>
    <w:p>
      <w:pPr>
        <w:ind w:left="1000" w:right="439" w:hanging="348"/>
        <w:spacing w:after="0" w:line="311"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description of our securities as set forth in our registration statement on Form 8-A/A (File No. 001-38594), filed with the SEC on </w:t>
      </w:r>
      <w:hyperlink r:id="rId37">
        <w:r>
          <w:rPr>
            <w:rFonts w:ascii="Arial" w:cs="Arial" w:eastAsia="Arial" w:hAnsi="Arial"/>
            <w:sz w:val="16"/>
            <w:szCs w:val="16"/>
            <w:u w:val="single" w:color="auto"/>
            <w:color w:val="0000EE"/>
          </w:rPr>
          <w:t>October 1, 2020</w:t>
        </w:r>
      </w:hyperlink>
      <w:r>
        <w:rPr>
          <w:rFonts w:ascii="Arial" w:cs="Arial" w:eastAsia="Arial" w:hAnsi="Arial"/>
          <w:sz w:val="16"/>
          <w:szCs w:val="16"/>
          <w:color w:val="auto"/>
        </w:rPr>
        <w:t>, pursuant to Section 12(b) of the Exchange Act, including any subsequent amendments or reports filed for the purpose of updating such description; and</w:t>
      </w:r>
    </w:p>
    <w:p>
      <w:pPr>
        <w:spacing w:after="0" w:line="40" w:lineRule="exact"/>
        <w:rPr>
          <w:rFonts w:ascii="Arial" w:cs="Arial" w:eastAsia="Arial" w:hAnsi="Arial"/>
          <w:sz w:val="16"/>
          <w:szCs w:val="16"/>
          <w:color w:val="auto"/>
        </w:rPr>
      </w:pPr>
    </w:p>
    <w:p>
      <w:pPr>
        <w:jc w:val="both"/>
        <w:ind w:left="1000" w:right="33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fiscal year ended </w:t>
      </w:r>
      <w:hyperlink r:id="rId38">
        <w:r>
          <w:rPr>
            <w:rFonts w:ascii="Arial" w:cs="Arial" w:eastAsia="Arial" w:hAnsi="Arial"/>
            <w:sz w:val="18"/>
            <w:szCs w:val="18"/>
            <w:u w:val="single" w:color="auto"/>
            <w:color w:val="0000EE"/>
          </w:rPr>
          <w:t>May 31, 2022</w:t>
        </w:r>
      </w:hyperlink>
      <w:r>
        <w:rPr>
          <w:rFonts w:ascii="Arial" w:cs="Arial" w:eastAsia="Arial" w:hAnsi="Arial"/>
          <w:sz w:val="18"/>
          <w:szCs w:val="18"/>
          <w:color w:val="auto"/>
        </w:rPr>
        <w:t xml:space="preserve">, as amended, from the Registrant’s Definitive Proxy Statement on Schedule 14A filed with the SEC on </w:t>
      </w:r>
      <w:hyperlink r:id="rId39">
        <w:r>
          <w:rPr>
            <w:rFonts w:ascii="Arial" w:cs="Arial" w:eastAsia="Arial" w:hAnsi="Arial"/>
            <w:sz w:val="18"/>
            <w:szCs w:val="18"/>
            <w:u w:val="single" w:color="auto"/>
            <w:color w:val="0000EE"/>
          </w:rPr>
          <w:t>October 3,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001-35894).</w:t>
      </w:r>
    </w:p>
    <w:p>
      <w:pPr>
        <w:spacing w:after="0" w:line="76" w:lineRule="exact"/>
        <w:rPr>
          <w:rFonts w:ascii="Arial" w:cs="Arial" w:eastAsia="Arial" w:hAnsi="Arial"/>
          <w:sz w:val="18"/>
          <w:szCs w:val="18"/>
          <w:color w:val="auto"/>
        </w:rPr>
      </w:pPr>
    </w:p>
    <w:p>
      <w:pPr>
        <w:ind w:left="300" w:right="439" w:firstLine="360"/>
        <w:spacing w:after="0" w:line="255"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www.tilray.com. Information contained on, or that can be accessed through, our website is not a part of this prospectus supplement and the inclusion of our website address in this prospectus supplement is an inactive textual reference only.</w:t>
      </w:r>
    </w:p>
    <w:p>
      <w:pPr>
        <w:spacing w:after="0" w:line="84" w:lineRule="exact"/>
        <w:rPr>
          <w:rFonts w:ascii="Arial" w:cs="Arial" w:eastAsia="Arial" w:hAnsi="Arial"/>
          <w:sz w:val="18"/>
          <w:szCs w:val="18"/>
          <w:color w:val="auto"/>
        </w:rPr>
      </w:pPr>
    </w:p>
    <w:p>
      <w:pPr>
        <w:jc w:val="both"/>
        <w:ind w:left="300" w:right="499" w:firstLine="360"/>
        <w:spacing w:after="0" w:line="287" w:lineRule="auto"/>
        <w:rPr>
          <w:sz w:val="20"/>
          <w:szCs w:val="20"/>
          <w:color w:val="auto"/>
        </w:rPr>
      </w:pPr>
      <w:r>
        <w:rPr>
          <w:rFonts w:ascii="Arial" w:cs="Arial" w:eastAsia="Arial" w:hAnsi="Arial"/>
          <w:sz w:val="16"/>
          <w:szCs w:val="16"/>
          <w:color w:val="auto"/>
        </w:rPr>
        <w:t>We also incorporate by reference in this prospectus supplement any future filings that we make with the SEC under Section 13(a), 13(c), 14 or 15(d) of the Exchange Act until we sell all the securities to which this prospectus supplement relates; provided, however, that we are not incorporating any information furnished under either Item</w:t>
      </w:r>
    </w:p>
    <w:p>
      <w:pPr>
        <w:spacing w:after="0" w:line="2" w:lineRule="exact"/>
        <w:rPr>
          <w:rFonts w:ascii="Arial" w:cs="Arial" w:eastAsia="Arial" w:hAnsi="Arial"/>
          <w:sz w:val="18"/>
          <w:szCs w:val="18"/>
          <w:color w:val="auto"/>
        </w:rPr>
      </w:pPr>
    </w:p>
    <w:p>
      <w:pPr>
        <w:ind w:left="300" w:right="319"/>
        <w:spacing w:after="0" w:line="292" w:lineRule="auto"/>
        <w:rPr>
          <w:sz w:val="20"/>
          <w:szCs w:val="20"/>
          <w:color w:val="auto"/>
        </w:rPr>
      </w:pPr>
      <w:r>
        <w:rPr>
          <w:rFonts w:ascii="Arial" w:cs="Arial" w:eastAsia="Arial" w:hAnsi="Arial"/>
          <w:sz w:val="16"/>
          <w:szCs w:val="16"/>
          <w:color w:val="auto"/>
        </w:rPr>
        <w:t>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w:t>
      </w:r>
    </w:p>
    <w:p>
      <w:pPr>
        <w:spacing w:after="0" w:line="10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Tilray Brands,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265 Talbot Street West</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Leamington, Ontario, Canada</w:t>
      </w:r>
    </w:p>
    <w:p>
      <w:pPr>
        <w:spacing w:after="0" w:line="9" w:lineRule="exact"/>
        <w:rPr>
          <w:rFonts w:ascii="Arial" w:cs="Arial" w:eastAsia="Arial" w:hAnsi="Arial"/>
          <w:sz w:val="18"/>
          <w:szCs w:val="18"/>
          <w:color w:val="auto"/>
        </w:rPr>
      </w:pPr>
    </w:p>
    <w:p>
      <w:pPr>
        <w:ind w:left="4340" w:right="3959" w:hanging="398"/>
        <w:spacing w:after="0" w:line="605" w:lineRule="auto"/>
        <w:tabs>
          <w:tab w:leader="none" w:pos="4383" w:val="left"/>
        </w:tabs>
        <w:numPr>
          <w:ilvl w:val="0"/>
          <w:numId w:val="6"/>
        </w:numPr>
        <w:rPr>
          <w:rFonts w:ascii="Arial" w:cs="Arial" w:eastAsia="Arial" w:hAnsi="Arial"/>
          <w:sz w:val="16"/>
          <w:szCs w:val="16"/>
          <w:color w:val="auto"/>
        </w:rPr>
      </w:pPr>
      <w:r>
        <w:rPr>
          <w:rFonts w:ascii="Arial" w:cs="Arial" w:eastAsia="Arial" w:hAnsi="Arial"/>
          <w:sz w:val="16"/>
          <w:szCs w:val="16"/>
          <w:color w:val="auto"/>
        </w:rPr>
        <w:t>845-7291 S-12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-65405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180340</wp:posOffset>
            </wp:positionV>
            <wp:extent cx="2580005" cy="694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258000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38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Class 2 Common Stock</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Warrants</w:t>
      </w:r>
    </w:p>
    <w:p>
      <w:pPr>
        <w:spacing w:after="0" w:line="211" w:lineRule="exact"/>
        <w:rPr>
          <w:sz w:val="20"/>
          <w:szCs w:val="20"/>
          <w:color w:val="auto"/>
        </w:rPr>
      </w:pPr>
    </w:p>
    <w:p>
      <w:pPr>
        <w:ind w:left="400" w:right="419"/>
        <w:spacing w:after="0" w:line="257" w:lineRule="auto"/>
        <w:rPr>
          <w:sz w:val="20"/>
          <w:szCs w:val="20"/>
          <w:color w:val="auto"/>
        </w:rPr>
      </w:pPr>
      <w:r>
        <w:rPr>
          <w:rFonts w:ascii="Arial" w:cs="Arial" w:eastAsia="Arial" w:hAnsi="Arial"/>
          <w:sz w:val="18"/>
          <w:szCs w:val="18"/>
          <w:color w:val="auto"/>
        </w:rPr>
        <w:t>From time to time, we or selling securityholders may offer and sell any combination of the securities described in this prospectus, either individually or in combination with other securities. We or selling securityholders may also offer Class 2 common stock or preferred stock upon conversion of debt securities, Class 2 common stock upon conversion of preferred stock, or Class 2 common stock, preferred stock or debt securities upon the exercise of warrants.</w:t>
      </w:r>
    </w:p>
    <w:p>
      <w:pPr>
        <w:spacing w:after="0" w:line="188" w:lineRule="exact"/>
        <w:rPr>
          <w:sz w:val="20"/>
          <w:szCs w:val="20"/>
          <w:color w:val="auto"/>
        </w:rPr>
      </w:pPr>
    </w:p>
    <w:p>
      <w:pPr>
        <w:ind w:left="400" w:right="479"/>
        <w:spacing w:after="0" w:line="254" w:lineRule="auto"/>
        <w:rPr>
          <w:sz w:val="20"/>
          <w:szCs w:val="20"/>
          <w:color w:val="auto"/>
        </w:rPr>
      </w:pPr>
      <w:r>
        <w:rPr>
          <w:rFonts w:ascii="Arial" w:cs="Arial" w:eastAsia="Arial" w:hAnsi="Arial"/>
          <w:sz w:val="18"/>
          <w:szCs w:val="18"/>
          <w:color w:val="auto"/>
        </w:rPr>
        <w:t>Each time we sell securities pursuant to this prospectus, we will provide the specific terms of these offerings and securities in one or more prospectus supplements and attach it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spacing w:after="0" w:line="195" w:lineRule="exact"/>
        <w:rPr>
          <w:sz w:val="20"/>
          <w:szCs w:val="20"/>
          <w:color w:val="auto"/>
        </w:rPr>
      </w:pPr>
    </w:p>
    <w:p>
      <w:pPr>
        <w:ind w:left="400" w:right="479"/>
        <w:spacing w:after="0" w:line="255" w:lineRule="auto"/>
        <w:rPr>
          <w:sz w:val="20"/>
          <w:szCs w:val="20"/>
          <w:color w:val="auto"/>
        </w:rPr>
      </w:pPr>
      <w:r>
        <w:rPr>
          <w:rFonts w:ascii="Arial" w:cs="Arial" w:eastAsia="Arial" w:hAnsi="Arial"/>
          <w:sz w:val="18"/>
          <w:szCs w:val="18"/>
          <w:color w:val="auto"/>
        </w:rPr>
        <w:t>Our Class 2 common stock is listed on The Nasdaq Global Select Market and the Toronto Stock Exchange under the trading symbol “TLRY.” On October 4, 2022, the last sale price of our Class 2 common stock was $3.00 per share on The Nasdaq Global Select Market and C$4.05 per share on the Toronto Stock Exchange. The applicable prospectus supplement will contain information, where applicable, as to other listings, if any, on The Nasdaq Global Select Market or other securities exchange of the securities covered by the applicable prospectus supplement.</w:t>
      </w:r>
    </w:p>
    <w:p>
      <w:pPr>
        <w:spacing w:after="0" w:line="192" w:lineRule="exact"/>
        <w:rPr>
          <w:sz w:val="20"/>
          <w:szCs w:val="20"/>
          <w:color w:val="auto"/>
        </w:rPr>
      </w:pPr>
    </w:p>
    <w:p>
      <w:pPr>
        <w:ind w:left="400" w:right="559"/>
        <w:spacing w:after="0" w:line="327" w:lineRule="auto"/>
        <w:rPr>
          <w:sz w:val="20"/>
          <w:szCs w:val="20"/>
          <w:color w:val="auto"/>
        </w:rPr>
      </w:pPr>
      <w:r>
        <w:rPr>
          <w:rFonts w:ascii="Arial" w:cs="Arial" w:eastAsia="Arial" w:hAnsi="Arial"/>
          <w:sz w:val="15"/>
          <w:szCs w:val="15"/>
          <w:b w:val="1"/>
          <w:bCs w:val="1"/>
          <w:i w:val="1"/>
          <w:iCs w:val="1"/>
          <w:color w:val="auto"/>
        </w:rPr>
        <w:t>Investing in our securities involves a high degree of risk. You should review carefully the risks and uncertainties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36" w:lineRule="exact"/>
        <w:rPr>
          <w:sz w:val="20"/>
          <w:szCs w:val="20"/>
          <w:color w:val="auto"/>
        </w:rPr>
      </w:pPr>
    </w:p>
    <w:p>
      <w:pPr>
        <w:ind w:left="400" w:right="45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date of this prospectus is 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tbl>
      <w:tblPr>
        <w:tblLayout w:type="fixed"/>
        <w:tblInd w:w="300" w:type="dxa"/>
        <w:tblCellMar>
          <w:top w:w="0" w:type="dxa"/>
          <w:left w:w="0" w:type="dxa"/>
          <w:bottom w:w="0" w:type="dxa"/>
          <w:right w:w="0" w:type="dxa"/>
        </w:tblCellMar>
      </w:tblPr>
      <w:tr>
        <w:trPr>
          <w:trHeight w:val="161"/>
        </w:trPr>
        <w:tc>
          <w:tcPr>
            <w:tcW w:w="8220" w:type="dxa"/>
            <w:vAlign w:val="bottom"/>
            <w:gridSpan w:val="16"/>
          </w:tcPr>
          <w:p>
            <w:pPr>
              <w:spacing w:after="0"/>
              <w:rPr>
                <w:sz w:val="20"/>
                <w:szCs w:val="20"/>
                <w:color w:val="auto"/>
              </w:rPr>
            </w:pPr>
            <w:r>
              <w:rPr>
                <w:rFonts w:ascii="Arial" w:cs="Arial" w:eastAsia="Arial" w:hAnsi="Arial"/>
                <w:sz w:val="14"/>
                <w:szCs w:val="14"/>
                <w:b w:val="1"/>
                <w:bCs w:val="1"/>
                <w:color w:val="0000EE"/>
              </w:rPr>
              <w:t>TABLE OF CONTENTS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gridSpan w:val="4"/>
          </w:tcPr>
          <w:p>
            <w:pPr>
              <w:ind w:left="2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ABOUT THIS PROSPECTUS</w:t>
            </w:r>
          </w:p>
        </w:tc>
        <w:tc>
          <w:tcPr>
            <w:tcW w:w="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0000EE"/>
              </w:rPr>
              <w:t>ii</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6"/>
          </w:tcPr>
          <w:p>
            <w:pPr>
              <w:spacing w:after="0"/>
              <w:rPr>
                <w:sz w:val="20"/>
                <w:szCs w:val="20"/>
                <w:color w:val="auto"/>
              </w:rPr>
            </w:pPr>
            <w:r>
              <w:rPr>
                <w:rFonts w:ascii="Arial" w:cs="Arial" w:eastAsia="Arial" w:hAnsi="Arial"/>
                <w:sz w:val="18"/>
                <w:szCs w:val="18"/>
                <w:color w:val="0000EE"/>
              </w:rPr>
              <w:t>PROSPECTUS SUMMARY</w:t>
            </w:r>
          </w:p>
        </w:tc>
        <w:tc>
          <w:tcPr>
            <w:tcW w:w="180" w:type="dxa"/>
            <w:vAlign w:val="bottom"/>
            <w:gridSpan w:val="2"/>
          </w:tcPr>
          <w:p>
            <w:pPr>
              <w:jc w:val="center"/>
              <w:spacing w:after="0"/>
              <w:rPr>
                <w:sz w:val="20"/>
                <w:szCs w:val="20"/>
                <w:color w:val="auto"/>
              </w:rPr>
            </w:pPr>
            <w:r>
              <w:rPr>
                <w:rFonts w:ascii="Arial" w:cs="Arial" w:eastAsia="Arial" w:hAnsi="Arial"/>
                <w:sz w:val="18"/>
                <w:szCs w:val="18"/>
                <w:color w:val="0000EE"/>
                <w:w w:val="99"/>
              </w:rPr>
              <w:t>1</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RISK FACTORS</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0000EE"/>
                <w:w w:val="99"/>
              </w:rPr>
              <w:t>4</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16"/>
          </w:tcPr>
          <w:p>
            <w:pPr>
              <w:spacing w:after="0"/>
              <w:rPr>
                <w:sz w:val="20"/>
                <w:szCs w:val="20"/>
                <w:color w:val="auto"/>
              </w:rPr>
            </w:pPr>
            <w:r>
              <w:rPr>
                <w:rFonts w:ascii="Arial" w:cs="Arial" w:eastAsia="Arial" w:hAnsi="Arial"/>
                <w:sz w:val="18"/>
                <w:szCs w:val="18"/>
                <w:color w:val="0000EE"/>
              </w:rPr>
              <w:t>SPECIAL NOTE REGARDING FORWARD-LOOKING STATEMENTS</w:t>
            </w:r>
          </w:p>
        </w:tc>
        <w:tc>
          <w:tcPr>
            <w:tcW w:w="180" w:type="dxa"/>
            <w:vAlign w:val="bottom"/>
            <w:gridSpan w:val="2"/>
          </w:tcPr>
          <w:p>
            <w:pPr>
              <w:jc w:val="center"/>
              <w:spacing w:after="0"/>
              <w:rPr>
                <w:sz w:val="20"/>
                <w:szCs w:val="20"/>
                <w:color w:val="auto"/>
              </w:rPr>
            </w:pPr>
            <w:r>
              <w:rPr>
                <w:rFonts w:ascii="Arial" w:cs="Arial" w:eastAsia="Arial" w:hAnsi="Arial"/>
                <w:sz w:val="18"/>
                <w:szCs w:val="18"/>
                <w:color w:val="0000EE"/>
                <w:w w:val="99"/>
              </w:rPr>
              <w:t>5</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0000EE"/>
                <w:w w:val="99"/>
              </w:rPr>
              <w:t>8</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6"/>
          </w:tcPr>
          <w:p>
            <w:pPr>
              <w:spacing w:after="0"/>
              <w:rPr>
                <w:sz w:val="20"/>
                <w:szCs w:val="20"/>
                <w:color w:val="auto"/>
              </w:rPr>
            </w:pPr>
            <w:r>
              <w:rPr>
                <w:rFonts w:ascii="Arial" w:cs="Arial" w:eastAsia="Arial" w:hAnsi="Arial"/>
                <w:sz w:val="18"/>
                <w:szCs w:val="18"/>
                <w:color w:val="0000EE"/>
              </w:rPr>
              <w:t>DESCRIPTION OF CAPITAL STOCK</w:t>
            </w:r>
          </w:p>
        </w:tc>
        <w:tc>
          <w:tcPr>
            <w:tcW w:w="180" w:type="dxa"/>
            <w:vAlign w:val="bottom"/>
            <w:gridSpan w:val="2"/>
          </w:tcPr>
          <w:p>
            <w:pPr>
              <w:jc w:val="center"/>
              <w:spacing w:after="0"/>
              <w:rPr>
                <w:sz w:val="20"/>
                <w:szCs w:val="20"/>
                <w:color w:val="auto"/>
              </w:rPr>
            </w:pPr>
            <w:r>
              <w:rPr>
                <w:rFonts w:ascii="Arial" w:cs="Arial" w:eastAsia="Arial" w:hAnsi="Arial"/>
                <w:sz w:val="18"/>
                <w:szCs w:val="18"/>
                <w:color w:val="0000EE"/>
                <w:w w:val="99"/>
              </w:rPr>
              <w:t>9</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DESCRIPTION OF DEBT SECURITIES</w:t>
            </w:r>
          </w:p>
        </w:tc>
        <w:tc>
          <w:tcPr>
            <w:tcW w:w="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0000EE"/>
                <w:w w:val="89"/>
              </w:rPr>
              <w:t>14</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16"/>
          </w:tcPr>
          <w:p>
            <w:pPr>
              <w:spacing w:after="0"/>
              <w:rPr>
                <w:sz w:val="20"/>
                <w:szCs w:val="20"/>
                <w:color w:val="auto"/>
              </w:rPr>
            </w:pPr>
            <w:r>
              <w:rPr>
                <w:rFonts w:ascii="Arial" w:cs="Arial" w:eastAsia="Arial" w:hAnsi="Arial"/>
                <w:sz w:val="18"/>
                <w:szCs w:val="18"/>
                <w:color w:val="0000EE"/>
              </w:rPr>
              <w:t>DESCRIPTION OF WARRANTS</w:t>
            </w:r>
          </w:p>
        </w:tc>
        <w:tc>
          <w:tcPr>
            <w:tcW w:w="200" w:type="dxa"/>
            <w:vAlign w:val="bottom"/>
            <w:gridSpan w:val="3"/>
          </w:tcPr>
          <w:p>
            <w:pPr>
              <w:jc w:val="center"/>
              <w:ind w:right="20"/>
              <w:spacing w:after="0"/>
              <w:rPr>
                <w:sz w:val="20"/>
                <w:szCs w:val="20"/>
                <w:color w:val="auto"/>
              </w:rPr>
            </w:pPr>
            <w:r>
              <w:rPr>
                <w:rFonts w:ascii="Arial" w:cs="Arial" w:eastAsia="Arial" w:hAnsi="Arial"/>
                <w:sz w:val="18"/>
                <w:szCs w:val="18"/>
                <w:color w:val="0000EE"/>
                <w:w w:val="89"/>
              </w:rPr>
              <w:t>20</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LEGAL OWNERSHIP OF SECURITIES</w:t>
            </w:r>
          </w:p>
        </w:tc>
        <w:tc>
          <w:tcPr>
            <w:tcW w:w="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0000EE"/>
                <w:w w:val="89"/>
              </w:rPr>
              <w:t>22</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6"/>
          </w:tcPr>
          <w:p>
            <w:pPr>
              <w:spacing w:after="0"/>
              <w:rPr>
                <w:sz w:val="20"/>
                <w:szCs w:val="20"/>
                <w:color w:val="auto"/>
              </w:rPr>
            </w:pPr>
            <w:r>
              <w:rPr>
                <w:rFonts w:ascii="Arial" w:cs="Arial" w:eastAsia="Arial" w:hAnsi="Arial"/>
                <w:sz w:val="18"/>
                <w:szCs w:val="18"/>
                <w:color w:val="0000EE"/>
              </w:rPr>
              <w:t>SELLING SECURITYHOLDERS</w:t>
            </w:r>
          </w:p>
        </w:tc>
        <w:tc>
          <w:tcPr>
            <w:tcW w:w="200" w:type="dxa"/>
            <w:vAlign w:val="bottom"/>
            <w:gridSpan w:val="3"/>
          </w:tcPr>
          <w:p>
            <w:pPr>
              <w:jc w:val="center"/>
              <w:ind w:right="20"/>
              <w:spacing w:after="0"/>
              <w:rPr>
                <w:sz w:val="20"/>
                <w:szCs w:val="20"/>
                <w:color w:val="auto"/>
              </w:rPr>
            </w:pPr>
            <w:r>
              <w:rPr>
                <w:rFonts w:ascii="Arial" w:cs="Arial" w:eastAsia="Arial" w:hAnsi="Arial"/>
                <w:sz w:val="18"/>
                <w:szCs w:val="18"/>
                <w:color w:val="0000EE"/>
                <w:w w:val="89"/>
              </w:rPr>
              <w:t>24</w:t>
            </w: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PLAN OF DISTRIBUTION</w:t>
            </w:r>
          </w:p>
        </w:tc>
        <w:tc>
          <w:tcPr>
            <w:tcW w:w="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0000EE"/>
                <w:w w:val="89"/>
              </w:rPr>
              <w:t>25</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6"/>
          </w:tcPr>
          <w:p>
            <w:pPr>
              <w:spacing w:after="0"/>
              <w:rPr>
                <w:sz w:val="20"/>
                <w:szCs w:val="20"/>
                <w:color w:val="auto"/>
              </w:rPr>
            </w:pPr>
            <w:r>
              <w:rPr>
                <w:rFonts w:ascii="Arial" w:cs="Arial" w:eastAsia="Arial" w:hAnsi="Arial"/>
                <w:sz w:val="18"/>
                <w:szCs w:val="18"/>
                <w:color w:val="0000EE"/>
              </w:rPr>
              <w:t>LEGAL MATTERS</w:t>
            </w:r>
          </w:p>
        </w:tc>
        <w:tc>
          <w:tcPr>
            <w:tcW w:w="200" w:type="dxa"/>
            <w:vAlign w:val="bottom"/>
            <w:gridSpan w:val="3"/>
          </w:tcPr>
          <w:p>
            <w:pPr>
              <w:jc w:val="center"/>
              <w:ind w:right="20"/>
              <w:spacing w:after="0"/>
              <w:rPr>
                <w:sz w:val="20"/>
                <w:szCs w:val="20"/>
                <w:color w:val="auto"/>
              </w:rPr>
            </w:pPr>
            <w:r>
              <w:rPr>
                <w:rFonts w:ascii="Arial" w:cs="Arial" w:eastAsia="Arial" w:hAnsi="Arial"/>
                <w:sz w:val="18"/>
                <w:szCs w:val="18"/>
                <w:color w:val="0000EE"/>
                <w:w w:val="89"/>
              </w:rPr>
              <w:t>26</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EXPERTS</w:t>
            </w:r>
          </w:p>
        </w:tc>
        <w:tc>
          <w:tcPr>
            <w:tcW w:w="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0000EE"/>
                <w:w w:val="89"/>
              </w:rPr>
              <w:t>26</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6"/>
          </w:tcPr>
          <w:p>
            <w:pPr>
              <w:spacing w:after="0"/>
              <w:rPr>
                <w:sz w:val="20"/>
                <w:szCs w:val="20"/>
                <w:color w:val="auto"/>
              </w:rPr>
            </w:pPr>
            <w:r>
              <w:rPr>
                <w:rFonts w:ascii="Arial" w:cs="Arial" w:eastAsia="Arial" w:hAnsi="Arial"/>
                <w:sz w:val="18"/>
                <w:szCs w:val="18"/>
                <w:color w:val="0000EE"/>
              </w:rPr>
              <w:t>WHERE YOU CAN FIND MORE INFORMATION</w:t>
            </w:r>
          </w:p>
        </w:tc>
        <w:tc>
          <w:tcPr>
            <w:tcW w:w="200" w:type="dxa"/>
            <w:vAlign w:val="bottom"/>
            <w:gridSpan w:val="3"/>
          </w:tcPr>
          <w:p>
            <w:pPr>
              <w:jc w:val="center"/>
              <w:ind w:right="20"/>
              <w:spacing w:after="0"/>
              <w:rPr>
                <w:sz w:val="20"/>
                <w:szCs w:val="20"/>
                <w:color w:val="auto"/>
              </w:rPr>
            </w:pPr>
            <w:r>
              <w:rPr>
                <w:rFonts w:ascii="Arial" w:cs="Arial" w:eastAsia="Arial" w:hAnsi="Arial"/>
                <w:sz w:val="18"/>
                <w:szCs w:val="18"/>
                <w:color w:val="0000EE"/>
                <w:w w:val="89"/>
              </w:rPr>
              <w:t>27</w:t>
            </w: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INCORPORATION OF CERTAIN INFORMATION BY REFERENCE</w:t>
            </w:r>
          </w:p>
        </w:tc>
        <w:tc>
          <w:tcPr>
            <w:tcW w:w="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0000EE"/>
                <w:w w:val="89"/>
              </w:rPr>
              <w:t>28</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7" w:name="page18"/>
    <w:bookmarkEnd w:id="1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300" w:right="539"/>
        <w:spacing w:after="0" w:line="291"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SEC, utilizing a “shelf” registration process. Under this shelf registration process, we or selling securityholders may offer and sell shares of our Class 2 common stock and preferred stock, various series of debt securities and/or warrants to purchase any of such securities, either individually or in combination with other securities, in one or more offerings. There is no limit on the aggregate amount of the securities that we or selling securityholders may offer pursuant to the registration statement of which this prospectus is a part. This prospectus provides you with a general description of the securities we or selling securityholders may offer.</w:t>
      </w:r>
    </w:p>
    <w:p>
      <w:pPr>
        <w:spacing w:after="0" w:line="58"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324" w:lineRule="exact"/>
        <w:rPr>
          <w:sz w:val="20"/>
          <w:szCs w:val="20"/>
          <w:color w:val="auto"/>
        </w:rPr>
      </w:pPr>
    </w:p>
    <w:p>
      <w:pPr>
        <w:ind w:left="300" w:right="459"/>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58" w:lineRule="exact"/>
        <w:rPr>
          <w:sz w:val="20"/>
          <w:szCs w:val="20"/>
          <w:color w:val="auto"/>
        </w:rPr>
      </w:pPr>
    </w:p>
    <w:p>
      <w:pPr>
        <w:ind w:left="300" w:right="559"/>
        <w:spacing w:after="0" w:line="275"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and the applicable prospectus supplement, along with the information contained in any free writing prospectuses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spacing w:after="0" w:line="68" w:lineRule="exact"/>
        <w:rPr>
          <w:sz w:val="20"/>
          <w:szCs w:val="20"/>
          <w:color w:val="auto"/>
        </w:rPr>
      </w:pPr>
    </w:p>
    <w:p>
      <w:pPr>
        <w:ind w:left="300" w:right="299"/>
        <w:spacing w:after="0" w:line="296" w:lineRule="auto"/>
        <w:rPr>
          <w:sz w:val="20"/>
          <w:szCs w:val="20"/>
          <w:color w:val="auto"/>
        </w:rPr>
      </w:pPr>
      <w:r>
        <w:rPr>
          <w:rFonts w:ascii="Arial" w:cs="Arial" w:eastAsia="Arial" w:hAnsi="Arial"/>
          <w:sz w:val="16"/>
          <w:szCs w:val="16"/>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53"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84" w:lineRule="exact"/>
        <w:rPr>
          <w:sz w:val="20"/>
          <w:szCs w:val="20"/>
          <w:color w:val="auto"/>
        </w:rPr>
      </w:pPr>
    </w:p>
    <w:p>
      <w:pPr>
        <w:ind w:left="300" w:right="299"/>
        <w:spacing w:after="0" w:line="290" w:lineRule="auto"/>
        <w:rPr>
          <w:sz w:val="20"/>
          <w:szCs w:val="20"/>
          <w:color w:val="auto"/>
        </w:rPr>
      </w:pPr>
      <w:r>
        <w:rPr>
          <w:rFonts w:ascii="Arial" w:cs="Arial" w:eastAsia="Arial" w:hAnsi="Arial"/>
          <w:sz w:val="16"/>
          <w:szCs w:val="16"/>
          <w:color w:val="auto"/>
        </w:rPr>
        <w:t>Unless the context requires otherwise, references in this prospectus to “Tilray,” the “company,” “we,” “us” and “our” refer to Tilray Brands, Inc. and its wholly owned subsidiaries. Tilray, our logo and our other registered or common law trademarks, trade names or service marks appearing in this prospectus are owned by us. Solely for convenience, trademarks and trade names referred to in this prospectus,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we do not intend our use or display of other companies’ trade names or trademarks to imply a relationship with, or endorsement or sponsorship of us by, any other companies.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64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5653405" cy="816483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320" w:right="299"/>
        <w:spacing w:after="0" w:line="290"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20" w:right="379"/>
        <w:spacing w:after="0" w:line="290" w:lineRule="auto"/>
        <w:rPr>
          <w:sz w:val="20"/>
          <w:szCs w:val="20"/>
          <w:color w:val="auto"/>
        </w:rPr>
      </w:pPr>
      <w:r>
        <w:rPr>
          <w:rFonts w:ascii="Arial" w:cs="Arial" w:eastAsia="Arial" w:hAnsi="Arial"/>
          <w:sz w:val="16"/>
          <w:szCs w:val="16"/>
          <w:color w:val="auto"/>
        </w:rPr>
        <w:t>Tilray is a leading global cannabis-lifestyle and consumer packaged goods company with operations in Canada, the United States, Europe, Australia, and Latin America that is changing people’s lives for the better - one person at a time - by inspiring and empowering the worldwide community to live their very best life by providing them with products that meet the needs of their mind, body, and soul and invoke a sense of wellbeing. Tilray’s mission is to be the trusted partner for its patients and consumers by providing them with a cultivated experience and health and wellbeing through high-quality, differentiated brands and innovative products. A pioneer in cannabis research, cultivation, and distribution, Tilray’s unprecedented production platform supports over 20 brands in over 20 countries, including comprehensive cannabis offerings, hemp-based foods, and alcoholic beverages.</w:t>
      </w: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20" w:right="319"/>
        <w:spacing w:after="0" w:line="255" w:lineRule="auto"/>
        <w:rPr>
          <w:sz w:val="20"/>
          <w:szCs w:val="20"/>
          <w:color w:val="auto"/>
        </w:rPr>
      </w:pPr>
      <w:r>
        <w:rPr>
          <w:rFonts w:ascii="Arial" w:cs="Arial" w:eastAsia="Arial" w:hAnsi="Arial"/>
          <w:sz w:val="18"/>
          <w:szCs w:val="18"/>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84" w:lineRule="exact"/>
        <w:rPr>
          <w:sz w:val="20"/>
          <w:szCs w:val="20"/>
          <w:color w:val="auto"/>
        </w:rPr>
      </w:pPr>
    </w:p>
    <w:p>
      <w:pPr>
        <w:ind w:left="320" w:right="499"/>
        <w:spacing w:after="0" w:line="277" w:lineRule="auto"/>
        <w:rPr>
          <w:sz w:val="20"/>
          <w:szCs w:val="20"/>
          <w:color w:val="auto"/>
        </w:rPr>
      </w:pPr>
      <w:r>
        <w:rPr>
          <w:rFonts w:ascii="Arial" w:cs="Arial" w:eastAsia="Arial" w:hAnsi="Arial"/>
          <w:sz w:val="18"/>
          <w:szCs w:val="18"/>
          <w:color w:val="auto"/>
        </w:rPr>
        <w:t>On December 12, 2019, Privateer Holdings merged with and into a wholly owned subsidiary of Tilray pursuant to the agreement and plan of merger and reorganization.</w:t>
      </w:r>
    </w:p>
    <w:p>
      <w:pPr>
        <w:spacing w:after="0" w:line="62" w:lineRule="exact"/>
        <w:rPr>
          <w:sz w:val="20"/>
          <w:szCs w:val="20"/>
          <w:color w:val="auto"/>
        </w:rPr>
      </w:pPr>
    </w:p>
    <w:p>
      <w:pPr>
        <w:ind w:left="320" w:right="319"/>
        <w:spacing w:after="0" w:line="259" w:lineRule="auto"/>
        <w:rPr>
          <w:sz w:val="20"/>
          <w:szCs w:val="20"/>
          <w:color w:val="auto"/>
        </w:rPr>
      </w:pPr>
      <w:r>
        <w:rPr>
          <w:rFonts w:ascii="Arial" w:cs="Arial" w:eastAsia="Arial" w:hAnsi="Arial"/>
          <w:sz w:val="18"/>
          <w:szCs w:val="18"/>
          <w:color w:val="auto"/>
        </w:rPr>
        <w:t>Pursuant to an arrangement agreement, dated as of December 15, 2020, as amended on February 19, 2021, between Tilray and Aphria Inc. (“Aphria”), Tilray implemented an arrangement (the “Arrangement”) under the Business Corporations Act (Ontario) in accordance with a plan of arrangement. The Arrangement was completed on April 30, 2021.</w:t>
      </w:r>
    </w:p>
    <w:p>
      <w:pPr>
        <w:spacing w:after="0" w:line="79" w:lineRule="exact"/>
        <w:rPr>
          <w:sz w:val="20"/>
          <w:szCs w:val="20"/>
          <w:color w:val="auto"/>
        </w:rPr>
      </w:pPr>
    </w:p>
    <w:p>
      <w:pPr>
        <w:ind w:left="320" w:right="399"/>
        <w:spacing w:after="0" w:line="311" w:lineRule="auto"/>
        <w:rPr>
          <w:sz w:val="20"/>
          <w:szCs w:val="20"/>
          <w:color w:val="auto"/>
        </w:rPr>
      </w:pPr>
      <w:r>
        <w:rPr>
          <w:rFonts w:ascii="Arial" w:cs="Arial" w:eastAsia="Arial" w:hAnsi="Arial"/>
          <w:sz w:val="16"/>
          <w:szCs w:val="16"/>
          <w:color w:val="auto"/>
        </w:rPr>
        <w:t>On January 10, 2022, Tilray, Inc. changed its corporate name to Tilray Brands, Inc., pursuant to a second certificate of amendment of the amended and restated certificate of incorporation filed with the Delaware Secretary of State (the “Name Change”), and amended and restated its Bylaws on that same date to reflect the Name Change.</w:t>
      </w:r>
    </w:p>
    <w:p>
      <w:pPr>
        <w:spacing w:after="0" w:line="41" w:lineRule="exact"/>
        <w:rPr>
          <w:sz w:val="20"/>
          <w:szCs w:val="20"/>
          <w:color w:val="auto"/>
        </w:rPr>
      </w:pPr>
    </w:p>
    <w:p>
      <w:pPr>
        <w:ind w:left="320" w:right="379"/>
        <w:spacing w:after="0" w:line="279" w:lineRule="auto"/>
        <w:rPr>
          <w:sz w:val="20"/>
          <w:szCs w:val="20"/>
          <w:color w:val="auto"/>
        </w:rPr>
      </w:pPr>
      <w:r>
        <w:rPr>
          <w:rFonts w:ascii="Arial" w:cs="Arial" w:eastAsia="Arial" w:hAnsi="Arial"/>
          <w:sz w:val="17"/>
          <w:szCs w:val="17"/>
          <w:color w:val="auto"/>
        </w:rPr>
        <w:t>Tilray’s principal executive offices are located at 265 Talbot Street West, Leamington, Ontario, Canada and its telephone number is (844) 845-7291. Its corporate website address is www.tilray.com. Information contained on or accessible through such website is not a part of this prospectus supplement, and the inclusion of the website address in this prospectus supplement is an inactive textual reference only.</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ind w:left="320" w:right="359"/>
        <w:spacing w:after="0" w:line="271" w:lineRule="auto"/>
        <w:rPr>
          <w:sz w:val="20"/>
          <w:szCs w:val="20"/>
          <w:color w:val="auto"/>
        </w:rPr>
      </w:pPr>
      <w:r>
        <w:rPr>
          <w:rFonts w:ascii="Arial" w:cs="Arial" w:eastAsia="Arial" w:hAnsi="Arial"/>
          <w:sz w:val="17"/>
          <w:szCs w:val="17"/>
          <w:color w:val="auto"/>
        </w:rPr>
        <w:t>We or selling securityholders may offer shares of our Class 2 common stock and preferred stock, various series of debt securities and/or warrants to purchase any of such securities, either individually or in combination with other securities, from time to time under this prospectus, together with the applicable prospectus supplement and any related free writing prospectus, at prices and on terms to be determined by market conditions at the time of any offering.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16" w:lineRule="exact"/>
        <w:rPr>
          <w:sz w:val="20"/>
          <w:szCs w:val="20"/>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87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5653405" cy="7787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ranking;</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or other rights, if any;</w:t>
      </w:r>
    </w:p>
    <w:p>
      <w:pPr>
        <w:spacing w:after="0" w:line="63" w:lineRule="exact"/>
        <w:rPr>
          <w:rFonts w:ascii="Arial" w:cs="Arial" w:eastAsia="Arial" w:hAnsi="Arial"/>
          <w:sz w:val="18"/>
          <w:szCs w:val="18"/>
          <w:color w:val="auto"/>
        </w:rPr>
      </w:pPr>
    </w:p>
    <w:p>
      <w:pPr>
        <w:ind w:left="1020" w:right="359" w:hanging="350"/>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21"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117" w:lineRule="exact"/>
        <w:rPr>
          <w:sz w:val="20"/>
          <w:szCs w:val="20"/>
          <w:color w:val="auto"/>
        </w:rPr>
      </w:pPr>
    </w:p>
    <w:p>
      <w:pPr>
        <w:ind w:left="320" w:right="379"/>
        <w:spacing w:after="0" w:line="263"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76" w:lineRule="exact"/>
        <w:rPr>
          <w:sz w:val="20"/>
          <w:szCs w:val="20"/>
          <w:color w:val="auto"/>
        </w:rPr>
      </w:pPr>
    </w:p>
    <w:p>
      <w:pPr>
        <w:ind w:left="320" w:right="499"/>
        <w:spacing w:after="0" w:line="263" w:lineRule="auto"/>
        <w:rPr>
          <w:sz w:val="20"/>
          <w:szCs w:val="20"/>
          <w:color w:val="auto"/>
        </w:rPr>
      </w:pPr>
      <w:r>
        <w:rPr>
          <w:rFonts w:ascii="Arial" w:cs="Arial" w:eastAsia="Arial" w:hAnsi="Arial"/>
          <w:sz w:val="18"/>
          <w:szCs w:val="18"/>
          <w:color w:val="auto"/>
        </w:rPr>
        <w:t>We or selling securityholders may sell the securities directly to investors or to or through agents, underwriters or dealers. If we or selling securityholders do offer securities to or through agents or underwriters, we will include in the applicable prospectus supplement:</w:t>
      </w:r>
    </w:p>
    <w:p>
      <w:pPr>
        <w:spacing w:after="0" w:line="22" w:lineRule="exact"/>
        <w:rPr>
          <w:sz w:val="20"/>
          <w:szCs w:val="20"/>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details regarding over-allotment or other options, if any; and</w:t>
      </w:r>
    </w:p>
    <w:p>
      <w:pPr>
        <w:spacing w:after="0" w:line="63" w:lineRule="exact"/>
        <w:rPr>
          <w:rFonts w:ascii="Arial" w:cs="Arial" w:eastAsia="Arial" w:hAnsi="Arial"/>
          <w:sz w:val="18"/>
          <w:szCs w:val="18"/>
          <w:color w:val="auto"/>
        </w:rPr>
      </w:pPr>
    </w:p>
    <w:p>
      <w:pPr>
        <w:ind w:left="1020"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proceeds to us, if any.</w:t>
      </w:r>
    </w:p>
    <w:p>
      <w:pPr>
        <w:spacing w:after="0" w:line="117" w:lineRule="exact"/>
        <w:rPr>
          <w:sz w:val="20"/>
          <w:szCs w:val="20"/>
          <w:color w:val="auto"/>
        </w:rPr>
      </w:pPr>
    </w:p>
    <w:p>
      <w:pPr>
        <w:ind w:left="320" w:right="279"/>
        <w:spacing w:after="0" w:line="286" w:lineRule="auto"/>
        <w:rPr>
          <w:sz w:val="20"/>
          <w:szCs w:val="20"/>
          <w:color w:val="auto"/>
        </w:rPr>
      </w:pPr>
      <w:r>
        <w:rPr>
          <w:rFonts w:ascii="Arial" w:cs="Arial" w:eastAsia="Arial" w:hAnsi="Arial"/>
          <w:sz w:val="16"/>
          <w:szCs w:val="16"/>
          <w:i w:val="1"/>
          <w:iCs w:val="1"/>
          <w:color w:val="auto"/>
        </w:rPr>
        <w:t>Class 2 Common Stock</w:t>
      </w:r>
      <w:r>
        <w:rPr>
          <w:rFonts w:ascii="Arial" w:cs="Arial" w:eastAsia="Arial" w:hAnsi="Arial"/>
          <w:sz w:val="16"/>
          <w:szCs w:val="16"/>
          <w:color w:val="auto"/>
        </w:rPr>
        <w:t>. We may issue shares of our Class 2 common stock from time to time. Holders of our Class 1</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and Class 2 common stock have identical rights, provided that, except as otherwise expressly provided in our amended and restated certificate of incorporation or required by applicable law, on any matter that is submitted to a vote of our stockholders, each holder of Class 1 common stock is entitled to 10 votes for each share of Class 1 common stock held by such holder and each holder of Class 2 common stock is entitled to one vote for each share of Class 2 common stock held by such holder. Subject to the preferences of any outstanding shares of preferred stock, the holders of Class 2 common stock are entitled to receive ratably any dividends our board of directors declares out of funds legally available for the payment of dividends. If we are liquidated, dissolved or wound up, the holders of Class 2 common stock are entitled to share pro rata all assets remaining after payment of liabilities and liquidation preferences of any outstanding shares of preferred stock. Holders of Class 2 common stock have no preemptive rights or rights to convert their Class 2 common stock into any other securities. There are no redemption or sinking fund provisions applicable to the Class 2 common stock. In this prospectus, we have summarized certain general features of the Class 2 common stock under the heading “Description of Capital Stock— Common Stock.” We urge you, however, to read the applicable prospectus supplement (and any related free writing prospectus that we may authorize to be provided to you) related to any Class 2 common stock being offered.</w:t>
      </w:r>
    </w:p>
    <w:p>
      <w:pPr>
        <w:spacing w:after="0" w:line="59" w:lineRule="exact"/>
        <w:rPr>
          <w:sz w:val="20"/>
          <w:szCs w:val="20"/>
          <w:color w:val="auto"/>
        </w:rPr>
      </w:pPr>
    </w:p>
    <w:p>
      <w:pPr>
        <w:ind w:left="320" w:right="299"/>
        <w:spacing w:after="0" w:line="268" w:lineRule="auto"/>
        <w:rPr>
          <w:sz w:val="20"/>
          <w:szCs w:val="20"/>
          <w:color w:val="auto"/>
        </w:rPr>
      </w:pPr>
      <w:r>
        <w:rPr>
          <w:rFonts w:ascii="Arial" w:cs="Arial" w:eastAsia="Arial" w:hAnsi="Arial"/>
          <w:sz w:val="17"/>
          <w:szCs w:val="17"/>
          <w:i w:val="1"/>
          <w:iCs w:val="1"/>
          <w:color w:val="auto"/>
        </w:rPr>
        <w:t xml:space="preserve">Preferred Stock. </w:t>
      </w:r>
      <w:r>
        <w:rPr>
          <w:rFonts w:ascii="Arial" w:cs="Arial" w:eastAsia="Arial" w:hAnsi="Arial"/>
          <w:sz w:val="17"/>
          <w:szCs w:val="17"/>
          <w:color w:val="auto"/>
        </w:rPr>
        <w:t>We may issue shares of our preferred stock from time to time, in one or more series.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certificate of incorporation, our board of directors has the authority to designate up to 10,000,000 shares of preferred stock in one or more series and determine or alter the designation, rights, preferences, privileges and restrictions granted to or imposed upon any series of preferred stock, any or all of which may be greater than the rights of the Class 2 common stock. If we sell any new series of preferred stock under this prospectus and any applicable prospectus supplement, our board of directors will determine the rights, preferences and privileges of the preferred stock being offered, as well as the qualifications, limitations or restrictions thereof, including dividend rights, conversion rights, voting rights, preemptive rights, terms of redemption or repurchase, liquidation preferences, sinking fund terms and the number of shares constituting any series or the designation of any series. Preferred stock may be convertible into our Class 2 common stock or other securities of ours, or may be exchangeable for debt securities. Conversion may be mandatory or at the holder’s option and would be at prescribed conversion rates. We will file as an exhibit to the registration statement of which this prospectus is a part, or will incorporate by reference from reports that we file with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36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5653405" cy="80365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99"/>
        <w:spacing w:after="0" w:line="293" w:lineRule="auto"/>
        <w:rPr>
          <w:sz w:val="20"/>
          <w:szCs w:val="20"/>
          <w:color w:val="auto"/>
        </w:rPr>
      </w:pPr>
      <w:r>
        <w:rPr>
          <w:rFonts w:ascii="Arial" w:cs="Arial" w:eastAsia="Arial" w:hAnsi="Arial"/>
          <w:sz w:val="16"/>
          <w:szCs w:val="16"/>
          <w:color w:val="auto"/>
        </w:rPr>
        <w:t>SEC, the form of the certificate of designation that describes the terms of the series of preferred stock being offered before the issuance of the related series of preferred stock. In this prospectus, we have summarized certain general features of the preferred stock under the heading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56" w:lineRule="exact"/>
        <w:rPr>
          <w:sz w:val="20"/>
          <w:szCs w:val="20"/>
          <w:color w:val="auto"/>
        </w:rPr>
      </w:pPr>
    </w:p>
    <w:p>
      <w:pPr>
        <w:ind w:left="320" w:right="339"/>
        <w:spacing w:after="0" w:line="257"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We may issue debt securities from time to time, in one or more series, as either senior or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or as senior or subordinated convertible debt. Convertible or exchangeable debt securities will be convertible into or exchangeable for our Class 2 common stock or our other securities. Conversion or exchange may be mandatory or optional (at our option or the holders’ option) and would be at prescribed conversion or exchange prices.</w:t>
      </w:r>
    </w:p>
    <w:p>
      <w:pPr>
        <w:spacing w:after="0" w:line="80" w:lineRule="exact"/>
        <w:rPr>
          <w:sz w:val="20"/>
          <w:szCs w:val="20"/>
          <w:color w:val="auto"/>
        </w:rPr>
      </w:pPr>
    </w:p>
    <w:p>
      <w:pPr>
        <w:ind w:left="320" w:right="339"/>
        <w:spacing w:after="0" w:line="289" w:lineRule="auto"/>
        <w:rPr>
          <w:sz w:val="20"/>
          <w:szCs w:val="20"/>
          <w:color w:val="auto"/>
        </w:rPr>
      </w:pPr>
      <w:r>
        <w:rPr>
          <w:rFonts w:ascii="Arial" w:cs="Arial" w:eastAsia="Arial" w:hAnsi="Arial"/>
          <w:sz w:val="16"/>
          <w:szCs w:val="16"/>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58" w:lineRule="exact"/>
        <w:rPr>
          <w:sz w:val="20"/>
          <w:szCs w:val="20"/>
          <w:color w:val="auto"/>
        </w:rPr>
      </w:pPr>
    </w:p>
    <w:p>
      <w:pPr>
        <w:ind w:left="320" w:right="279"/>
        <w:spacing w:after="0" w:line="287"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We may issue warrants for the purchase of Class 2 common stock, preferred stock and/or debt securities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series. We may issue warrants independently or in combination with Class 2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60" w:lineRule="exact"/>
        <w:rPr>
          <w:sz w:val="20"/>
          <w:szCs w:val="20"/>
          <w:color w:val="auto"/>
        </w:rPr>
      </w:pPr>
    </w:p>
    <w:p>
      <w:pPr>
        <w:ind w:left="320" w:right="379"/>
        <w:spacing w:after="0" w:line="263" w:lineRule="auto"/>
        <w:rPr>
          <w:sz w:val="20"/>
          <w:szCs w:val="20"/>
          <w:color w:val="auto"/>
        </w:rPr>
      </w:pPr>
      <w:r>
        <w:rPr>
          <w:rFonts w:ascii="Arial" w:cs="Arial" w:eastAsia="Arial" w:hAnsi="Arial"/>
          <w:sz w:val="18"/>
          <w:szCs w:val="18"/>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jc w:val="both"/>
        <w:ind w:left="320" w:right="619"/>
        <w:spacing w:after="0" w:line="263" w:lineRule="auto"/>
        <w:rPr>
          <w:sz w:val="20"/>
          <w:szCs w:val="20"/>
          <w:color w:val="auto"/>
        </w:rPr>
      </w:pPr>
      <w:r>
        <w:rPr>
          <w:rFonts w:ascii="Arial" w:cs="Arial" w:eastAsia="Arial" w:hAnsi="Arial"/>
          <w:sz w:val="18"/>
          <w:szCs w:val="18"/>
          <w:color w:val="auto"/>
        </w:rPr>
        <w:t xml:space="preserve">Selling securityholders are persons or entities that, directly or indirectly, have acquired or will from time to time acquire from us, our securities. Information about selling securityholders, if any, will be set forth in a prospectus supplement. See “Selling Securityholders” on page </w:t>
      </w:r>
      <w:r>
        <w:rPr>
          <w:rFonts w:ascii="Arial" w:cs="Arial" w:eastAsia="Arial" w:hAnsi="Arial"/>
          <w:sz w:val="18"/>
          <w:szCs w:val="18"/>
          <w:u w:val="single" w:color="auto"/>
          <w:color w:val="0000EE"/>
        </w:rPr>
        <w:t>24</w:t>
      </w:r>
      <w:r>
        <w:rPr>
          <w:rFonts w:ascii="Arial" w:cs="Arial" w:eastAsia="Arial" w:hAnsi="Arial"/>
          <w:sz w:val="18"/>
          <w:szCs w:val="18"/>
          <w:color w:val="auto"/>
        </w:rPr>
        <w:t xml:space="preserve"> of this prospectus.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20" w:right="299"/>
        <w:spacing w:after="0" w:line="272" w:lineRule="auto"/>
        <w:rPr>
          <w:sz w:val="20"/>
          <w:szCs w:val="20"/>
          <w:color w:val="auto"/>
        </w:rPr>
      </w:pPr>
      <w:r>
        <w:rPr>
          <w:rFonts w:ascii="Arial" w:cs="Arial" w:eastAsia="Arial" w:hAnsi="Arial"/>
          <w:sz w:val="17"/>
          <w:szCs w:val="17"/>
          <w:color w:val="auto"/>
        </w:rPr>
        <w:t xml:space="preserve">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See “Use of Proceeds” on page </w:t>
      </w:r>
      <w:r>
        <w:rPr>
          <w:rFonts w:ascii="Arial" w:cs="Arial" w:eastAsia="Arial" w:hAnsi="Arial"/>
          <w:sz w:val="17"/>
          <w:szCs w:val="17"/>
          <w:u w:val="single" w:color="auto"/>
          <w:color w:val="0000EE"/>
        </w:rPr>
        <w:t>8</w:t>
      </w:r>
      <w:r>
        <w:rPr>
          <w:rFonts w:ascii="Arial" w:cs="Arial" w:eastAsia="Arial" w:hAnsi="Arial"/>
          <w:sz w:val="17"/>
          <w:szCs w:val="17"/>
          <w:color w:val="auto"/>
        </w:rPr>
        <w:t xml:space="preserve"> of this prospectus. Unless the applicable prospectus supplement provides otherwise, we will not receive any of the proceeds from the sale of our securities by selling securityholders.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Nasdaq Global Select Market Listing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Class 2 common stock is listed on The Nasdaq Global Select Market under the symbol “TLRY.”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300" w:right="399"/>
        <w:spacing w:after="0" w:line="287" w:lineRule="auto"/>
        <w:rPr>
          <w:sz w:val="20"/>
          <w:szCs w:val="20"/>
          <w:color w:val="auto"/>
        </w:rPr>
      </w:pPr>
      <w:r>
        <w:rPr>
          <w:rFonts w:ascii="Arial" w:cs="Arial" w:eastAsia="Arial" w:hAnsi="Arial"/>
          <w:sz w:val="16"/>
          <w:szCs w:val="16"/>
          <w:color w:val="auto"/>
        </w:rPr>
        <w:t>Certain statements in this prospectus and any accompanying prospectus supplement, including the documents incorporated by reference herein and therein, constitute forward-looking information or forward-looking statements within the meaning of Section 27A of the Securities Act of 1933, as amended (the “Securities Act”), and Section</w:t>
      </w:r>
    </w:p>
    <w:p>
      <w:pPr>
        <w:spacing w:after="0" w:line="2" w:lineRule="exact"/>
        <w:rPr>
          <w:sz w:val="20"/>
          <w:szCs w:val="20"/>
          <w:color w:val="auto"/>
        </w:rPr>
      </w:pPr>
    </w:p>
    <w:p>
      <w:pPr>
        <w:ind w:left="300" w:right="319"/>
        <w:spacing w:after="0" w:line="266" w:lineRule="auto"/>
        <w:rPr>
          <w:sz w:val="20"/>
          <w:szCs w:val="20"/>
          <w:color w:val="auto"/>
        </w:rPr>
      </w:pPr>
      <w:r>
        <w:rPr>
          <w:rFonts w:ascii="Arial" w:cs="Arial" w:eastAsia="Arial" w:hAnsi="Arial"/>
          <w:sz w:val="17"/>
          <w:szCs w:val="17"/>
          <w:color w:val="auto"/>
        </w:rPr>
        <w:t>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81" w:lineRule="exact"/>
        <w:rPr>
          <w:sz w:val="20"/>
          <w:szCs w:val="20"/>
          <w:color w:val="auto"/>
        </w:rPr>
      </w:pPr>
    </w:p>
    <w:p>
      <w:pPr>
        <w:jc w:val="both"/>
        <w:ind w:left="300" w:right="439"/>
        <w:spacing w:after="0" w:line="311" w:lineRule="auto"/>
        <w:rPr>
          <w:sz w:val="20"/>
          <w:szCs w:val="20"/>
          <w:color w:val="auto"/>
        </w:rPr>
      </w:pPr>
      <w:r>
        <w:rPr>
          <w:rFonts w:ascii="Arial" w:cs="Arial" w:eastAsia="Arial" w:hAnsi="Arial"/>
          <w:sz w:val="16"/>
          <w:szCs w:val="16"/>
          <w:color w:val="auto"/>
        </w:rPr>
        <w:t>Any information or statements that are contained in this prospectus and any accompanying prospectus supplement, including the documents incorporated by reference herein and therein, that are not statements of historical fact may be deemed to be forward-looking statements, including, but not limited to, statements with regards to:</w:t>
      </w:r>
    </w:p>
    <w:p>
      <w:pPr>
        <w:spacing w:after="0" w:line="41" w:lineRule="exact"/>
        <w:rPr>
          <w:sz w:val="20"/>
          <w:szCs w:val="20"/>
          <w:color w:val="auto"/>
        </w:rPr>
      </w:pPr>
    </w:p>
    <w:p>
      <w:pPr>
        <w:ind w:left="1000" w:right="73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estimates of our financial information, including in respect of expected revenues, margins, cash flow, profitability, and production of cannabis;</w:t>
      </w:r>
    </w:p>
    <w:p>
      <w:pPr>
        <w:spacing w:after="0" w:line="62" w:lineRule="exact"/>
        <w:rPr>
          <w:rFonts w:ascii="Arial" w:cs="Arial" w:eastAsia="Arial" w:hAnsi="Arial"/>
          <w:sz w:val="18"/>
          <w:szCs w:val="18"/>
          <w:color w:val="auto"/>
        </w:rPr>
      </w:pPr>
    </w:p>
    <w:p>
      <w:pPr>
        <w:ind w:left="1000" w:right="899" w:hanging="348"/>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estimates of future costs applicable to sales, future capital expenditures, future cost reductions, and projected synergies including pre-tax synergies, cost savings and efficiencies;</w:t>
      </w:r>
    </w:p>
    <w:p>
      <w:pPr>
        <w:spacing w:after="0" w:line="38" w:lineRule="exact"/>
        <w:rPr>
          <w:rFonts w:ascii="Arial" w:cs="Arial" w:eastAsia="Arial" w:hAnsi="Arial"/>
          <w:sz w:val="17"/>
          <w:szCs w:val="17"/>
          <w:color w:val="auto"/>
        </w:rPr>
      </w:pPr>
    </w:p>
    <w:p>
      <w:pPr>
        <w:ind w:left="1000" w:right="63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 to have scalable medical and adult-use cannabis platforms to strengthen the leadership position in Canada, internationally, and eventually in the United States;</w:t>
      </w:r>
    </w:p>
    <w:p>
      <w:pPr>
        <w:spacing w:after="0" w:line="62" w:lineRule="exact"/>
        <w:rPr>
          <w:rFonts w:ascii="Arial" w:cs="Arial" w:eastAsia="Arial" w:hAnsi="Arial"/>
          <w:sz w:val="18"/>
          <w:szCs w:val="18"/>
          <w:color w:val="auto"/>
        </w:rPr>
      </w:pPr>
    </w:p>
    <w:p>
      <w:pPr>
        <w:ind w:left="1000" w:right="10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being well positioned in the European cannabis markets and our ability to leverage our current European platforms;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and financial benefits in connection with the Arrangement;</w:t>
      </w:r>
    </w:p>
    <w:p>
      <w:pPr>
        <w:spacing w:after="0" w:line="117"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legalization of cannabis in the United States and us being well positioned to compete in the United States market;</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become the world’s leading cannabis-focused consumer branded company with $4 billion of revenue by 2024;</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projected growth in our market share and growth in the European Union market; and</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 to offer a diversified and branded product offering and distribution footprint, world-class cultivation, processing and manufacturing facilities.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79"/>
        <w:spacing w:after="0" w:line="301" w:lineRule="auto"/>
        <w:rPr>
          <w:sz w:val="20"/>
          <w:szCs w:val="20"/>
          <w:color w:val="auto"/>
        </w:rPr>
      </w:pPr>
      <w:r>
        <w:rPr>
          <w:rFonts w:ascii="Arial" w:cs="Arial" w:eastAsia="Arial" w:hAnsi="Arial"/>
          <w:sz w:val="16"/>
          <w:szCs w:val="16"/>
          <w:color w:val="auto"/>
        </w:rPr>
        <w:t>The forward-looking statements contained in this prospectus and any accompanying prospectus supplement,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49" w:lineRule="exact"/>
        <w:rPr>
          <w:sz w:val="20"/>
          <w:szCs w:val="20"/>
          <w:color w:val="auto"/>
        </w:rPr>
      </w:pPr>
    </w:p>
    <w:p>
      <w:pPr>
        <w:ind w:left="1000" w:right="579" w:hanging="348"/>
        <w:spacing w:after="0" w:line="259"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recently closed on an investment and certain transactions with HEXO Corp. (“HEXO”) and we face uncertainty with respect to our ability to realize a return on our investment and achieve expected production efficiencies and cost savings in connection with the commercial transactions with HEXO as well as the MedMen investment;</w:t>
      </w:r>
    </w:p>
    <w:p>
      <w:pPr>
        <w:spacing w:after="0" w:line="78"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dependent upon regulatory approvals and licenses, ongoing compliance and reporting obligations, and timely renewals;</w:t>
      </w:r>
    </w:p>
    <w:p>
      <w:pPr>
        <w:spacing w:after="0" w:line="62" w:lineRule="exact"/>
        <w:rPr>
          <w:rFonts w:ascii="Arial" w:cs="Arial" w:eastAsia="Arial" w:hAnsi="Arial"/>
          <w:sz w:val="18"/>
          <w:szCs w:val="18"/>
          <w:color w:val="auto"/>
        </w:rPr>
      </w:pPr>
    </w:p>
    <w:p>
      <w:pPr>
        <w:ind w:left="1000" w:right="69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regulation is evolving, and unfavorable changes or lack of commercial legalization could impact our ability to carry on our business as currently conducted and the potential expansion of our business;</w:t>
      </w:r>
    </w:p>
    <w:p>
      <w:pPr>
        <w:spacing w:after="0" w:line="75"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production and processing facilities are integral to our business and adverse changes or developments affecting our facilities may have an adverse impact on our business;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face intense competition, and anticipate competition will increase, which could hurt our business;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constrain our ability to market and distribute our products in Canada;</w:t>
      </w:r>
    </w:p>
    <w:p>
      <w:pPr>
        <w:spacing w:after="0" w:line="117" w:lineRule="exact"/>
        <w:rPr>
          <w:rFonts w:ascii="Arial" w:cs="Arial" w:eastAsia="Arial" w:hAnsi="Arial"/>
          <w:sz w:val="18"/>
          <w:szCs w:val="18"/>
          <w:color w:val="auto"/>
        </w:rPr>
      </w:pPr>
    </w:p>
    <w:p>
      <w:pPr>
        <w:ind w:left="1000" w:right="819" w:hanging="348"/>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United States regulations relating to hemp-derived CBD products are new and rapidly evolving, and changes may not develop in the timeframe or manner most favorable to our business objectives;</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preferences or public attitudes about alcohol could decrease demand for our beverage alcohol products;</w:t>
      </w:r>
    </w:p>
    <w:p>
      <w:pPr>
        <w:spacing w:after="0" w:line="62" w:lineRule="exact"/>
        <w:rPr>
          <w:rFonts w:ascii="Arial" w:cs="Arial" w:eastAsia="Arial" w:hAnsi="Arial"/>
          <w:sz w:val="18"/>
          <w:szCs w:val="18"/>
          <w:color w:val="auto"/>
        </w:rPr>
      </w:pPr>
    </w:p>
    <w:p>
      <w:pPr>
        <w:jc w:val="both"/>
        <w:ind w:left="1000" w:right="53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SW Brewing Company, LLC and Double Diamond Distillery LLC (d/b/a Breckenridge Distillery) each face substantial competition in the beer industry and the broader market for alcoholic beverage products which could impact our business and financial results;</w:t>
      </w:r>
    </w:p>
    <w:p>
      <w:pPr>
        <w:spacing w:after="0" w:line="75"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limited operating history and a history of net losses, and we may not achieve or maintain profitability in the future;</w:t>
      </w:r>
    </w:p>
    <w:p>
      <w:pPr>
        <w:spacing w:after="0" w:line="62"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litigation, arbitration and demands, which could result in significant liability and costs, and impact our resources and reputation;</w:t>
      </w:r>
    </w:p>
    <w:p>
      <w:pPr>
        <w:spacing w:after="0" w:line="62"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strategic alliances and other third-party business relationships may not achieve the intended beneficial impact and expose us to risks;</w:t>
      </w:r>
    </w:p>
    <w:p>
      <w:pPr>
        <w:spacing w:after="0" w:line="62" w:lineRule="exact"/>
        <w:rPr>
          <w:rFonts w:ascii="Arial" w:cs="Arial" w:eastAsia="Arial" w:hAnsi="Arial"/>
          <w:sz w:val="18"/>
          <w:szCs w:val="18"/>
          <w:color w:val="auto"/>
        </w:rPr>
      </w:pPr>
    </w:p>
    <w:p>
      <w:pPr>
        <w:ind w:left="1000" w:right="579" w:hanging="348"/>
        <w:spacing w:after="0" w:line="308"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not be able to successfully identify and execute future acquisitions, dispositions or other equity transactions or to successfully manage the impacts of such transactions on our operations;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risks inherent in an agricultural business, including the risk of crop failure;</w:t>
      </w:r>
    </w:p>
    <w:p>
      <w:pPr>
        <w:spacing w:after="0" w:line="117" w:lineRule="exact"/>
        <w:rPr>
          <w:rFonts w:ascii="Arial" w:cs="Arial" w:eastAsia="Arial" w:hAnsi="Arial"/>
          <w:sz w:val="18"/>
          <w:szCs w:val="18"/>
          <w:color w:val="auto"/>
        </w:rPr>
      </w:pPr>
    </w:p>
    <w:p>
      <w:pPr>
        <w:ind w:left="1000" w:right="43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75" w:lineRule="exact"/>
        <w:rPr>
          <w:rFonts w:ascii="Arial" w:cs="Arial" w:eastAsia="Arial" w:hAnsi="Arial"/>
          <w:sz w:val="18"/>
          <w:szCs w:val="18"/>
          <w:color w:val="auto"/>
        </w:rPr>
      </w:pPr>
    </w:p>
    <w:p>
      <w:pPr>
        <w:ind w:left="1000" w:right="10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may be subject to recalls for a variety of reasons, which could require us to expend significant management and capital resources;</w:t>
      </w:r>
    </w:p>
    <w:p>
      <w:pPr>
        <w:spacing w:after="0" w:line="62"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interruptions in our access to certain supply chains for key inputs such as raw materials, supplies, electricity, water and other utilities may impair our operations;</w:t>
      </w:r>
    </w:p>
    <w:p>
      <w:pPr>
        <w:spacing w:after="0" w:line="62"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may not be able to successfully establish and maintain effective internal controls over financial reporting;</w:t>
      </w:r>
    </w:p>
    <w:p>
      <w:pPr>
        <w:spacing w:after="0" w:line="62"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of our common stock in public markets has experienced and may continue to experience severe volatility and fluctuations;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4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volatility of our stock and the stockholder base may hinder or prevent us from engaging in beneficial corporate initiatives;</w:t>
      </w:r>
    </w:p>
    <w:p>
      <w:pPr>
        <w:spacing w:after="0" w:line="62" w:lineRule="exact"/>
        <w:rPr>
          <w:rFonts w:ascii="Arial" w:cs="Arial" w:eastAsia="Arial" w:hAnsi="Arial"/>
          <w:sz w:val="18"/>
          <w:szCs w:val="18"/>
          <w:color w:val="auto"/>
        </w:rPr>
      </w:pPr>
    </w:p>
    <w:p>
      <w:pPr>
        <w:ind w:left="1000" w:right="71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75" w:lineRule="exact"/>
        <w:rPr>
          <w:rFonts w:ascii="Arial" w:cs="Arial" w:eastAsia="Arial" w:hAnsi="Arial"/>
          <w:sz w:val="18"/>
          <w:szCs w:val="18"/>
          <w:color w:val="auto"/>
        </w:rPr>
      </w:pPr>
    </w:p>
    <w:p>
      <w:pPr>
        <w:ind w:left="1000" w:right="439" w:hanging="348"/>
        <w:spacing w:after="0" w:line="30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not have the ability to raise the funds necessary to settle conversions of the convertible securities in cash or to repurchase the convertible securities upon a fundamental change; and</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subject to other risks generally applicable to our industry and the conduct of our business.</w:t>
      </w:r>
    </w:p>
    <w:p>
      <w:pPr>
        <w:spacing w:after="0" w:line="129"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76" w:lineRule="exact"/>
        <w:rPr>
          <w:sz w:val="20"/>
          <w:szCs w:val="20"/>
          <w:color w:val="auto"/>
        </w:rPr>
      </w:pPr>
    </w:p>
    <w:p>
      <w:pPr>
        <w:ind w:left="300" w:right="379"/>
        <w:spacing w:after="0" w:line="255" w:lineRule="auto"/>
        <w:rPr>
          <w:sz w:val="20"/>
          <w:szCs w:val="20"/>
          <w:color w:val="auto"/>
        </w:rPr>
      </w:pPr>
      <w:r>
        <w:rPr>
          <w:rFonts w:ascii="Arial" w:cs="Arial" w:eastAsia="Arial" w:hAnsi="Arial"/>
          <w:sz w:val="18"/>
          <w:szCs w:val="18"/>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and any accompanying prospectus supplement.</w:t>
      </w:r>
    </w:p>
    <w:p>
      <w:pPr>
        <w:spacing w:after="0" w:line="84"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The forward-looking statements contained in this prospectus and any accompanying prospectus supplement,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and any accompany prospectus supplement,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We will set forth in the applicable prospectus supplement our intended use for the net proceeds received from the sale of any securities. Pending the use of the net proceeds, we intend to invest the net proceeds in short-term, investment-grade, interest-bearing securities.</w:t>
      </w:r>
    </w:p>
    <w:p>
      <w:pPr>
        <w:spacing w:after="0" w:line="84"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Unless the applicable prospectus supplement provides otherwise, we will not receive any of the proceeds from the sale of our securities by selling securityholders.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left="300" w:right="519"/>
        <w:spacing w:after="0" w:line="259" w:lineRule="auto"/>
        <w:rPr>
          <w:sz w:val="20"/>
          <w:szCs w:val="20"/>
          <w:color w:val="auto"/>
        </w:rPr>
      </w:pPr>
      <w:r>
        <w:rPr>
          <w:rFonts w:ascii="Arial" w:cs="Arial" w:eastAsia="Arial" w:hAnsi="Arial"/>
          <w:sz w:val="18"/>
          <w:szCs w:val="18"/>
          <w:color w:val="auto"/>
        </w:rPr>
        <w:t>The following is a summary of some of the terms of our capital stock and certain provisions of our amended and restated certificate of incorporation and amended and restated bylaws, and is qualified by reference to these documents. Copies of these documents have been filed with the SEC as exhibits to our periodic reports, which are incorporated by reference in this prospectus.</w:t>
      </w:r>
    </w:p>
    <w:p>
      <w:pPr>
        <w:spacing w:after="0" w:line="79" w:lineRule="exact"/>
        <w:rPr>
          <w:sz w:val="20"/>
          <w:szCs w:val="20"/>
          <w:color w:val="auto"/>
        </w:rPr>
      </w:pPr>
    </w:p>
    <w:p>
      <w:pPr>
        <w:ind w:left="300" w:right="619"/>
        <w:spacing w:after="0" w:line="263" w:lineRule="auto"/>
        <w:rPr>
          <w:sz w:val="20"/>
          <w:szCs w:val="20"/>
          <w:color w:val="auto"/>
        </w:rPr>
      </w:pPr>
      <w:r>
        <w:rPr>
          <w:rFonts w:ascii="Arial" w:cs="Arial" w:eastAsia="Arial" w:hAnsi="Arial"/>
          <w:sz w:val="18"/>
          <w:szCs w:val="18"/>
          <w:color w:val="auto"/>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Capital Stock</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authorized capital stock is divided into:</w:t>
      </w:r>
    </w:p>
    <w:p>
      <w:pPr>
        <w:spacing w:after="0" w:line="117"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233,333,333 shares of Class 1 common stock with a par value of $0.0001 per share;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746,666,667 shares of Class 2 common stock with a par value of $0.0001 per share;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10,000,000 undesignated shares of preferred stock with a par value of $0.0001 per share.</w:t>
      </w:r>
    </w:p>
    <w:p>
      <w:pPr>
        <w:spacing w:after="0" w:line="117"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As of October 4, 2022, 611,402,319 shares of Class 2 common stock were outstanding. We are seeking to amend our amended and restated certificate of incorporation to eliminate our Class 1 common stock, subject to achieving required shareholder approval of the proposed amendment. There are currently no shares of Class 1 common stock outstanding.</w:t>
      </w:r>
    </w:p>
    <w:p>
      <w:pPr>
        <w:spacing w:after="0" w:line="79"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The rights and restrictions to which the Class 1 common stock and Class 2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300" w:right="379"/>
        <w:spacing w:after="0" w:line="275" w:lineRule="auto"/>
        <w:rPr>
          <w:sz w:val="20"/>
          <w:szCs w:val="20"/>
          <w:color w:val="auto"/>
        </w:rPr>
      </w:pPr>
      <w:r>
        <w:rPr>
          <w:rFonts w:ascii="Arial" w:cs="Arial" w:eastAsia="Arial" w:hAnsi="Arial"/>
          <w:sz w:val="17"/>
          <w:szCs w:val="17"/>
          <w:color w:val="auto"/>
        </w:rPr>
        <w:t>Holders of our Class 1 common stock and Class 2 common stock have identical rights, provided that, except as otherwise expressly provided in our amended and restated certificate of incorporation or required by applicable law, on any matter that is submitted to a vote of our stockholders, each holder of Class 1 common stock is entitled to 10 votes for each share of Class 1 common stock held by such holder and each holder of Class 2 common stock is entitled to one vote for each share of Class 2 common stock held by such holder.</w:t>
      </w:r>
    </w:p>
    <w:p>
      <w:pPr>
        <w:spacing w:after="0" w:line="68" w:lineRule="exact"/>
        <w:rPr>
          <w:sz w:val="20"/>
          <w:szCs w:val="20"/>
          <w:color w:val="auto"/>
        </w:rPr>
      </w:pPr>
    </w:p>
    <w:p>
      <w:pPr>
        <w:ind w:left="300" w:right="459"/>
        <w:spacing w:after="0" w:line="286" w:lineRule="auto"/>
        <w:rPr>
          <w:sz w:val="20"/>
          <w:szCs w:val="20"/>
          <w:color w:val="auto"/>
        </w:rPr>
      </w:pPr>
      <w:r>
        <w:rPr>
          <w:rFonts w:ascii="Arial" w:cs="Arial" w:eastAsia="Arial" w:hAnsi="Arial"/>
          <w:sz w:val="17"/>
          <w:szCs w:val="17"/>
          <w:color w:val="auto"/>
        </w:rPr>
        <w:t>Holders of shares of Class 1 common stock and Class 2 common stock will vote together as a single class on all matters (including the election of directors) submitted to a vote of stockholders, except that there will be a separate vote of our Class 1 common stock and Class 2 common stock in the following circumstances:</w:t>
      </w:r>
    </w:p>
    <w:p>
      <w:pPr>
        <w:spacing w:after="0" w:line="57" w:lineRule="exact"/>
        <w:rPr>
          <w:sz w:val="20"/>
          <w:szCs w:val="20"/>
          <w:color w:val="auto"/>
        </w:rPr>
      </w:pPr>
    </w:p>
    <w:p>
      <w:pPr>
        <w:ind w:left="1000" w:right="35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dividend or distribution of cash, property or shares of our stock paid or distributed by us;</w:t>
      </w:r>
    </w:p>
    <w:p>
      <w:pPr>
        <w:spacing w:after="0" w:line="62"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subdivision or combination of the shares of a class of our common stock; or</w:t>
      </w:r>
    </w:p>
    <w:p>
      <w:pPr>
        <w:spacing w:after="0" w:line="62" w:lineRule="exact"/>
        <w:rPr>
          <w:rFonts w:ascii="Arial" w:cs="Arial" w:eastAsia="Arial" w:hAnsi="Arial"/>
          <w:sz w:val="18"/>
          <w:szCs w:val="18"/>
          <w:color w:val="auto"/>
        </w:rPr>
      </w:pPr>
    </w:p>
    <w:p>
      <w:pPr>
        <w:ind w:left="1000" w:right="599" w:hanging="348"/>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in connection with a liquidation, dissolution or change in control (by merger, asset sale or other similar transaction) with respect to any consideration into which the shares are converted or any consideration paid or otherwise distributed to our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In addition, there will be a separate vote of and approval requirement for our Class 1 common stock in order for us to, directly or indirectly, take action in the following circumstances:</w:t>
      </w:r>
    </w:p>
    <w:p>
      <w:pPr>
        <w:spacing w:after="0" w:line="62" w:lineRule="exact"/>
        <w:rPr>
          <w:sz w:val="20"/>
          <w:szCs w:val="20"/>
          <w:color w:val="auto"/>
        </w:rPr>
      </w:pPr>
    </w:p>
    <w:p>
      <w:pPr>
        <w:ind w:left="1000" w:right="379" w:hanging="348"/>
        <w:spacing w:after="0" w:line="25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propose to amend, waive, alter or repeal any provision of our amended and restated certificate of incorporation or our amended and restated bylaws in a manner that modifies the voting, conversion or other powers, preferences or other special rights or privileges or restrictions of the Class 1 common stock; or</w:t>
      </w:r>
    </w:p>
    <w:p>
      <w:pPr>
        <w:spacing w:after="0" w:line="78"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reclassify any outstanding shares of Class 2 common stock into shares having rights as to dividends or liquidation that are senior to the Class 1 common stock or the right to more than one vote for each share thereof.</w:t>
      </w:r>
    </w:p>
    <w:p>
      <w:pPr>
        <w:spacing w:after="0" w:line="76" w:lineRule="exact"/>
        <w:rPr>
          <w:sz w:val="20"/>
          <w:szCs w:val="20"/>
          <w:color w:val="auto"/>
        </w:rPr>
      </w:pPr>
    </w:p>
    <w:p>
      <w:pPr>
        <w:ind w:left="300" w:right="439"/>
        <w:spacing w:after="0" w:line="286" w:lineRule="auto"/>
        <w:rPr>
          <w:sz w:val="20"/>
          <w:szCs w:val="20"/>
          <w:color w:val="auto"/>
        </w:rPr>
      </w:pPr>
      <w:r>
        <w:rPr>
          <w:rFonts w:ascii="Arial" w:cs="Arial" w:eastAsia="Arial" w:hAnsi="Arial"/>
          <w:sz w:val="17"/>
          <w:szCs w:val="17"/>
          <w:color w:val="auto"/>
        </w:rPr>
        <w:t>Cumulative voting for the election of directors is not provided for in our amended and restated certificate of incorporation, which means that the holder of our Class 1 common stock can elect all of the directors then standing for election as long as it holds approximately 10.01% of all outstanding shares of our capital stock.</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17" w:lineRule="exact"/>
        <w:rPr>
          <w:sz w:val="20"/>
          <w:szCs w:val="20"/>
          <w:color w:val="auto"/>
        </w:rPr>
      </w:pPr>
    </w:p>
    <w:p>
      <w:pPr>
        <w:ind w:left="300" w:right="739"/>
        <w:spacing w:after="0" w:line="259"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outstanding shares of Class 1 common stock and Class 2 common stock are entitled to receive dividends out of funds legally available at the times and in the amounts that our board of directors may determine. We do not anticipate paying any cash dividends in the foreseeable future.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spacing w:after="0" w:line="79" w:lineRule="exact"/>
        <w:rPr>
          <w:sz w:val="20"/>
          <w:szCs w:val="20"/>
          <w:color w:val="auto"/>
        </w:rPr>
      </w:pPr>
    </w:p>
    <w:p>
      <w:pPr>
        <w:ind w:left="300" w:right="419"/>
        <w:spacing w:after="0" w:line="342" w:lineRule="auto"/>
        <w:rPr>
          <w:sz w:val="20"/>
          <w:szCs w:val="20"/>
          <w:color w:val="auto"/>
        </w:rPr>
      </w:pPr>
      <w:r>
        <w:rPr>
          <w:rFonts w:ascii="Arial" w:cs="Arial" w:eastAsia="Arial" w:hAnsi="Arial"/>
          <w:sz w:val="16"/>
          <w:szCs w:val="16"/>
          <w:color w:val="auto"/>
        </w:rPr>
        <w:t>The rights, preferences and privileges of holders of common stock are subject to, and may be adversely affected by, the rights of holders of shares of any series of preferred stock that we may designate and issue in the future.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left="300" w:right="439"/>
        <w:spacing w:after="0" w:line="291" w:lineRule="auto"/>
        <w:rPr>
          <w:sz w:val="20"/>
          <w:szCs w:val="20"/>
          <w:color w:val="auto"/>
        </w:rPr>
      </w:pPr>
      <w:r>
        <w:rPr>
          <w:rFonts w:ascii="Arial" w:cs="Arial" w:eastAsia="Arial" w:hAnsi="Arial"/>
          <w:sz w:val="16"/>
          <w:szCs w:val="16"/>
          <w:color w:val="auto"/>
        </w:rPr>
        <w:t>Each share of Class 1 common stock is convertible at any time at the option of the holder into one share of Class 2 Common stock. In addition, each share of Class 1 common stock will automatically convert into one share of Class</w:t>
      </w:r>
    </w:p>
    <w:p>
      <w:pPr>
        <w:ind w:left="300" w:right="339"/>
        <w:spacing w:after="0" w:line="290" w:lineRule="auto"/>
        <w:rPr>
          <w:sz w:val="20"/>
          <w:szCs w:val="20"/>
          <w:color w:val="auto"/>
        </w:rPr>
      </w:pPr>
      <w:r>
        <w:rPr>
          <w:rFonts w:ascii="Arial" w:cs="Arial" w:eastAsia="Arial" w:hAnsi="Arial"/>
          <w:sz w:val="16"/>
          <w:szCs w:val="16"/>
          <w:color w:val="auto"/>
        </w:rPr>
        <w:t>2 common stock upon any transfer, whether or not for value and whether voluntary or involuntary or by operation of law, except for certain transfers described in our amended and restated certificate of incorporation, including, without limitation, certain transfers for tax and estate planning purposes. In addition, upon the date on which the outstanding shares of Class 1 common stock represent less than 10% of the aggregate number of shares of Class 1 common stock and Class 2 common stock then outstanding, all outstanding shares of Class 1 common stock shall convert automatically into Class 2 common stock, and no additional shares of Class 1 common stock will be issued.</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of Repurchase</w:t>
      </w:r>
    </w:p>
    <w:p>
      <w:pPr>
        <w:spacing w:after="0" w:line="117" w:lineRule="exact"/>
        <w:rPr>
          <w:sz w:val="20"/>
          <w:szCs w:val="20"/>
          <w:color w:val="auto"/>
        </w:rPr>
      </w:pPr>
    </w:p>
    <w:p>
      <w:pPr>
        <w:ind w:left="300" w:right="799"/>
        <w:spacing w:after="0" w:line="277" w:lineRule="auto"/>
        <w:rPr>
          <w:sz w:val="20"/>
          <w:szCs w:val="20"/>
          <w:color w:val="auto"/>
        </w:rPr>
      </w:pPr>
      <w:r>
        <w:rPr>
          <w:rFonts w:ascii="Arial" w:cs="Arial" w:eastAsia="Arial" w:hAnsi="Arial"/>
          <w:sz w:val="18"/>
          <w:szCs w:val="18"/>
          <w:color w:val="auto"/>
        </w:rPr>
        <w:t>We currently have no rights to repurchase shares of our common stock, except as described in “—Options and Restricted Stock Units” below.</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common stock is not entitled to preemptive rights and is not subject to redemption.</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Options and Restricted Stock Units</w:t>
      </w:r>
    </w:p>
    <w:p>
      <w:pPr>
        <w:spacing w:after="0" w:line="121"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As of October 4, 2022, 4,714,929 shares of Class 2 common stock were issuable upon the exercise of outstanding stock options and 17,239,692 shares of Class 2 common stock were issuable upon vesting of RSUs. Pursuant to the terms of our standard option agreement, we have a right to repurchase shares of our common stock issued upon the exercise of options granted under the Amended and Restated 2018 Equity Incentive Plan if the holder of such shares ceases providing services for us for any reason.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300" w:right="399"/>
        <w:spacing w:after="0" w:line="287" w:lineRule="auto"/>
        <w:rPr>
          <w:sz w:val="20"/>
          <w:szCs w:val="20"/>
          <w:color w:val="auto"/>
        </w:rPr>
      </w:pPr>
      <w:r>
        <w:rPr>
          <w:rFonts w:ascii="Arial" w:cs="Arial" w:eastAsia="Arial" w:hAnsi="Arial"/>
          <w:sz w:val="16"/>
          <w:szCs w:val="16"/>
          <w:color w:val="auto"/>
        </w:rPr>
        <w:t>Pursuant to our amended and restated certificate of incorporation, our board of directors has the authority, without further action by the stockholders, to issue shares of preferred stock in one or more series. Our board of directors also has the authority to determine or alter the designation, rights, preferences, privileges and restrictions granted to or imposed upon any unissued series of preferred stock, any or all of which may be greater than the rights of the Class 1 common stock and Class 2 common stock. Our board of directors, without stockholder approval, may issue preferred stock with voting, conversion or other rights that are superior to the voting and other rights of the holders of Class 1 common stock and Class 2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Class 2 common stock and may adversely affect the voting power of holders of Class 1 common stock and Class 2 common stock and reduce the likelihood that Class 1 common stock and Class 2 common stockholders will receive dividend payments and payments upon liquidation.</w:t>
      </w:r>
    </w:p>
    <w:p>
      <w:pPr>
        <w:spacing w:after="0" w:line="60"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Our board of directors will determine the rights, preferences, privileges and restrictions of the preferred stock of each series that we sell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the certificate of designation that describes the terms of the series of preferred stock that we are offering before the issuance of the related series of preferred stock. This description will include:</w:t>
      </w:r>
    </w:p>
    <w:p>
      <w:pPr>
        <w:spacing w:after="0" w:line="84"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dividend rate per share, dividend period and payment dates and method of calculation for dividends;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right, if any, to defer payment of dividends and the maximum length of any such deferral period;</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17"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17" w:lineRule="exact"/>
        <w:rPr>
          <w:rFonts w:ascii="Arial" w:cs="Arial" w:eastAsia="Arial" w:hAnsi="Arial"/>
          <w:sz w:val="18"/>
          <w:szCs w:val="18"/>
          <w:color w:val="auto"/>
        </w:rPr>
      </w:pPr>
    </w:p>
    <w:p>
      <w:pPr>
        <w:ind w:left="1000" w:right="439" w:hanging="348"/>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Class 2 common stock or other securities of ours, including warrants, and, if applicable, the conversion period, the conversion price, or how it will be calculated, and under what circumstances it may be adjusted;</w:t>
      </w:r>
    </w:p>
    <w:p>
      <w:pPr>
        <w:spacing w:after="0" w:line="75" w:lineRule="exact"/>
        <w:rPr>
          <w:rFonts w:ascii="Arial" w:cs="Arial" w:eastAsia="Arial" w:hAnsi="Arial"/>
          <w:sz w:val="18"/>
          <w:szCs w:val="18"/>
          <w:color w:val="auto"/>
        </w:rPr>
      </w:pPr>
    </w:p>
    <w:p>
      <w:pPr>
        <w:ind w:left="1000" w:right="399" w:hanging="348"/>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preferred stock will be exchangeable for debt securities, and, if applicable, the exchange period, the exchange price, or how it will be calculated, and under what circumstances it may be adjusted;</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17"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45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if we liquidate, dissolve or wind up our affairs;</w:t>
      </w:r>
    </w:p>
    <w:p>
      <w:pPr>
        <w:spacing w:after="0" w:line="62" w:lineRule="exact"/>
        <w:rPr>
          <w:rFonts w:ascii="Arial" w:cs="Arial" w:eastAsia="Arial" w:hAnsi="Arial"/>
          <w:sz w:val="18"/>
          <w:szCs w:val="18"/>
          <w:color w:val="auto"/>
        </w:rPr>
      </w:pPr>
    </w:p>
    <w:p>
      <w:pPr>
        <w:jc w:val="both"/>
        <w:ind w:left="1000" w:right="439" w:hanging="348"/>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other specific terms, rights, preferences, privileges, qualifications or restrictions of the preferred stock.</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When we issue shares of preferred stock under this prospectus, the shares will be fully paid and nonassessable.</w:t>
      </w:r>
    </w:p>
    <w:p>
      <w:pPr>
        <w:spacing w:after="0" w:line="140"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Unless we specify otherwise in the applicable prospectus supplement, the preferred stock will rank, with respect to dividends and upon our liquidation, dissolution or winding up:</w:t>
      </w:r>
    </w:p>
    <w:p>
      <w:pPr>
        <w:spacing w:after="0" w:line="62" w:lineRule="exact"/>
        <w:rPr>
          <w:sz w:val="20"/>
          <w:szCs w:val="20"/>
          <w:color w:val="auto"/>
        </w:rPr>
      </w:pPr>
    </w:p>
    <w:p>
      <w:pPr>
        <w:ind w:left="1000" w:right="45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62" w:lineRule="exact"/>
        <w:rPr>
          <w:rFonts w:ascii="Arial" w:cs="Arial" w:eastAsia="Arial" w:hAnsi="Arial"/>
          <w:sz w:val="18"/>
          <w:szCs w:val="18"/>
          <w:color w:val="auto"/>
        </w:rPr>
      </w:pPr>
    </w:p>
    <w:p>
      <w:pPr>
        <w:ind w:left="1000" w:right="101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junior to all of our equity securities the terms of which specifically provide that the equity securities rank senior to the preferred stock.</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17"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Provisions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Among other things, our amended and restated certificate of incorporation and amended and restated bylaws:</w:t>
      </w:r>
    </w:p>
    <w:p>
      <w:pPr>
        <w:spacing w:after="0" w:line="129" w:lineRule="exact"/>
        <w:rPr>
          <w:sz w:val="20"/>
          <w:szCs w:val="20"/>
          <w:color w:val="auto"/>
        </w:rPr>
      </w:pPr>
    </w:p>
    <w:p>
      <w:pPr>
        <w:ind w:left="1000" w:right="619" w:hanging="348"/>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permits our board of directors to issue up to 10,000,000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provides that the authorized number of directors may be changed only by resolution of our board of directors;</w:t>
      </w:r>
    </w:p>
    <w:p>
      <w:pPr>
        <w:spacing w:after="0" w:line="62" w:lineRule="exact"/>
        <w:rPr>
          <w:rFonts w:ascii="Arial" w:cs="Arial" w:eastAsia="Arial" w:hAnsi="Arial"/>
          <w:sz w:val="18"/>
          <w:szCs w:val="18"/>
          <w:color w:val="auto"/>
        </w:rPr>
      </w:pPr>
    </w:p>
    <w:p>
      <w:pPr>
        <w:ind w:left="1000" w:right="339" w:hanging="348"/>
        <w:spacing w:after="0" w:line="246"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provides that, subject to the rights of any series of preferred stock to elect directors, directors may be removed with or without cause, by the holders of a majority of our then-outstanding shares of capital stock entitled to vote generally at an election of directors for so long as key holders (including Privateer Holdings, Brendan Kennedy, Michael Blue, or Christian Groh or their permitted entities or transferees) holds a majority of our then-outstanding shares of capital stock entitled to vote generally at an election of directors, or otherwise by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all of our then-outstanding shares of the capital stock entitled to vote generally at an election of directors;</w:t>
      </w:r>
    </w:p>
    <w:p>
      <w:pPr>
        <w:spacing w:after="0" w:line="87" w:lineRule="exact"/>
        <w:rPr>
          <w:rFonts w:ascii="Arial" w:cs="Arial" w:eastAsia="Arial" w:hAnsi="Arial"/>
          <w:sz w:val="17"/>
          <w:szCs w:val="17"/>
          <w:color w:val="auto"/>
        </w:rPr>
      </w:pPr>
    </w:p>
    <w:p>
      <w:pPr>
        <w:jc w:val="both"/>
        <w:ind w:left="1000" w:right="519" w:hanging="348"/>
        <w:spacing w:after="0" w:line="342"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provides that all vacancies, including newly created directorships, may, except as otherwise required by law, be filled by the affirmative vote of a majority of directors then in office, even if less than a quorum;</w:t>
      </w:r>
    </w:p>
    <w:p>
      <w:pPr>
        <w:spacing w:after="0" w:line="15" w:lineRule="exact"/>
        <w:rPr>
          <w:rFonts w:ascii="Arial" w:cs="Arial" w:eastAsia="Arial" w:hAnsi="Arial"/>
          <w:sz w:val="16"/>
          <w:szCs w:val="16"/>
          <w:color w:val="auto"/>
        </w:rPr>
      </w:pPr>
    </w:p>
    <w:p>
      <w:pPr>
        <w:ind w:left="1000" w:right="319" w:hanging="348"/>
        <w:spacing w:after="0" w:line="311"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provides that any action to be taken by our stockholders may be taken by written consent or electronic transmission pursuant to Section 228 of the Delaware General Corporation Law, so long as the key holders hold a majority of our then-outstanding capital stock entitled to vote generally at an election of directors;</w:t>
      </w:r>
    </w:p>
    <w:p>
      <w:pPr>
        <w:spacing w:after="0" w:line="40" w:lineRule="exact"/>
        <w:rPr>
          <w:rFonts w:ascii="Arial" w:cs="Arial" w:eastAsia="Arial" w:hAnsi="Arial"/>
          <w:sz w:val="16"/>
          <w:szCs w:val="16"/>
          <w:color w:val="auto"/>
        </w:rPr>
      </w:pPr>
    </w:p>
    <w:p>
      <w:pPr>
        <w:jc w:val="both"/>
        <w:ind w:left="1000" w:right="559" w:hanging="348"/>
        <w:spacing w:after="0" w:line="286"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579" w:hanging="348"/>
        <w:spacing w:after="0" w:line="255"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provides that special meetings of our stockholders may be called by the chairperson of our board of directors, our chief executive officer, by our board of directors pursuant to a resolution adopted by a majority of the total number of authorized directors or, for so long as the key holders hold a majority of our then-outstanding capital stock entitled to vote generally at an election of directors, one or more stockholders that in the aggregate represent at least 50% of the total votes entitled to be cast at the meeting;</w:t>
      </w:r>
    </w:p>
    <w:p>
      <w:pPr>
        <w:spacing w:after="0" w:line="84" w:lineRule="exact"/>
        <w:rPr>
          <w:rFonts w:ascii="Arial" w:cs="Arial" w:eastAsia="Arial" w:hAnsi="Arial"/>
          <w:sz w:val="18"/>
          <w:szCs w:val="18"/>
          <w:color w:val="auto"/>
        </w:rPr>
      </w:pPr>
    </w:p>
    <w:p>
      <w:pPr>
        <w:jc w:val="both"/>
        <w:ind w:left="1000" w:right="399" w:hanging="348"/>
        <w:spacing w:after="0" w:line="286"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provides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57" w:lineRule="exact"/>
        <w:rPr>
          <w:rFonts w:ascii="Arial" w:cs="Arial" w:eastAsia="Arial" w:hAnsi="Arial"/>
          <w:sz w:val="17"/>
          <w:szCs w:val="17"/>
          <w:color w:val="auto"/>
        </w:rPr>
      </w:pPr>
    </w:p>
    <w:p>
      <w:pPr>
        <w:ind w:left="1000" w:right="319" w:hanging="348"/>
        <w:spacing w:after="0" w:line="249"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does not provide for cumulative voting rights, unless required by law, therefore allowing the holders of a majority of the shares of common stock entitled to vote in any election of directors to elect all of the directors standing for election, if they should so choose. For so long as Privateer Holdings holds a majority of our then-outstanding capital stock entitled to vote generally at an election of directors, the amendment of any of these provisions would require approval of the holders of a majority of all of our then-outstanding capital stock entitled to vote generally in the election of directors; otherwise, the amendment of any of these provisions would require approval by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all of our then-outstanding capital stock entitled to vote generally in the election of directors.</w:t>
      </w:r>
    </w:p>
    <w:p>
      <w:pPr>
        <w:spacing w:after="0" w:line="82" w:lineRule="exact"/>
        <w:rPr>
          <w:sz w:val="20"/>
          <w:szCs w:val="20"/>
          <w:color w:val="auto"/>
        </w:rPr>
      </w:pPr>
    </w:p>
    <w:p>
      <w:pPr>
        <w:ind w:left="300" w:right="299"/>
        <w:spacing w:after="0" w:line="293" w:lineRule="auto"/>
        <w:rPr>
          <w:sz w:val="20"/>
          <w:szCs w:val="20"/>
          <w:color w:val="auto"/>
        </w:rPr>
      </w:pPr>
      <w:r>
        <w:rPr>
          <w:rFonts w:ascii="Arial" w:cs="Arial" w:eastAsia="Arial" w:hAnsi="Arial"/>
          <w:sz w:val="16"/>
          <w:szCs w:val="16"/>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56" w:lineRule="exact"/>
        <w:rPr>
          <w:sz w:val="20"/>
          <w:szCs w:val="20"/>
          <w:color w:val="auto"/>
        </w:rPr>
      </w:pPr>
    </w:p>
    <w:p>
      <w:pPr>
        <w:ind w:left="300" w:right="579"/>
        <w:spacing w:after="0" w:line="293"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300" w:right="419"/>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our amended and restated bylaws or (v) any action asserting a claim against us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If a court were to find the exclusive-forum provision in our amended and restated certificate of incorporation to be inapplicable or unenforceable in an action, we may incur additional costs associated with resolving the dispute in other jurisdictions.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The transfer agent and registrar for our Class 2 common stock is Pacific Stock Transfer Company. The transfer agent and registrar’s address is 6725 Via Austi Parkway, Ste. 300, Las Vegas, NV, 89119 and its phone number is (800)</w:t>
      </w:r>
    </w:p>
    <w:p>
      <w:pPr>
        <w:ind w:left="300"/>
        <w:spacing w:after="0"/>
        <w:rPr>
          <w:sz w:val="20"/>
          <w:szCs w:val="20"/>
          <w:color w:val="auto"/>
        </w:rPr>
      </w:pPr>
      <w:r>
        <w:rPr>
          <w:rFonts w:ascii="Arial" w:cs="Arial" w:eastAsia="Arial" w:hAnsi="Arial"/>
          <w:sz w:val="18"/>
          <w:szCs w:val="18"/>
          <w:color w:val="auto"/>
        </w:rPr>
        <w:t>785-7782.</w:t>
      </w:r>
    </w:p>
    <w:p>
      <w:pPr>
        <w:spacing w:after="0" w:line="3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Class 2 common stock is listed on the Nasdaq Global Select Market under the symbol “TLRY.”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or selling securityholders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69"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84"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or selling securityholders may offer under this prospectus, as well as the complete indenture that contains the terms of the debt securities.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84"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84"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62"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or not the debt securities will be secured or unsecured, and the terms of any secured debt;</w:t>
      </w:r>
    </w:p>
    <w:p>
      <w:pPr>
        <w:spacing w:after="0" w:line="128" w:lineRule="exact"/>
        <w:rPr>
          <w:rFonts w:ascii="Arial" w:cs="Arial" w:eastAsia="Arial" w:hAnsi="Arial"/>
          <w:sz w:val="17"/>
          <w:szCs w:val="17"/>
          <w:color w:val="auto"/>
        </w:rPr>
      </w:pPr>
    </w:p>
    <w:p>
      <w:pPr>
        <w:ind w:left="1000" w:right="95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62" w:lineRule="exact"/>
        <w:rPr>
          <w:rFonts w:ascii="Arial" w:cs="Arial" w:eastAsia="Arial" w:hAnsi="Arial"/>
          <w:sz w:val="18"/>
          <w:szCs w:val="18"/>
          <w:color w:val="auto"/>
        </w:rPr>
      </w:pPr>
    </w:p>
    <w:p>
      <w:pPr>
        <w:ind w:left="1000" w:right="739" w:hanging="348"/>
        <w:spacing w:after="0" w:line="275"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35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right, if any, to defer payment of interest and the maximum length of any such deferral period;</w:t>
      </w:r>
    </w:p>
    <w:p>
      <w:pPr>
        <w:spacing w:after="0" w:line="88" w:lineRule="exact"/>
        <w:rPr>
          <w:rFonts w:ascii="Arial" w:cs="Arial" w:eastAsia="Arial" w:hAnsi="Arial"/>
          <w:sz w:val="17"/>
          <w:szCs w:val="17"/>
          <w:color w:val="auto"/>
        </w:rPr>
      </w:pPr>
    </w:p>
    <w:p>
      <w:pPr>
        <w:ind w:left="1000" w:right="35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35" w:lineRule="exact"/>
        <w:rPr>
          <w:rFonts w:ascii="Arial" w:cs="Arial" w:eastAsia="Arial" w:hAnsi="Arial"/>
          <w:sz w:val="18"/>
          <w:szCs w:val="18"/>
          <w:color w:val="auto"/>
        </w:rPr>
      </w:pPr>
    </w:p>
    <w:p>
      <w:pPr>
        <w:ind w:left="1000" w:right="419" w:hanging="348"/>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51"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21" w:lineRule="exact"/>
        <w:rPr>
          <w:rFonts w:ascii="Arial" w:cs="Arial" w:eastAsia="Arial" w:hAnsi="Arial"/>
          <w:sz w:val="18"/>
          <w:szCs w:val="18"/>
          <w:color w:val="auto"/>
        </w:rPr>
      </w:pPr>
    </w:p>
    <w:p>
      <w:pPr>
        <w:ind w:left="1000" w:right="379" w:hanging="348"/>
        <w:spacing w:after="0" w:line="28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6" w:lineRule="exact"/>
        <w:rPr>
          <w:rFonts w:ascii="Arial" w:cs="Arial" w:eastAsia="Arial" w:hAnsi="Arial"/>
          <w:sz w:val="17"/>
          <w:szCs w:val="17"/>
          <w:color w:val="auto"/>
        </w:rPr>
      </w:pPr>
    </w:p>
    <w:p>
      <w:pPr>
        <w:ind w:left="1000" w:right="359" w:hanging="348"/>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51" w:lineRule="exact"/>
        <w:rPr>
          <w:rFonts w:ascii="Arial" w:cs="Arial" w:eastAsia="Arial" w:hAnsi="Arial"/>
          <w:sz w:val="18"/>
          <w:szCs w:val="18"/>
          <w:color w:val="auto"/>
        </w:rPr>
      </w:pPr>
    </w:p>
    <w:p>
      <w:pPr>
        <w:ind w:left="1000" w:right="319" w:hanging="348"/>
        <w:spacing w:after="0" w:line="296"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2" w:lineRule="exact"/>
        <w:rPr>
          <w:rFonts w:ascii="Arial" w:cs="Arial" w:eastAsia="Arial" w:hAnsi="Arial"/>
          <w:sz w:val="16"/>
          <w:szCs w:val="16"/>
          <w:color w:val="auto"/>
        </w:rPr>
      </w:pPr>
    </w:p>
    <w:p>
      <w:pPr>
        <w:ind w:left="1000" w:right="419" w:hanging="348"/>
        <w:spacing w:after="0" w:line="30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other than the full principal amount thereof, the portion of the principal amount of debt securities of the series which shall be payable upon declaration of acceleration of the maturity thereof;</w:t>
      </w:r>
    </w:p>
    <w:p>
      <w:pPr>
        <w:spacing w:after="0" w:line="1" w:lineRule="exact"/>
        <w:rPr>
          <w:rFonts w:ascii="Arial" w:cs="Arial" w:eastAsia="Arial" w:hAnsi="Arial"/>
          <w:sz w:val="17"/>
          <w:szCs w:val="17"/>
          <w:color w:val="auto"/>
        </w:rPr>
      </w:pPr>
    </w:p>
    <w:p>
      <w:pPr>
        <w:ind w:left="1000" w:right="33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35" w:lineRule="exact"/>
        <w:rPr>
          <w:rFonts w:ascii="Arial" w:cs="Arial" w:eastAsia="Arial" w:hAnsi="Arial"/>
          <w:sz w:val="18"/>
          <w:szCs w:val="18"/>
          <w:color w:val="auto"/>
        </w:rPr>
      </w:pPr>
    </w:p>
    <w:p>
      <w:pPr>
        <w:jc w:val="both"/>
        <w:ind w:left="1000" w:right="35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35" w:lineRule="exact"/>
        <w:rPr>
          <w:rFonts w:ascii="Arial" w:cs="Arial" w:eastAsia="Arial" w:hAnsi="Arial"/>
          <w:sz w:val="18"/>
          <w:szCs w:val="18"/>
          <w:color w:val="auto"/>
        </w:rPr>
      </w:pPr>
    </w:p>
    <w:p>
      <w:pPr>
        <w:ind w:left="1000" w:right="10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90" w:lineRule="exact"/>
        <w:rPr>
          <w:rFonts w:ascii="Arial" w:cs="Arial" w:eastAsia="Arial" w:hAnsi="Arial"/>
          <w:sz w:val="18"/>
          <w:szCs w:val="18"/>
          <w:color w:val="auto"/>
        </w:rPr>
      </w:pPr>
    </w:p>
    <w:p>
      <w:pPr>
        <w:ind w:left="1000" w:right="87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21"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of payment of debt securities if other than U.S. dollars and the manner of determining the equivalent amount in U.S. dollars;</w:t>
      </w:r>
    </w:p>
    <w:p>
      <w:pPr>
        <w:spacing w:after="0" w:line="21"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35" w:lineRule="exact"/>
        <w:rPr>
          <w:rFonts w:ascii="Arial" w:cs="Arial" w:eastAsia="Arial" w:hAnsi="Arial"/>
          <w:sz w:val="18"/>
          <w:szCs w:val="18"/>
          <w:color w:val="auto"/>
        </w:rPr>
      </w:pPr>
    </w:p>
    <w:p>
      <w:pPr>
        <w:jc w:val="both"/>
        <w:ind w:left="1000" w:right="89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76" w:lineRule="exact"/>
        <w:rPr>
          <w:rFonts w:ascii="Arial" w:cs="Arial" w:eastAsia="Arial" w:hAnsi="Arial"/>
          <w:sz w:val="18"/>
          <w:szCs w:val="18"/>
          <w:color w:val="auto"/>
        </w:rPr>
      </w:pPr>
    </w:p>
    <w:p>
      <w:pPr>
        <w:ind w:left="1000" w:right="43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300" w:right="339"/>
        <w:spacing w:after="0" w:line="296" w:lineRule="auto"/>
        <w:rPr>
          <w:sz w:val="20"/>
          <w:szCs w:val="20"/>
          <w:color w:val="auto"/>
        </w:rPr>
      </w:pPr>
      <w:r>
        <w:rPr>
          <w:rFonts w:ascii="Arial" w:cs="Arial" w:eastAsia="Arial" w:hAnsi="Arial"/>
          <w:sz w:val="16"/>
          <w:szCs w:val="16"/>
          <w:color w:val="auto"/>
        </w:rPr>
        <w:t>We will set forth in the applicable prospectus supplement the terms on which a series of debt securities may be convertible into or exchangeable for our Class 2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2 common stock or our other securities that the holders of the series of debt securities receive would be subject to adjustment.</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left="300" w:right="559"/>
        <w:spacing w:after="0" w:line="342" w:lineRule="auto"/>
        <w:rPr>
          <w:sz w:val="20"/>
          <w:szCs w:val="20"/>
          <w:color w:val="auto"/>
        </w:rPr>
      </w:pPr>
      <w:r>
        <w:rPr>
          <w:rFonts w:ascii="Arial" w:cs="Arial" w:eastAsia="Arial" w:hAnsi="Arial"/>
          <w:sz w:val="16"/>
          <w:szCs w:val="16"/>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6" w:lineRule="exact"/>
        <w:rPr>
          <w:sz w:val="20"/>
          <w:szCs w:val="20"/>
          <w:color w:val="auto"/>
        </w:rPr>
      </w:pPr>
    </w:p>
    <w:p>
      <w:pPr>
        <w:ind w:left="1000" w:right="639" w:hanging="348"/>
        <w:spacing w:after="0" w:line="301"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49" w:lineRule="exact"/>
        <w:rPr>
          <w:rFonts w:ascii="Arial" w:cs="Arial" w:eastAsia="Arial" w:hAnsi="Arial"/>
          <w:sz w:val="16"/>
          <w:szCs w:val="16"/>
          <w:color w:val="auto"/>
        </w:rPr>
      </w:pPr>
    </w:p>
    <w:p>
      <w:pPr>
        <w:ind w:left="1000" w:right="319" w:hanging="348"/>
        <w:spacing w:after="0" w:line="255"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4" w:lineRule="exact"/>
        <w:rPr>
          <w:rFonts w:ascii="Arial" w:cs="Arial" w:eastAsia="Arial" w:hAnsi="Arial"/>
          <w:sz w:val="18"/>
          <w:szCs w:val="18"/>
          <w:color w:val="auto"/>
        </w:rPr>
      </w:pPr>
    </w:p>
    <w:p>
      <w:pPr>
        <w:ind w:left="1000" w:right="579" w:hanging="348"/>
        <w:spacing w:after="0" w:line="296"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53" w:lineRule="exact"/>
        <w:rPr>
          <w:rFonts w:ascii="Arial" w:cs="Arial" w:eastAsia="Arial" w:hAnsi="Arial"/>
          <w:sz w:val="16"/>
          <w:szCs w:val="16"/>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117" w:lineRule="exact"/>
        <w:rPr>
          <w:sz w:val="20"/>
          <w:szCs w:val="20"/>
          <w:color w:val="auto"/>
        </w:rPr>
      </w:pPr>
    </w:p>
    <w:p>
      <w:pPr>
        <w:ind w:left="300" w:right="339"/>
        <w:spacing w:after="0" w:line="272" w:lineRule="auto"/>
        <w:rPr>
          <w:sz w:val="20"/>
          <w:szCs w:val="20"/>
          <w:color w:val="auto"/>
        </w:rPr>
      </w:pPr>
      <w:r>
        <w:rPr>
          <w:rFonts w:ascii="Arial" w:cs="Arial" w:eastAsia="Arial" w:hAnsi="Arial"/>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69" w:lineRule="exact"/>
        <w:rPr>
          <w:sz w:val="20"/>
          <w:szCs w:val="20"/>
          <w:color w:val="auto"/>
        </w:rPr>
      </w:pPr>
    </w:p>
    <w:p>
      <w:pPr>
        <w:ind w:left="300" w:right="399"/>
        <w:spacing w:after="0" w:line="279"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63" w:lineRule="exact"/>
        <w:rPr>
          <w:sz w:val="20"/>
          <w:szCs w:val="20"/>
          <w:color w:val="auto"/>
        </w:rPr>
      </w:pPr>
    </w:p>
    <w:p>
      <w:pPr>
        <w:ind w:left="300" w:right="659"/>
        <w:spacing w:after="0" w:line="311" w:lineRule="auto"/>
        <w:rPr>
          <w:sz w:val="20"/>
          <w:szCs w:val="20"/>
          <w:color w:val="auto"/>
        </w:rPr>
      </w:pPr>
      <w:r>
        <w:rPr>
          <w:rFonts w:ascii="Arial" w:cs="Arial" w:eastAsia="Arial" w:hAnsi="Arial"/>
          <w:sz w:val="16"/>
          <w:szCs w:val="16"/>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9" w:lineRule="exact"/>
        <w:rPr>
          <w:sz w:val="20"/>
          <w:szCs w:val="20"/>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subject to its duties under the Trust Indenture Act, the trustee need not take any action that might involve it in personal liability or might be unduly prejudicial to the holders not involved in the proceeding.</w:t>
      </w:r>
    </w:p>
    <w:p>
      <w:pPr>
        <w:spacing w:after="0" w:line="16" w:lineRule="exact"/>
        <w:rPr>
          <w:sz w:val="20"/>
          <w:szCs w:val="20"/>
          <w:color w:val="auto"/>
        </w:rPr>
      </w:pPr>
    </w:p>
    <w:p>
      <w:pPr>
        <w:ind w:left="300" w:right="639"/>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62" w:lineRule="exact"/>
        <w:rPr>
          <w:sz w:val="20"/>
          <w:szCs w:val="20"/>
          <w:color w:val="auto"/>
        </w:rPr>
      </w:pPr>
    </w:p>
    <w:p>
      <w:pPr>
        <w:ind w:left="1000" w:hanging="348"/>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holder has given written notice to the trustee of a continuing event of default with respect to that series;</w:t>
      </w:r>
    </w:p>
    <w:p>
      <w:pPr>
        <w:spacing w:after="0" w:line="140" w:lineRule="exact"/>
        <w:rPr>
          <w:rFonts w:ascii="Arial" w:cs="Arial" w:eastAsia="Arial" w:hAnsi="Arial"/>
          <w:sz w:val="16"/>
          <w:szCs w:val="16"/>
          <w:color w:val="auto"/>
        </w:rPr>
      </w:pPr>
    </w:p>
    <w:p>
      <w:pPr>
        <w:ind w:left="1000" w:right="419" w:hanging="348"/>
        <w:spacing w:after="0" w:line="311"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the outstanding debt securities of that series have made written request, such holders have offered to the trustee indemnity satisfactory to it against the costs, expenses and liabilities to be incurred by the trustee in compliance with the request; and</w:t>
      </w:r>
    </w:p>
    <w:p>
      <w:pPr>
        <w:spacing w:after="0" w:line="40" w:lineRule="exact"/>
        <w:rPr>
          <w:rFonts w:ascii="Arial" w:cs="Arial" w:eastAsia="Arial" w:hAnsi="Arial"/>
          <w:sz w:val="16"/>
          <w:szCs w:val="16"/>
          <w:color w:val="auto"/>
        </w:rPr>
      </w:pPr>
    </w:p>
    <w:p>
      <w:pPr>
        <w:ind w:left="1000" w:right="659" w:hanging="34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76" w:lineRule="exact"/>
        <w:rPr>
          <w:sz w:val="20"/>
          <w:szCs w:val="20"/>
          <w:color w:val="auto"/>
        </w:rPr>
      </w:pPr>
    </w:p>
    <w:p>
      <w:pPr>
        <w:ind w:left="300" w:right="559"/>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62" w:lineRule="exact"/>
        <w:rPr>
          <w:sz w:val="20"/>
          <w:szCs w:val="20"/>
          <w:color w:val="auto"/>
        </w:rPr>
      </w:pPr>
    </w:p>
    <w:p>
      <w:pPr>
        <w:ind w:left="300" w:right="859"/>
        <w:spacing w:after="0" w:line="277" w:lineRule="auto"/>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Modification of Indenture; Waiver</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and the trustee may change an indenture without the consent of any holders with respect to specific matters:</w:t>
      </w:r>
    </w:p>
    <w:p>
      <w:pPr>
        <w:spacing w:after="0" w:line="140" w:lineRule="exact"/>
        <w:rPr>
          <w:sz w:val="20"/>
          <w:szCs w:val="20"/>
          <w:color w:val="auto"/>
        </w:rPr>
      </w:pPr>
    </w:p>
    <w:p>
      <w:pPr>
        <w:ind w:left="1000" w:hanging="348"/>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the debt securities of any series;</w:t>
      </w:r>
    </w:p>
    <w:p>
      <w:pPr>
        <w:spacing w:after="0" w:line="128" w:lineRule="exact"/>
        <w:rPr>
          <w:rFonts w:ascii="Arial" w:cs="Arial" w:eastAsia="Arial" w:hAnsi="Arial"/>
          <w:sz w:val="17"/>
          <w:szCs w:val="17"/>
          <w:color w:val="auto"/>
        </w:rPr>
      </w:pPr>
    </w:p>
    <w:p>
      <w:pPr>
        <w:ind w:left="1000" w:right="83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the heading “Description of Debt Securities— Consolidation, Merger or Sale;”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17" w:lineRule="exact"/>
        <w:rPr>
          <w:rFonts w:ascii="Arial" w:cs="Arial" w:eastAsia="Arial" w:hAnsi="Arial"/>
          <w:sz w:val="18"/>
          <w:szCs w:val="18"/>
          <w:color w:val="auto"/>
        </w:rPr>
      </w:pPr>
    </w:p>
    <w:p>
      <w:pPr>
        <w:ind w:left="1000" w:right="319" w:hanging="348"/>
        <w:spacing w:after="0" w:line="301"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49" w:lineRule="exact"/>
        <w:rPr>
          <w:rFonts w:ascii="Arial" w:cs="Arial" w:eastAsia="Arial" w:hAnsi="Arial"/>
          <w:sz w:val="16"/>
          <w:szCs w:val="16"/>
          <w:color w:val="auto"/>
        </w:rPr>
      </w:pPr>
    </w:p>
    <w:p>
      <w:pPr>
        <w:ind w:left="1000" w:right="659" w:hanging="348"/>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add to, delete from or revise the conditions, limitations, and restrictions on the authorized amount, terms, or purposes of issue, authentication and delivery of debt securities, as set forth in the indenture;</w:t>
      </w:r>
    </w:p>
    <w:p>
      <w:pPr>
        <w:spacing w:after="0" w:line="15" w:lineRule="exact"/>
        <w:rPr>
          <w:rFonts w:ascii="Arial" w:cs="Arial" w:eastAsia="Arial" w:hAnsi="Arial"/>
          <w:sz w:val="16"/>
          <w:szCs w:val="16"/>
          <w:color w:val="auto"/>
        </w:rPr>
      </w:pPr>
    </w:p>
    <w:p>
      <w:pPr>
        <w:ind w:left="1000" w:right="73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62" w:lineRule="exact"/>
        <w:rPr>
          <w:rFonts w:ascii="Arial" w:cs="Arial" w:eastAsia="Arial" w:hAnsi="Arial"/>
          <w:sz w:val="18"/>
          <w:szCs w:val="18"/>
          <w:color w:val="auto"/>
        </w:rPr>
      </w:pPr>
    </w:p>
    <w:p>
      <w:pPr>
        <w:ind w:left="1000" w:right="379" w:hanging="348"/>
        <w:spacing w:after="0" w:line="279"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above under the heading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63" w:lineRule="exact"/>
        <w:rPr>
          <w:rFonts w:ascii="Arial" w:cs="Arial" w:eastAsia="Arial" w:hAnsi="Arial"/>
          <w:sz w:val="17"/>
          <w:szCs w:val="17"/>
          <w:color w:val="auto"/>
        </w:rPr>
      </w:pPr>
    </w:p>
    <w:p>
      <w:pPr>
        <w:ind w:left="1000" w:hanging="348"/>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any indenture by a successor trustee; or</w:t>
      </w:r>
    </w:p>
    <w:p>
      <w:pPr>
        <w:spacing w:after="0" w:line="140" w:lineRule="exact"/>
        <w:rPr>
          <w:rFonts w:ascii="Arial" w:cs="Arial" w:eastAsia="Arial" w:hAnsi="Arial"/>
          <w:sz w:val="16"/>
          <w:szCs w:val="16"/>
          <w:color w:val="auto"/>
        </w:rPr>
      </w:pPr>
    </w:p>
    <w:p>
      <w:pPr>
        <w:ind w:left="1000" w:right="5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68" w:lineRule="exact"/>
        <w:rPr>
          <w:sz w:val="20"/>
          <w:szCs w:val="20"/>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17" w:lineRule="exact"/>
        <w:rPr>
          <w:rFonts w:ascii="Arial" w:cs="Arial" w:eastAsia="Arial" w:hAnsi="Arial"/>
          <w:sz w:val="18"/>
          <w:szCs w:val="18"/>
          <w:color w:val="auto"/>
        </w:rPr>
      </w:pPr>
    </w:p>
    <w:p>
      <w:pPr>
        <w:ind w:left="1000" w:right="919" w:hanging="348"/>
        <w:spacing w:after="0" w:line="342"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reducing the principal amount, reducing the rate of or extending the time of payment of interest, or reducing any premium payable upon the redemption of any series of any debt securities; or</w:t>
      </w:r>
    </w:p>
    <w:p>
      <w:pPr>
        <w:spacing w:after="0" w:line="15" w:lineRule="exact"/>
        <w:rPr>
          <w:rFonts w:ascii="Arial" w:cs="Arial" w:eastAsia="Arial" w:hAnsi="Arial"/>
          <w:sz w:val="16"/>
          <w:szCs w:val="16"/>
          <w:color w:val="auto"/>
        </w:rPr>
      </w:pPr>
    </w:p>
    <w:p>
      <w:pPr>
        <w:ind w:left="1000" w:right="35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62"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117" w:lineRule="exact"/>
        <w:rPr>
          <w:sz w:val="20"/>
          <w:szCs w:val="20"/>
          <w:color w:val="auto"/>
        </w:rPr>
      </w:pPr>
    </w:p>
    <w:p>
      <w:pPr>
        <w:ind w:left="300" w:right="479"/>
        <w:spacing w:after="0" w:line="263"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58" w:lineRule="exact"/>
        <w:rPr>
          <w:sz w:val="20"/>
          <w:szCs w:val="20"/>
          <w:color w:val="auto"/>
        </w:rPr>
      </w:pPr>
    </w:p>
    <w:p>
      <w:pPr>
        <w:ind w:left="300" w:right="519"/>
        <w:spacing w:after="0" w:line="259"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79"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87" w:lineRule="exact"/>
        <w:rPr>
          <w:sz w:val="20"/>
          <w:szCs w:val="20"/>
          <w:color w:val="auto"/>
        </w:rPr>
      </w:pPr>
    </w:p>
    <w:p>
      <w:pPr>
        <w:ind w:left="300" w:right="339"/>
        <w:spacing w:after="0" w:line="342" w:lineRule="auto"/>
        <w:rPr>
          <w:sz w:val="20"/>
          <w:szCs w:val="20"/>
          <w:color w:val="auto"/>
        </w:rPr>
      </w:pPr>
      <w:r>
        <w:rPr>
          <w:rFonts w:ascii="Arial" w:cs="Arial" w:eastAsia="Arial" w:hAnsi="Arial"/>
          <w:sz w:val="16"/>
          <w:szCs w:val="16"/>
          <w:color w:val="auto"/>
        </w:rPr>
        <w:t>We will name in the applicable prospectus supplement the security registrar, and any transfer agent in addition to the security registrar, that we initially designate for any debt securities. We may at any time designate additional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79"/>
        <w:spacing w:after="0" w:line="263" w:lineRule="auto"/>
        <w:rPr>
          <w:sz w:val="20"/>
          <w:szCs w:val="20"/>
          <w:color w:val="auto"/>
        </w:rPr>
      </w:pPr>
      <w:r>
        <w:rPr>
          <w:rFonts w:ascii="Arial" w:cs="Arial" w:eastAsia="Arial" w:hAnsi="Arial"/>
          <w:sz w:val="18"/>
          <w:szCs w:val="18"/>
          <w:color w:val="auto"/>
        </w:rPr>
        <w:t>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117" w:lineRule="exact"/>
        <w:rPr>
          <w:sz w:val="20"/>
          <w:szCs w:val="20"/>
          <w:color w:val="auto"/>
        </w:rPr>
      </w:pPr>
    </w:p>
    <w:p>
      <w:pPr>
        <w:jc w:val="both"/>
        <w:ind w:left="1000" w:right="319" w:hanging="348"/>
        <w:spacing w:after="0" w:line="311"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40" w:lineRule="exact"/>
        <w:rPr>
          <w:rFonts w:ascii="Arial" w:cs="Arial" w:eastAsia="Arial" w:hAnsi="Arial"/>
          <w:sz w:val="16"/>
          <w:szCs w:val="16"/>
          <w:color w:val="auto"/>
        </w:rPr>
      </w:pPr>
    </w:p>
    <w:p>
      <w:pPr>
        <w:ind w:left="1000" w:right="69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left="300" w:right="419"/>
        <w:spacing w:after="0" w:line="293" w:lineRule="auto"/>
        <w:rPr>
          <w:sz w:val="20"/>
          <w:szCs w:val="20"/>
          <w:color w:val="auto"/>
        </w:rPr>
      </w:pPr>
      <w:r>
        <w:rPr>
          <w:rFonts w:ascii="Arial" w:cs="Arial" w:eastAsia="Arial" w:hAnsi="Arial"/>
          <w:sz w:val="16"/>
          <w:szCs w:val="16"/>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300" w:right="419"/>
        <w:spacing w:after="0" w:line="311" w:lineRule="auto"/>
        <w:rPr>
          <w:sz w:val="20"/>
          <w:szCs w:val="20"/>
          <w:color w:val="auto"/>
        </w:rPr>
      </w:pPr>
      <w:r>
        <w:rPr>
          <w:rFonts w:ascii="Arial" w:cs="Arial" w:eastAsia="Arial" w:hAnsi="Arial"/>
          <w:sz w:val="16"/>
          <w:szCs w:val="16"/>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41" w:lineRule="exact"/>
        <w:rPr>
          <w:sz w:val="20"/>
          <w:szCs w:val="20"/>
          <w:color w:val="auto"/>
        </w:rPr>
      </w:pPr>
    </w:p>
    <w:p>
      <w:pPr>
        <w:ind w:left="300" w:right="339"/>
        <w:spacing w:after="0" w:line="254"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84"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left="300" w:right="439"/>
        <w:spacing w:after="0" w:line="288" w:lineRule="auto"/>
        <w:rPr>
          <w:sz w:val="20"/>
          <w:szCs w:val="20"/>
          <w:color w:val="auto"/>
        </w:rPr>
      </w:pPr>
      <w:r>
        <w:rPr>
          <w:rFonts w:ascii="Arial" w:cs="Arial" w:eastAsia="Arial" w:hAnsi="Arial"/>
          <w:sz w:val="16"/>
          <w:szCs w:val="16"/>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2 common stock, preferred stock or debt securities and may be issued in one or more series. Warrants may be offered independently or in combination with Class 2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60"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or selling securityholders may offer under this prospectus. We urge you to read the applicable prospectus supplement related to the particular series of warrants that we or selling securityholders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1059"/>
        <w:spacing w:after="0" w:line="277" w:lineRule="auto"/>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22" w:lineRule="exact"/>
        <w:rPr>
          <w:sz w:val="20"/>
          <w:szCs w:val="20"/>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76" w:lineRule="exact"/>
        <w:rPr>
          <w:rFonts w:ascii="Arial" w:cs="Arial" w:eastAsia="Arial" w:hAnsi="Arial"/>
          <w:sz w:val="18"/>
          <w:szCs w:val="18"/>
          <w:color w:val="auto"/>
        </w:rPr>
      </w:pPr>
    </w:p>
    <w:p>
      <w:pPr>
        <w:ind w:left="1000" w:right="899" w:hanging="348"/>
        <w:spacing w:after="0" w:line="325"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with which the warrants are issued and the number of warrants issued with each such security or each principal amount of such security;</w:t>
      </w:r>
    </w:p>
    <w:p>
      <w:pPr>
        <w:spacing w:after="0" w:line="1" w:lineRule="exact"/>
        <w:rPr>
          <w:rFonts w:ascii="Arial" w:cs="Arial" w:eastAsia="Arial" w:hAnsi="Arial"/>
          <w:sz w:val="16"/>
          <w:szCs w:val="16"/>
          <w:color w:val="auto"/>
        </w:rPr>
      </w:pPr>
    </w:p>
    <w:p>
      <w:pPr>
        <w:ind w:left="1000" w:right="69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48" w:lineRule="exact"/>
        <w:rPr>
          <w:rFonts w:ascii="Arial" w:cs="Arial" w:eastAsia="Arial" w:hAnsi="Arial"/>
          <w:sz w:val="18"/>
          <w:szCs w:val="18"/>
          <w:color w:val="auto"/>
        </w:rPr>
      </w:pPr>
    </w:p>
    <w:p>
      <w:pPr>
        <w:ind w:left="1000" w:right="319" w:hanging="348"/>
        <w:spacing w:after="0" w:line="286"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case of warrants to purchase Class 2 common stock or preferred stock, the number of shares of Class 2 common stock or preferred stock, as the case may be, purchasable upon the exercise of one warrant and the price at which these shares may be purchased upon such exercise;</w:t>
      </w:r>
    </w:p>
    <w:p>
      <w:pPr>
        <w:spacing w:after="0" w:line="16" w:lineRule="exact"/>
        <w:rPr>
          <w:rFonts w:ascii="Arial" w:cs="Arial" w:eastAsia="Arial" w:hAnsi="Arial"/>
          <w:sz w:val="17"/>
          <w:szCs w:val="17"/>
          <w:color w:val="auto"/>
        </w:rPr>
      </w:pPr>
    </w:p>
    <w:p>
      <w:pPr>
        <w:ind w:left="1000" w:right="33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90"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90"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discussion of material or special U.S. federal income tax considerations, if any, of holding or exercising the warrants;</w:t>
      </w:r>
    </w:p>
    <w:p>
      <w:pPr>
        <w:spacing w:after="0" w:line="21"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779"/>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62" w:lineRule="exact"/>
        <w:rPr>
          <w:sz w:val="20"/>
          <w:szCs w:val="20"/>
          <w:color w:val="auto"/>
        </w:rPr>
      </w:pPr>
    </w:p>
    <w:p>
      <w:pPr>
        <w:ind w:left="1000" w:right="31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75"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warrants to purchase Class 2 common stock or preferred stock, the right to receive dividends, if any, or payments upon our liquidation, dissolution or winding up or to exercise voting rights, if any.</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300" w:right="479"/>
        <w:spacing w:after="0" w:line="273" w:lineRule="auto"/>
        <w:rPr>
          <w:sz w:val="20"/>
          <w:szCs w:val="20"/>
          <w:color w:val="auto"/>
        </w:rPr>
      </w:pPr>
      <w:r>
        <w:rPr>
          <w:rFonts w:ascii="Arial" w:cs="Arial" w:eastAsia="Arial" w:hAnsi="Arial"/>
          <w:sz w:val="17"/>
          <w:szCs w:val="17"/>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70" w:lineRule="exact"/>
        <w:rPr>
          <w:sz w:val="20"/>
          <w:szCs w:val="20"/>
          <w:color w:val="auto"/>
        </w:rPr>
      </w:pPr>
    </w:p>
    <w:p>
      <w:pPr>
        <w:ind w:left="300" w:right="339"/>
        <w:spacing w:after="0" w:line="275" w:lineRule="auto"/>
        <w:rPr>
          <w:sz w:val="20"/>
          <w:szCs w:val="20"/>
          <w:color w:val="auto"/>
        </w:rPr>
      </w:pPr>
      <w:r>
        <w:rPr>
          <w:rFonts w:ascii="Arial" w:cs="Arial" w:eastAsia="Arial" w:hAnsi="Arial"/>
          <w:sz w:val="17"/>
          <w:szCs w:val="17"/>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00" w:right="359"/>
        <w:spacing w:after="0" w:line="308" w:lineRule="auto"/>
        <w:rPr>
          <w:sz w:val="20"/>
          <w:szCs w:val="20"/>
          <w:color w:val="auto"/>
        </w:rPr>
      </w:pPr>
      <w:r>
        <w:rPr>
          <w:rFonts w:ascii="Arial" w:cs="Arial" w:eastAsia="Arial" w:hAnsi="Arial"/>
          <w:sz w:val="17"/>
          <w:szCs w:val="17"/>
          <w:color w:val="auto"/>
        </w:rPr>
        <w:t>Unless we provide otherwise in the applicable prospectus supplement, the warrants and any warrant agreements will be governed by and construed in accordance with the internal laws of the State of New York.</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OWNERSHIP OF SECURITIES</w:t>
      </w:r>
    </w:p>
    <w:p>
      <w:pPr>
        <w:spacing w:after="0" w:line="121" w:lineRule="exact"/>
        <w:rPr>
          <w:sz w:val="20"/>
          <w:szCs w:val="20"/>
          <w:color w:val="auto"/>
        </w:rPr>
      </w:pPr>
    </w:p>
    <w:p>
      <w:pPr>
        <w:ind w:left="300" w:right="359"/>
        <w:spacing w:after="0" w:line="272" w:lineRule="auto"/>
        <w:rPr>
          <w:sz w:val="20"/>
          <w:szCs w:val="20"/>
          <w:color w:val="auto"/>
        </w:rPr>
      </w:pPr>
      <w:r>
        <w:rPr>
          <w:rFonts w:ascii="Arial" w:cs="Arial" w:eastAsia="Arial" w:hAnsi="Arial"/>
          <w:sz w:val="17"/>
          <w:szCs w:val="17"/>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Book-Entry Holders</w:t>
      </w:r>
    </w:p>
    <w:p>
      <w:pPr>
        <w:spacing w:after="0" w:line="121"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80" w:lineRule="exact"/>
        <w:rPr>
          <w:sz w:val="20"/>
          <w:szCs w:val="20"/>
          <w:color w:val="auto"/>
        </w:rPr>
      </w:pPr>
    </w:p>
    <w:p>
      <w:pPr>
        <w:ind w:left="300" w:right="299"/>
        <w:spacing w:after="0" w:line="272"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69" w:lineRule="exact"/>
        <w:rPr>
          <w:sz w:val="20"/>
          <w:szCs w:val="20"/>
          <w:color w:val="auto"/>
        </w:rPr>
      </w:pPr>
    </w:p>
    <w:p>
      <w:pPr>
        <w:ind w:left="300" w:right="379"/>
        <w:spacing w:after="0" w:line="279" w:lineRule="auto"/>
        <w:rPr>
          <w:sz w:val="20"/>
          <w:szCs w:val="20"/>
          <w:color w:val="auto"/>
        </w:rPr>
      </w:pPr>
      <w:r>
        <w:rPr>
          <w:rFonts w:ascii="Arial" w:cs="Arial" w:eastAsia="Arial" w:hAnsi="Arial"/>
          <w:sz w:val="17"/>
          <w:szCs w:val="17"/>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Street Name Holders</w:t>
      </w:r>
    </w:p>
    <w:p>
      <w:pPr>
        <w:spacing w:after="0" w:line="121" w:lineRule="exact"/>
        <w:rPr>
          <w:sz w:val="20"/>
          <w:szCs w:val="20"/>
          <w:color w:val="auto"/>
        </w:rPr>
      </w:pPr>
    </w:p>
    <w:p>
      <w:pPr>
        <w:ind w:left="300" w:right="499"/>
        <w:spacing w:after="0" w:line="301" w:lineRule="auto"/>
        <w:rPr>
          <w:sz w:val="20"/>
          <w:szCs w:val="20"/>
          <w:color w:val="auto"/>
        </w:rPr>
      </w:pPr>
      <w:r>
        <w:rPr>
          <w:rFonts w:ascii="Arial" w:cs="Arial" w:eastAsia="Arial" w:hAnsi="Arial"/>
          <w:sz w:val="16"/>
          <w:szCs w:val="16"/>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49"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Holders</w:t>
      </w:r>
    </w:p>
    <w:p>
      <w:pPr>
        <w:spacing w:after="0" w:line="121"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80"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121" w:lineRule="exact"/>
        <w:rPr>
          <w:sz w:val="20"/>
          <w:szCs w:val="20"/>
          <w:color w:val="auto"/>
        </w:rPr>
      </w:pPr>
    </w:p>
    <w:p>
      <w:pPr>
        <w:ind w:left="300" w:right="739"/>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62" w:lineRule="exact"/>
        <w:rPr>
          <w:sz w:val="20"/>
          <w:szCs w:val="20"/>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performance of third-party service providers;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17"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and how you can instruct it to send you securities registered in your own name so you can be a holder, if that is permitted in the future;</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the securities are in book-entry form, how the depositary’s rules and procedures will affect these matters.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global security is a security that represents one or any other number of individual securities held by a depositary.</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Generally, all securities represented by the same global securities will have the same terms.</w:t>
      </w:r>
    </w:p>
    <w:p>
      <w:pPr>
        <w:spacing w:after="0" w:line="103"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79" w:lineRule="exact"/>
        <w:rPr>
          <w:sz w:val="20"/>
          <w:szCs w:val="20"/>
          <w:color w:val="auto"/>
        </w:rPr>
      </w:pPr>
    </w:p>
    <w:p>
      <w:pPr>
        <w:ind w:left="300" w:right="339"/>
        <w:spacing w:after="0" w:line="270"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73" w:lineRule="exact"/>
        <w:rPr>
          <w:sz w:val="20"/>
          <w:szCs w:val="20"/>
          <w:color w:val="auto"/>
        </w:rPr>
      </w:pPr>
    </w:p>
    <w:p>
      <w:pPr>
        <w:ind w:left="300" w:right="399"/>
        <w:spacing w:after="0" w:line="279" w:lineRule="auto"/>
        <w:rPr>
          <w:sz w:val="20"/>
          <w:szCs w:val="20"/>
          <w:color w:val="auto"/>
        </w:rPr>
      </w:pPr>
      <w:r>
        <w:rPr>
          <w:rFonts w:ascii="Arial" w:cs="Arial" w:eastAsia="Arial" w:hAnsi="Arial"/>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12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117" w:lineRule="exact"/>
        <w:rPr>
          <w:sz w:val="20"/>
          <w:szCs w:val="20"/>
          <w:color w:val="auto"/>
        </w:rPr>
      </w:pPr>
    </w:p>
    <w:p>
      <w:pPr>
        <w:ind w:left="1000" w:right="579" w:hanging="348"/>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investor cannot cause the securities to be registered in his or her name, and cannot obtain non-global certificates for his or her interest in the securities, except in the special situations we describe below;</w:t>
      </w:r>
    </w:p>
    <w:p>
      <w:pPr>
        <w:spacing w:after="0" w:line="15" w:lineRule="exact"/>
        <w:rPr>
          <w:rFonts w:ascii="Arial" w:cs="Arial" w:eastAsia="Arial" w:hAnsi="Arial"/>
          <w:sz w:val="16"/>
          <w:szCs w:val="16"/>
          <w:color w:val="auto"/>
        </w:rPr>
      </w:pPr>
    </w:p>
    <w:p>
      <w:pPr>
        <w:ind w:left="1000" w:right="459" w:hanging="348"/>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investor will be an indirect holder and must look to his or her own bank or broker for payments on the securities and protection of his or her legal rights relating to the securities, as we describe above;</w:t>
      </w:r>
    </w:p>
    <w:p>
      <w:pPr>
        <w:spacing w:after="0" w:line="15" w:lineRule="exact"/>
        <w:rPr>
          <w:rFonts w:ascii="Arial" w:cs="Arial" w:eastAsia="Arial" w:hAnsi="Arial"/>
          <w:sz w:val="16"/>
          <w:szCs w:val="16"/>
          <w:color w:val="auto"/>
        </w:rPr>
      </w:pPr>
    </w:p>
    <w:p>
      <w:pPr>
        <w:ind w:left="1000" w:right="679" w:hanging="348"/>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investor may not be able to sell interests in the securities to some insurance companies and to other institutions that are required by law to own their securities in non-book-entry form;</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39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62" w:lineRule="exact"/>
        <w:rPr>
          <w:rFonts w:ascii="Arial" w:cs="Arial" w:eastAsia="Arial" w:hAnsi="Arial"/>
          <w:sz w:val="18"/>
          <w:szCs w:val="18"/>
          <w:color w:val="auto"/>
        </w:rPr>
      </w:pPr>
    </w:p>
    <w:p>
      <w:pPr>
        <w:ind w:left="1000" w:right="59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75"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75" w:lineRule="exact"/>
        <w:rPr>
          <w:rFonts w:ascii="Arial" w:cs="Arial" w:eastAsia="Arial" w:hAnsi="Arial"/>
          <w:sz w:val="18"/>
          <w:szCs w:val="18"/>
          <w:color w:val="auto"/>
        </w:rPr>
      </w:pPr>
    </w:p>
    <w:p>
      <w:pPr>
        <w:ind w:left="1000" w:right="39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76"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121" w:lineRule="exact"/>
        <w:rPr>
          <w:sz w:val="20"/>
          <w:szCs w:val="20"/>
          <w:color w:val="auto"/>
        </w:rPr>
      </w:pPr>
    </w:p>
    <w:p>
      <w:pPr>
        <w:jc w:val="both"/>
        <w:ind w:left="300" w:right="539"/>
        <w:spacing w:after="0" w:line="275" w:lineRule="auto"/>
        <w:rPr>
          <w:sz w:val="20"/>
          <w:szCs w:val="20"/>
          <w:color w:val="auto"/>
        </w:rPr>
      </w:pPr>
      <w:r>
        <w:rPr>
          <w:rFonts w:ascii="Arial" w:cs="Arial" w:eastAsia="Arial" w:hAnsi="Arial"/>
          <w:sz w:val="17"/>
          <w:szCs w:val="17"/>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68" w:lineRule="exact"/>
        <w:rPr>
          <w:sz w:val="20"/>
          <w:szCs w:val="20"/>
          <w:color w:val="auto"/>
        </w:rPr>
      </w:pPr>
    </w:p>
    <w:p>
      <w:pPr>
        <w:ind w:left="1000" w:right="53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Unless we provide otherwise in the applicable prospectus supplement, the global security will terminate when the following special situations occur:</w:t>
      </w:r>
    </w:p>
    <w:p>
      <w:pPr>
        <w:spacing w:after="0" w:line="62"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the depositary notifies us that it is unwilling, unable or no longer qualified to continue as depositary for that global security and we do not appoint another institution to act as depositary within 90 days;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17"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62"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ind w:left="300" w:right="459"/>
        <w:spacing w:after="0" w:line="296" w:lineRule="auto"/>
        <w:rPr>
          <w:sz w:val="20"/>
          <w:szCs w:val="20"/>
          <w:color w:val="auto"/>
        </w:rPr>
      </w:pPr>
      <w:r>
        <w:rPr>
          <w:rFonts w:ascii="Arial" w:cs="Arial" w:eastAsia="Arial" w:hAnsi="Arial"/>
          <w:sz w:val="16"/>
          <w:szCs w:val="16"/>
          <w:color w:val="auto"/>
        </w:rPr>
        <w:t>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We or selling securityholders may sell the securities from time to time pursuant to underwritten public offerings, “at-the-market” offerings, negotiated transactions, block trades or a combination of these methods. We or selling securityholders may sell the securities to or through one or more underwriters or dealers (acting as principal or agent), through agents, or directly to one or more purchasers. We or selling securityholders may distribute securities from time to time in one or more transactions:</w:t>
      </w:r>
    </w:p>
    <w:p>
      <w:pPr>
        <w:spacing w:after="0" w:line="80" w:lineRule="exact"/>
        <w:rPr>
          <w:sz w:val="20"/>
          <w:szCs w:val="20"/>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17" w:lineRule="exact"/>
        <w:rPr>
          <w:sz w:val="20"/>
          <w:szCs w:val="20"/>
          <w:color w:val="auto"/>
        </w:rPr>
      </w:pPr>
    </w:p>
    <w:p>
      <w:pPr>
        <w:ind w:left="300" w:right="819"/>
        <w:spacing w:after="0" w:line="342" w:lineRule="auto"/>
        <w:rPr>
          <w:sz w:val="20"/>
          <w:szCs w:val="20"/>
          <w:color w:val="auto"/>
        </w:rPr>
      </w:pPr>
      <w:r>
        <w:rPr>
          <w:rFonts w:ascii="Arial" w:cs="Arial" w:eastAsia="Arial" w:hAnsi="Arial"/>
          <w:sz w:val="16"/>
          <w:szCs w:val="16"/>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 w:lineRule="exact"/>
        <w:rPr>
          <w:sz w:val="20"/>
          <w:szCs w:val="20"/>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or names of the underwriters, dealers or agents, if 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or names of the selling securityholders, if 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over-allotment or other options under which underwriters may purchase additional securities from us or any selling securityholders;</w:t>
      </w:r>
    </w:p>
    <w:p>
      <w:pPr>
        <w:spacing w:after="0" w:line="62" w:lineRule="exact"/>
        <w:rPr>
          <w:rFonts w:ascii="Arial" w:cs="Arial" w:eastAsia="Arial" w:hAnsi="Arial"/>
          <w:sz w:val="18"/>
          <w:szCs w:val="18"/>
          <w:color w:val="auto"/>
        </w:rPr>
      </w:pPr>
    </w:p>
    <w:p>
      <w:pPr>
        <w:ind w:left="1000" w:right="115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117" w:lineRule="exact"/>
        <w:rPr>
          <w:sz w:val="20"/>
          <w:szCs w:val="20"/>
          <w:color w:val="auto"/>
        </w:rPr>
      </w:pPr>
    </w:p>
    <w:p>
      <w:pPr>
        <w:ind w:left="300" w:right="299"/>
        <w:spacing w:after="0" w:line="257" w:lineRule="auto"/>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80" w:lineRule="exact"/>
        <w:rPr>
          <w:sz w:val="20"/>
          <w:szCs w:val="20"/>
          <w:color w:val="auto"/>
        </w:rPr>
      </w:pPr>
    </w:p>
    <w:p>
      <w:pPr>
        <w:ind w:left="300" w:right="339"/>
        <w:spacing w:after="0" w:line="311" w:lineRule="auto"/>
        <w:rPr>
          <w:sz w:val="20"/>
          <w:szCs w:val="20"/>
          <w:color w:val="auto"/>
        </w:rPr>
      </w:pPr>
      <w:r>
        <w:rPr>
          <w:rFonts w:ascii="Arial" w:cs="Arial" w:eastAsia="Arial" w:hAnsi="Arial"/>
          <w:sz w:val="16"/>
          <w:szCs w:val="16"/>
          <w:color w:val="auto"/>
        </w:rPr>
        <w:t>Unless stated otherwise in the prospectus supplement, the securities offered by a prospectus supplement have not been qualified for distribution by prospectus under the securities laws of any province or territory of Canada, and may only be sold in Canada pursuant to an exemption from the prospectus requirements of Canadian securities laws.</w:t>
      </w:r>
    </w:p>
    <w:p>
      <w:pPr>
        <w:spacing w:after="0" w:line="41"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a selling stockholder,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71" w:lineRule="exact"/>
        <w:rPr>
          <w:sz w:val="20"/>
          <w:szCs w:val="20"/>
          <w:color w:val="auto"/>
        </w:rPr>
      </w:pPr>
    </w:p>
    <w:p>
      <w:pPr>
        <w:ind w:left="300" w:right="539"/>
        <w:spacing w:after="0" w:line="263" w:lineRule="auto"/>
        <w:rPr>
          <w:sz w:val="20"/>
          <w:szCs w:val="20"/>
          <w:color w:val="auto"/>
        </w:rPr>
      </w:pPr>
      <w:r>
        <w:rPr>
          <w:rFonts w:ascii="Arial" w:cs="Arial" w:eastAsia="Arial" w:hAnsi="Arial"/>
          <w:sz w:val="18"/>
          <w:szCs w:val="18"/>
          <w:color w:val="auto"/>
        </w:rPr>
        <w:t>We or selling securityholders may use underwriters, dealers or agents with whom we have a material relationship. We will describe in the prospectus supplement, naming the underwriter, dealer or agent, the nature of any such relationship.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99"/>
        <w:spacing w:after="0" w:line="259" w:lineRule="auto"/>
        <w:rPr>
          <w:sz w:val="20"/>
          <w:szCs w:val="20"/>
          <w:color w:val="auto"/>
        </w:rPr>
      </w:pPr>
      <w:r>
        <w:rPr>
          <w:rFonts w:ascii="Arial" w:cs="Arial" w:eastAsia="Arial" w:hAnsi="Arial"/>
          <w:sz w:val="18"/>
          <w:szCs w:val="18"/>
          <w:color w:val="auto"/>
        </w:rPr>
        <w:t>We or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79"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spacing w:after="0" w:line="79"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76"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All securities we may offer, other than Class 2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79"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58"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Any underwriters that are qualified market makers on The Nasdaq Global Select Market may engage in passive market making transactions in the Class 2 common stock on The Nasdaq Global Select Market in accordance with Regulation M under the Exchange Act, during the business day prior to the pricing of the offering, before the commencement of offers or sales of the Class 2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379"/>
        <w:spacing w:after="0" w:line="279" w:lineRule="auto"/>
        <w:rPr>
          <w:sz w:val="20"/>
          <w:szCs w:val="20"/>
          <w:color w:val="auto"/>
        </w:rPr>
      </w:pPr>
      <w:r>
        <w:rPr>
          <w:rFonts w:ascii="Arial" w:cs="Arial" w:eastAsia="Arial" w:hAnsi="Arial"/>
          <w:sz w:val="17"/>
          <w:szCs w:val="17"/>
          <w:color w:val="auto"/>
        </w:rPr>
        <w:t>Unless otherwise indicated in the applicable prospectus supplement, the validity of the securities offered by this prospectus, and any supplement thereto, will be passed upon for us by DLA Piper LLP (US), New York, New York. Any underwriters, dealers or agents will also be advised about the validity of the securities and other legal matters by their own counsel, which will be named in the applicable prospectus supplement.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39"/>
        <w:spacing w:after="0" w:line="271"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by reference in this Prospectus by reference to the Annual Report on Form 10-K for the year ended May 31, 2022, as amended by Amendment No. 1 to our Annual Report on Form 10-K, have been so incorporated in reliance on the report (which contains a paragraph relating to the effectiveness of internal control over financial reporting due to the exclusion of Breckenridge because it was acquired by the Company in a purchase business combination during the year ended May 31, 2022) of PricewaterhouseCoopers LLP, an independent registered public accounting firm, given on the authority of said firm as experts in auditing and accounting.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79"/>
        <w:spacing w:after="0" w:line="255" w:lineRule="auto"/>
        <w:rPr>
          <w:sz w:val="20"/>
          <w:szCs w:val="20"/>
          <w:color w:val="auto"/>
        </w:rPr>
      </w:pPr>
      <w:r>
        <w:rPr>
          <w:rFonts w:ascii="Arial" w:cs="Arial" w:eastAsia="Arial" w:hAnsi="Arial"/>
          <w:sz w:val="18"/>
          <w:szCs w:val="18"/>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84" w:lineRule="exact"/>
        <w:rPr>
          <w:sz w:val="20"/>
          <w:szCs w:val="20"/>
          <w:color w:val="auto"/>
        </w:rPr>
      </w:pPr>
    </w:p>
    <w:p>
      <w:pPr>
        <w:ind w:left="300" w:right="359"/>
        <w:spacing w:after="0" w:line="272" w:lineRule="auto"/>
        <w:rPr>
          <w:sz w:val="20"/>
          <w:szCs w:val="20"/>
          <w:color w:val="auto"/>
        </w:rPr>
      </w:pPr>
      <w:r>
        <w:rPr>
          <w:rFonts w:ascii="Arial" w:cs="Arial" w:eastAsia="Arial" w:hAnsi="Arial"/>
          <w:sz w:val="17"/>
          <w:szCs w:val="17"/>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and the inclusion of our website address in this prospectus is an inactive textual reference only.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ind w:left="300" w:right="559"/>
        <w:spacing w:after="0" w:line="274" w:lineRule="auto"/>
        <w:rPr>
          <w:sz w:val="20"/>
          <w:szCs w:val="20"/>
          <w:color w:val="auto"/>
        </w:rPr>
      </w:pPr>
      <w:r>
        <w:rPr>
          <w:rFonts w:ascii="Arial" w:cs="Arial" w:eastAsia="Arial" w:hAnsi="Arial"/>
          <w:sz w:val="17"/>
          <w:szCs w:val="17"/>
          <w:color w:val="auto"/>
        </w:rPr>
        <w:t>The SEC allows us to “incorporate by reference” into this prospectus certain information. This means that we can disclose important information to you by referring you to those documents that contain the information.</w:t>
      </w:r>
    </w:p>
    <w:p>
      <w:pPr>
        <w:ind w:left="300" w:right="519"/>
        <w:spacing w:after="0" w:line="253" w:lineRule="auto"/>
        <w:rPr>
          <w:sz w:val="20"/>
          <w:szCs w:val="20"/>
          <w:color w:val="auto"/>
        </w:rPr>
      </w:pPr>
      <w:r>
        <w:rPr>
          <w:rFonts w:ascii="Arial" w:cs="Arial" w:eastAsia="Arial" w:hAnsi="Arial"/>
          <w:sz w:val="18"/>
          <w:szCs w:val="18"/>
          <w:color w:val="auto"/>
        </w:rPr>
        <w:t>The information we incorporate by reference is considered a part of this prospectus. We incorporate by reference into this prospectus the documents listed below that we have filed with the SEC. Any report or information within any of the documents referenced below that is furnished, but not filed, shall not be incorporated by reference into this prospectus.</w:t>
      </w:r>
    </w:p>
    <w:p>
      <w:pPr>
        <w:spacing w:after="0" w:line="85" w:lineRule="exact"/>
        <w:rPr>
          <w:sz w:val="20"/>
          <w:szCs w:val="20"/>
          <w:color w:val="auto"/>
        </w:rPr>
      </w:pPr>
    </w:p>
    <w:p>
      <w:pPr>
        <w:ind w:left="1000" w:right="319" w:hanging="348"/>
        <w:spacing w:after="0" w:line="301"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our Annual Report on Form 10-K for the fiscal year ended May 31, 2022, which includes audited financial statements for the latest fiscal year, filed on </w:t>
      </w:r>
      <w:hyperlink r:id="rId75">
        <w:r>
          <w:rPr>
            <w:rFonts w:ascii="Arial" w:cs="Arial" w:eastAsia="Arial" w:hAnsi="Arial"/>
            <w:sz w:val="16"/>
            <w:szCs w:val="16"/>
            <w:u w:val="single" w:color="auto"/>
            <w:color w:val="0000EE"/>
          </w:rPr>
          <w:t>July 28, 2022</w:t>
        </w:r>
      </w:hyperlink>
      <w:r>
        <w:rPr>
          <w:rFonts w:ascii="Arial" w:cs="Arial" w:eastAsia="Arial" w:hAnsi="Arial"/>
          <w:sz w:val="16"/>
          <w:szCs w:val="16"/>
          <w:color w:val="auto"/>
        </w:rPr>
        <w:t xml:space="preserve">, as amended by Amendment No. 1 to our Annual Report on Form 10-K for the fiscal year ended May 31, 2022 (as amended, the “2022 Form 10-K”) , which includes audited financial statements for the latest fiscal year, filed on </w:t>
      </w:r>
      <w:hyperlink r:id="rId38">
        <w:r>
          <w:rPr>
            <w:rFonts w:ascii="Arial" w:cs="Arial" w:eastAsia="Arial" w:hAnsi="Arial"/>
            <w:sz w:val="16"/>
            <w:szCs w:val="16"/>
            <w:u w:val="single" w:color="auto"/>
            <w:color w:val="0000EE"/>
          </w:rPr>
          <w:t>October 7, 2022</w:t>
        </w:r>
      </w:hyperlink>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1000" w:right="419" w:hanging="348"/>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the 2022 Form 10-K from our definitive proxy statement on Schedule 14A filed with the SEC on </w:t>
      </w:r>
      <w:hyperlink r:id="rId39">
        <w:r>
          <w:rPr>
            <w:rFonts w:ascii="Arial" w:cs="Arial" w:eastAsia="Arial" w:hAnsi="Arial"/>
            <w:sz w:val="18"/>
            <w:szCs w:val="18"/>
            <w:u w:val="single" w:color="auto"/>
            <w:color w:val="0000EE"/>
          </w:rPr>
          <w:t>October 3, 2022</w:t>
        </w:r>
      </w:hyperlink>
      <w:r>
        <w:rPr>
          <w:rFonts w:ascii="Arial" w:cs="Arial" w:eastAsia="Arial" w:hAnsi="Arial"/>
          <w:sz w:val="18"/>
          <w:szCs w:val="18"/>
          <w:color w:val="auto"/>
        </w:rPr>
        <w:t>, as well as any amendments thereto reflected in subsequent filings with the SEC;</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76">
        <w:r>
          <w:rPr>
            <w:rFonts w:ascii="Arial" w:cs="Arial" w:eastAsia="Arial" w:hAnsi="Arial"/>
            <w:sz w:val="18"/>
            <w:szCs w:val="18"/>
            <w:u w:val="single" w:color="auto"/>
            <w:color w:val="0000EE"/>
          </w:rPr>
          <w:t>August 3,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7">
        <w:r>
          <w:rPr>
            <w:rFonts w:ascii="Arial" w:cs="Arial" w:eastAsia="Arial" w:hAnsi="Arial"/>
            <w:sz w:val="18"/>
            <w:szCs w:val="18"/>
            <w:u w:val="single" w:color="auto"/>
            <w:color w:val="0000EE"/>
          </w:rPr>
          <w:t>September 1, 2022</w:t>
        </w:r>
      </w:hyperlink>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000" w:right="439" w:hanging="348"/>
        <w:spacing w:after="0" w:line="286"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description of our securities as set forth in our registration statement on Form 8-A/A (File No. 001-38594), filed with the SEC on </w:t>
      </w:r>
      <w:hyperlink r:id="rId37">
        <w:r>
          <w:rPr>
            <w:rFonts w:ascii="Arial" w:cs="Arial" w:eastAsia="Arial" w:hAnsi="Arial"/>
            <w:sz w:val="17"/>
            <w:szCs w:val="17"/>
            <w:u w:val="single" w:color="auto"/>
            <w:color w:val="0000EE"/>
          </w:rPr>
          <w:t>October 1, 2020</w:t>
        </w:r>
      </w:hyperlink>
      <w:r>
        <w:rPr>
          <w:rFonts w:ascii="Arial" w:cs="Arial" w:eastAsia="Arial" w:hAnsi="Arial"/>
          <w:sz w:val="17"/>
          <w:szCs w:val="17"/>
          <w:color w:val="auto"/>
        </w:rPr>
        <w:t>, pursuant to Section 12(b) of the Exchange Act, including any subsequent amendments or reports filed for the purpose of updating such description.</w:t>
      </w:r>
    </w:p>
    <w:p>
      <w:pPr>
        <w:spacing w:after="0" w:line="57" w:lineRule="exact"/>
        <w:rPr>
          <w:rFonts w:ascii="Arial" w:cs="Arial" w:eastAsia="Arial" w:hAnsi="Arial"/>
          <w:sz w:val="18"/>
          <w:szCs w:val="18"/>
          <w:color w:val="auto"/>
        </w:rPr>
      </w:pPr>
    </w:p>
    <w:p>
      <w:pPr>
        <w:ind w:left="300" w:right="359"/>
        <w:spacing w:after="0" w:line="275" w:lineRule="auto"/>
        <w:rPr>
          <w:sz w:val="20"/>
          <w:szCs w:val="20"/>
          <w:color w:val="auto"/>
        </w:rPr>
      </w:pPr>
      <w:r>
        <w:rPr>
          <w:rFonts w:ascii="Arial" w:cs="Arial" w:eastAsia="Arial" w:hAnsi="Arial"/>
          <w:sz w:val="17"/>
          <w:szCs w:val="17"/>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ir.tilray.com. Information contained on, or that can be accessed through, our website is not a part of this prospectus and the inclusion of our website address in this prospectus is an inactive textual reference only.</w:t>
      </w:r>
    </w:p>
    <w:p>
      <w:pPr>
        <w:spacing w:after="0" w:line="68" w:lineRule="exact"/>
        <w:rPr>
          <w:rFonts w:ascii="Arial" w:cs="Arial" w:eastAsia="Arial" w:hAnsi="Arial"/>
          <w:sz w:val="18"/>
          <w:szCs w:val="18"/>
          <w:color w:val="auto"/>
        </w:rPr>
      </w:pPr>
    </w:p>
    <w:p>
      <w:pPr>
        <w:ind w:left="300"/>
        <w:spacing w:after="0"/>
        <w:rPr>
          <w:sz w:val="20"/>
          <w:szCs w:val="20"/>
          <w:color w:val="auto"/>
        </w:rPr>
      </w:pPr>
      <w:r>
        <w:rPr>
          <w:rFonts w:ascii="Arial" w:cs="Arial" w:eastAsia="Arial" w:hAnsi="Arial"/>
          <w:sz w:val="18"/>
          <w:szCs w:val="18"/>
          <w:color w:val="auto"/>
        </w:rPr>
        <w:t>We also incorporate by reference in this prospectus any future filings that we make with the SEC under</w:t>
      </w:r>
    </w:p>
    <w:p>
      <w:pPr>
        <w:spacing w:after="0" w:line="23" w:lineRule="exact"/>
        <w:rPr>
          <w:rFonts w:ascii="Arial" w:cs="Arial" w:eastAsia="Arial" w:hAnsi="Arial"/>
          <w:sz w:val="18"/>
          <w:szCs w:val="18"/>
          <w:color w:val="auto"/>
        </w:rPr>
      </w:pPr>
    </w:p>
    <w:p>
      <w:pPr>
        <w:ind w:left="300" w:right="319"/>
        <w:spacing w:after="0" w:line="269" w:lineRule="auto"/>
        <w:rPr>
          <w:sz w:val="20"/>
          <w:szCs w:val="20"/>
          <w:color w:val="auto"/>
        </w:rPr>
      </w:pPr>
      <w:r>
        <w:rPr>
          <w:rFonts w:ascii="Arial" w:cs="Arial" w:eastAsia="Arial" w:hAnsi="Arial"/>
          <w:sz w:val="17"/>
          <w:szCs w:val="17"/>
          <w:color w:val="auto"/>
        </w:rPr>
        <w:t>Section 13(a), 13(c), 14 or 15(d) of the Exchange Act until we sell all the securities to which this prospectus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18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019"/>
          </w:cols>
          <w:pgMar w:left="1440" w:top="265" w:right="1440" w:bottom="1440" w:gutter="0" w:footer="0" w:header="0"/>
        </w:sectPr>
      </w:pPr>
    </w:p>
    <w:bookmarkStart w:id="46" w:name="page47"/>
    <w:bookmarkEnd w:id="46"/>
    <w:p>
      <w:pPr>
        <w:ind w:left="10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424(b)(7)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Tilray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880" w:type="dxa"/>
            <w:vAlign w:val="bottom"/>
            <w:tcBorders>
              <w:top w:val="single" w:sz="8" w:color="auto"/>
              <w:left w:val="single" w:sz="8" w:color="auto"/>
              <w:right w:val="single" w:sz="8" w:color="auto"/>
            </w:tcBorders>
          </w:tcPr>
          <w:p>
            <w:pPr>
              <w:spacing w:after="0"/>
              <w:rPr>
                <w:sz w:val="19"/>
                <w:szCs w:val="19"/>
                <w:color w:val="auto"/>
              </w:rPr>
            </w:pPr>
          </w:p>
        </w:tc>
        <w:tc>
          <w:tcPr>
            <w:tcW w:w="74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760" w:type="dxa"/>
            <w:vAlign w:val="bottom"/>
            <w:tcBorders>
              <w:top w:val="single" w:sz="8" w:color="auto"/>
              <w:right w:val="single" w:sz="8" w:color="auto"/>
            </w:tcBorders>
          </w:tcPr>
          <w:p>
            <w:pPr>
              <w:spacing w:after="0"/>
              <w:rPr>
                <w:sz w:val="19"/>
                <w:szCs w:val="19"/>
                <w:color w:val="auto"/>
              </w:rPr>
            </w:pPr>
          </w:p>
        </w:tc>
        <w:tc>
          <w:tcPr>
            <w:tcW w:w="76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Filing Fee</w:t>
            </w: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Previously</w:t>
            </w: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Paid In</w:t>
            </w: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Carry</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Connection</w:t>
            </w: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Calculation</w:t>
            </w: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Carry</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Carry</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Forward</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with Unsold</w:t>
            </w: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or Carry</w:t>
            </w: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Forward</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Forward</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Initial</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Securities to</w:t>
            </w: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Security</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Forward</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Price Per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File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effective</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be Carried</w:t>
            </w:r>
          </w:p>
        </w:tc>
      </w:tr>
      <w:tr>
        <w:trPr>
          <w:trHeight w:val="241"/>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Type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Rule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Unit</w:t>
            </w:r>
            <w:r>
              <w:rPr>
                <w:rFonts w:ascii="Arial" w:cs="Arial" w:eastAsia="Arial" w:hAnsi="Arial"/>
                <w:sz w:val="18"/>
                <w:szCs w:val="18"/>
                <w:color w:val="auto"/>
                <w:w w:val="94"/>
              </w:rPr>
              <w:t>(1)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 Rate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w:t>
            </w:r>
            <w:r>
              <w:rPr>
                <w:rFonts w:ascii="Arial" w:cs="Arial" w:eastAsia="Arial" w:hAnsi="Arial"/>
                <w:sz w:val="18"/>
                <w:szCs w:val="18"/>
                <w:color w:val="auto"/>
                <w:w w:val="90"/>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Type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Forward</w:t>
            </w:r>
          </w:p>
        </w:tc>
      </w:tr>
      <w:tr>
        <w:trPr>
          <w:trHeight w:val="655"/>
        </w:trPr>
        <w:tc>
          <w:tcPr>
            <w:tcW w:w="88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8"/>
              </w:rPr>
              <w:t>Newly Registered Securities</w:t>
            </w:r>
          </w:p>
        </w:tc>
        <w:tc>
          <w:tcPr>
            <w:tcW w:w="10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202"/>
        </w:trPr>
        <w:tc>
          <w:tcPr>
            <w:tcW w:w="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4"/>
              </w:rPr>
              <w:t>Fees to be</w:t>
            </w:r>
          </w:p>
        </w:tc>
        <w:tc>
          <w:tcPr>
            <w:tcW w:w="7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Common</w:t>
            </w:r>
          </w:p>
        </w:tc>
        <w:tc>
          <w:tcPr>
            <w:tcW w:w="9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16"/>
        </w:trPr>
        <w:tc>
          <w:tcPr>
            <w:tcW w:w="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Paid</w:t>
            </w: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Stock,</w:t>
            </w: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Equity</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par value</w:t>
            </w:r>
          </w:p>
        </w:tc>
        <w:tc>
          <w:tcPr>
            <w:tcW w:w="98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457(c)</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201,995</w:t>
            </w:r>
          </w:p>
        </w:tc>
        <w:tc>
          <w:tcPr>
            <w:tcW w:w="90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$2.01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$406,009.95</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1"/>
              </w:rPr>
              <w:t>0.0001476</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$59.93</w:t>
            </w: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$0.0001</w:t>
            </w:r>
          </w:p>
        </w:tc>
        <w:tc>
          <w:tcPr>
            <w:tcW w:w="9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7"/>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9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02"/>
        </w:trPr>
        <w:tc>
          <w:tcPr>
            <w:tcW w:w="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Fees</w:t>
            </w:r>
          </w:p>
        </w:tc>
        <w:tc>
          <w:tcPr>
            <w:tcW w:w="7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16"/>
        </w:trPr>
        <w:tc>
          <w:tcPr>
            <w:tcW w:w="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Previously</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7"/>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Paid</w:t>
            </w: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655"/>
        </w:trPr>
        <w:tc>
          <w:tcPr>
            <w:tcW w:w="88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3"/>
              </w:rPr>
              <w:t>Carry Forward Securities</w:t>
            </w:r>
          </w:p>
        </w:tc>
        <w:tc>
          <w:tcPr>
            <w:tcW w:w="10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202"/>
        </w:trPr>
        <w:tc>
          <w:tcPr>
            <w:tcW w:w="8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Carry</w:t>
            </w:r>
          </w:p>
        </w:tc>
        <w:tc>
          <w:tcPr>
            <w:tcW w:w="7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r>
      <w:tr>
        <w:trPr>
          <w:trHeight w:val="216"/>
        </w:trPr>
        <w:tc>
          <w:tcPr>
            <w:tcW w:w="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Forward</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Securities</w:t>
            </w: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23"/>
        </w:trPr>
        <w:tc>
          <w:tcPr>
            <w:tcW w:w="880" w:type="dxa"/>
            <w:vAlign w:val="bottom"/>
            <w:tcBorders>
              <w:left w:val="single" w:sz="8" w:color="auto"/>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 Offering Amounts</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$406,009.95</w:t>
            </w:r>
          </w:p>
        </w:tc>
        <w:tc>
          <w:tcPr>
            <w:tcW w:w="84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$59.93</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223"/>
        </w:trPr>
        <w:tc>
          <w:tcPr>
            <w:tcW w:w="880" w:type="dxa"/>
            <w:vAlign w:val="bottom"/>
            <w:tcBorders>
              <w:left w:val="single" w:sz="8" w:color="auto"/>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 Fees Previously Paid</w:t>
            </w: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223"/>
        </w:trPr>
        <w:tc>
          <w:tcPr>
            <w:tcW w:w="880" w:type="dxa"/>
            <w:vAlign w:val="bottom"/>
            <w:tcBorders>
              <w:left w:val="single" w:sz="8" w:color="auto"/>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Fee Offsets</w:t>
            </w: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r>
        <w:trPr>
          <w:trHeight w:val="223"/>
        </w:trPr>
        <w:tc>
          <w:tcPr>
            <w:tcW w:w="880" w:type="dxa"/>
            <w:vAlign w:val="bottom"/>
            <w:tcBorders>
              <w:left w:val="single" w:sz="8" w:color="auto"/>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Net Fee Due</w:t>
            </w:r>
          </w:p>
        </w:tc>
        <w:tc>
          <w:tcPr>
            <w:tcW w:w="96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$59.93</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bl>
    <w:p>
      <w:pPr>
        <w:spacing w:after="0" w:line="202" w:lineRule="exact"/>
        <w:rPr>
          <w:sz w:val="20"/>
          <w:szCs w:val="20"/>
          <w:color w:val="auto"/>
        </w:rPr>
      </w:pPr>
    </w:p>
    <w:p>
      <w:pPr>
        <w:jc w:val="both"/>
        <w:ind w:right="200" w:firstLine="8"/>
        <w:spacing w:after="0" w:line="263"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457(c) under the Securities Act of 1933, as amended (the “Securities Act”), based upon the average of the high and low price per share of the Registrant’s Common Stock as reported on the Nasdaq Global Select Market on October 9, 2023.</w:t>
      </w:r>
    </w:p>
    <w:p>
      <w:pPr>
        <w:spacing w:after="0" w:line="183" w:lineRule="exact"/>
        <w:rPr>
          <w:rFonts w:ascii="Arial" w:cs="Arial" w:eastAsia="Arial" w:hAnsi="Arial"/>
          <w:sz w:val="18"/>
          <w:szCs w:val="18"/>
          <w:color w:val="auto"/>
        </w:rPr>
      </w:pPr>
    </w:p>
    <w:p>
      <w:pPr>
        <w:ind w:right="400" w:firstLine="8"/>
        <w:spacing w:after="0" w:line="308" w:lineRule="auto"/>
        <w:tabs>
          <w:tab w:leader="none" w:pos="2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registration fee is calculated in accordance with Rule 457(r) under the Securities Act and represents deferred payment of the registration fee in connection with the Registrant’s Registration Statement on Form S-3ASR (Registration No. 333-267788) paid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844"/>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jpe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25" Type="http://schemas.openxmlformats.org/officeDocument/2006/relationships/hyperlink" Target="https://www.sec.gov/ix?doc=/Archives/edgar/data/0001731348/000143774923020727/tlry20230531_10k.htm" TargetMode="External"/><Relationship Id="rId26" Type="http://schemas.openxmlformats.org/officeDocument/2006/relationships/hyperlink" Target="https://www.sec.gov/ix?doc=/Archives/edgar/data/0001731348/000114036123045342/ny20010217x4_def14a.htm" TargetMode="External"/><Relationship Id="rId27" Type="http://schemas.openxmlformats.org/officeDocument/2006/relationships/hyperlink" Target="https://www.sec.gov/ix?doc=/Archives/edgar/data/1731348/000143774923027672/tlry20230731_10q.htm" TargetMode="External"/><Relationship Id="rId28" Type="http://schemas.openxmlformats.org/officeDocument/2006/relationships/hyperlink" Target="https://www.sec.gov/ix?doc=/Archives/edgar/data/0001731348/000143774923016398/tlry20230601_8k.htm" TargetMode="External"/><Relationship Id="rId29" Type="http://schemas.openxmlformats.org/officeDocument/2006/relationships/hyperlink" Target="https://www.sec.gov/ix?doc=/Archives/edgar/data/0001731348/000114036123030980/ny20009174x12_8k.htm" TargetMode="External"/><Relationship Id="rId30" Type="http://schemas.openxmlformats.org/officeDocument/2006/relationships/hyperlink" Target="https://www.sec.gov/ix?doc=/Archives/edgar/data/0001731348/000114036123036102/brhc20056364_8ka.htm" TargetMode="External"/><Relationship Id="rId31" Type="http://schemas.openxmlformats.org/officeDocument/2006/relationships/hyperlink" Target="https://www.sec.gov/ix?doc=/Archives/edgar/data/0001731348/000114036123032289/ny20009645x2_8k.htm" TargetMode="External"/><Relationship Id="rId32" Type="http://schemas.openxmlformats.org/officeDocument/2006/relationships/hyperlink" Target="https://www.sec.gov/ix?doc=/Archives/edgar/data/0001731348/000143774923019030/tlry20230630_8k.htm" TargetMode="External"/><Relationship Id="rId33" Type="http://schemas.openxmlformats.org/officeDocument/2006/relationships/hyperlink" Target="https://www.sec.gov/ix?doc=/Archives/edgar/data/0001731348/000143774923022325/tlry20230725_8k.htm" TargetMode="External"/><Relationship Id="rId34" Type="http://schemas.openxmlformats.org/officeDocument/2006/relationships/hyperlink" Target="https://www.sec.gov/ix?doc=/Archives/edgar/data/0001731348/000114036123042396/brhc20058217_8k.htm" TargetMode="External"/><Relationship Id="rId35" Type="http://schemas.openxmlformats.org/officeDocument/2006/relationships/hyperlink" Target="https://www.sec.gov/ix?doc=/Archives/edgar/data/1731348/000143774923027331/tlry20230927_8k.htm" TargetMode="External"/><Relationship Id="rId36" Type="http://schemas.openxmlformats.org/officeDocument/2006/relationships/hyperlink" Target="https://www.sec.gov/ix?doc=/Archives/edgar/data/1731348/000114036123046812/ef20011830_8k.htm" TargetMode="External"/><Relationship Id="rId37" Type="http://schemas.openxmlformats.org/officeDocument/2006/relationships/hyperlink" Target="https://www.sec.gov/Archives/edgar/data/1731348/000119312520261461/d89853d8a12ba.htm" TargetMode="External"/><Relationship Id="rId38" Type="http://schemas.openxmlformats.org/officeDocument/2006/relationships/hyperlink" Target="https://www.sec.gov/ix?doc=/Archives/edgar/data/1731348/000156459022033766/tlry-10ka_20220531.htm" TargetMode="External"/><Relationship Id="rId39" Type="http://schemas.openxmlformats.org/officeDocument/2006/relationships/hyperlink" Target="https://www.sec.gov/Archives/edgar/data/1731348/000114036122035780/ny20005311x4_def14a.htm" TargetMode="External"/><Relationship Id="rId75" Type="http://schemas.openxmlformats.org/officeDocument/2006/relationships/hyperlink" Target="https://www.sec.gov/Archives/edgar/data/1731348/000156459022026894/tlry-10k_20220531.htm" TargetMode="External"/><Relationship Id="rId76" Type="http://schemas.openxmlformats.org/officeDocument/2006/relationships/hyperlink" Target="https://www.sec.gov/Archives/edgar/data/1731348/000156459022027682/tlry-8k_20220803.htm" TargetMode="External"/><Relationship Id="rId77" Type="http://schemas.openxmlformats.org/officeDocument/2006/relationships/hyperlink" Target="https://www.sec.gov/ix?doc=/Archives/edgar/data/1731348/000114036122031993/ny20005207x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2023-10-13T15:17:45Z</dcterms:created>
  <dcterms:modified xsi:type="dcterms:W3CDTF">2023-10-13T15:17:45Z</dcterms:modified>
</cp:coreProperties>
</file>