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31, 2025</w:t>
      </w:r>
    </w:p>
    <w:p>
      <w:pPr>
        <w:spacing w:after="0" w:line="1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516" w:right="49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000"/>
          </w:cols>
          <w:pgMar w:left="320" w:top="516" w:right="499" w:bottom="1440" w:gutter="0" w:footer="0" w:header="0"/>
          <w:type w:val="continuous"/>
        </w:sectPr>
      </w:pPr>
    </w:p>
    <w:p>
      <w:pPr>
        <w:spacing w:after="0" w:line="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Leamington, 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N8H 5L4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000"/>
          </w:cols>
          <w:pgMar w:left="320" w:top="516"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16"/>
        </w:trPr>
        <w:tc>
          <w:tcPr>
            <w:tcW w:w="42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8"/>
        </w:trPr>
        <w:tc>
          <w:tcPr>
            <w:tcW w:w="42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TLRY</w:t>
            </w:r>
          </w:p>
        </w:tc>
        <w:tc>
          <w:tcPr>
            <w:tcW w:w="36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Between January 28, 2025 and February 5, 2025, Tilray Brands, Inc. (the “Company”) entered into certain private debt-for-equity exchange transactions (the “Exchange Transactions”) with unrelated parties. Pursuant to the Exchange Transactions, the Company expects to issue an aggregate of up to 21 million shares of the Company’s common stock, par value $0.0001 per share (“Common Stock”), in exchange for $22 million aggregate principal amount of the Company’s 5.20% Convertible Senior Notes due June 1, 2027.</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Mitchell Gendel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2025-02-06T15:15:24Z</dcterms:created>
  <dcterms:modified xsi:type="dcterms:W3CDTF">2025-02-06T15:15:24Z</dcterms:modified>
</cp:coreProperties>
</file>